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III</w:t>
      </w:r>
    </w:p>
    <w:p>
      <w:pPr>
        <w:spacing w:after="80"/>
        <w:jc w:val="center"/>
      </w:pPr>
      <w:r>
        <w:rPr>
          <w:rFonts w:ascii="Calibri" w:hAnsi="Calibri"/>
          <w:b/>
          <w:color w:val="1F4D78"/>
          <w:sz w:val="34"/>
        </w:rPr>
        <w:t>ECU Simulator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0.6.0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Increments III-1 through III-6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1. Document Purpose</w:t>
      </w:r>
    </w:p>
    <w:p>
      <w:pPr>
        <w:pStyle w:val="ListNumber"/>
        <w:numPr>
          <w:ilvl w:val="0"/>
          <w:numId w:val="10"/>
        </w:numPr>
        <w:ind w:left="216" w:firstLine="0"/>
      </w:pPr>
      <w:r>
        <w:rPr>
          <w:rFonts w:ascii="Calibri" w:hAnsi="Calibri"/>
          <w:b/>
          <w:color w:val="0B2545"/>
          <w:sz w:val="21"/>
        </w:rPr>
        <w:t>2. Document Control</w:t>
      </w:r>
    </w:p>
    <w:p>
      <w:pPr>
        <w:pStyle w:val="ListNumber"/>
        <w:numPr>
          <w:ilvl w:val="0"/>
          <w:numId w:val="10"/>
        </w:numPr>
        <w:ind w:left="216" w:firstLine="0"/>
      </w:pPr>
      <w:r>
        <w:rPr>
          <w:rFonts w:ascii="Calibri" w:hAnsi="Calibri"/>
          <w:b/>
          <w:color w:val="0B2545"/>
          <w:sz w:val="21"/>
        </w:rPr>
        <w:t>3. Revision History</w:t>
      </w:r>
    </w:p>
    <w:p>
      <w:pPr>
        <w:pStyle w:val="ListNumber"/>
        <w:numPr>
          <w:ilvl w:val="0"/>
          <w:numId w:val="10"/>
        </w:numPr>
        <w:ind w:left="216" w:firstLine="0"/>
      </w:pPr>
      <w:r>
        <w:rPr>
          <w:rFonts w:ascii="Calibri" w:hAnsi="Calibri"/>
          <w:b/>
          <w:color w:val="0B2545"/>
          <w:sz w:val="21"/>
        </w:rPr>
        <w:t>4. Scope and Boundaries</w:t>
      </w:r>
    </w:p>
    <w:p>
      <w:pPr>
        <w:pStyle w:val="ListNumber"/>
        <w:numPr>
          <w:ilvl w:val="0"/>
          <w:numId w:val="10"/>
        </w:numPr>
        <w:ind w:left="216" w:firstLine="0"/>
      </w:pPr>
      <w:r>
        <w:rPr>
          <w:rFonts w:ascii="Calibri" w:hAnsi="Calibri"/>
          <w:b/>
          <w:color w:val="0B2545"/>
          <w:sz w:val="21"/>
        </w:rPr>
        <w:t>5. Architecture</w:t>
      </w:r>
    </w:p>
    <w:p>
      <w:pPr>
        <w:pStyle w:val="ListNumber"/>
        <w:numPr>
          <w:ilvl w:val="0"/>
          <w:numId w:val="10"/>
        </w:numPr>
        <w:ind w:left="216" w:firstLine="0"/>
      </w:pPr>
      <w:r>
        <w:rPr>
          <w:rFonts w:ascii="Calibri" w:hAnsi="Calibri"/>
          <w:b/>
          <w:color w:val="0B2545"/>
          <w:sz w:val="21"/>
        </w:rPr>
        <w:t>6. Domain Model</w:t>
      </w:r>
    </w:p>
    <w:p>
      <w:pPr>
        <w:pStyle w:val="ListNumber"/>
        <w:numPr>
          <w:ilvl w:val="0"/>
          <w:numId w:val="10"/>
        </w:numPr>
        <w:ind w:left="216" w:firstLine="0"/>
      </w:pPr>
      <w:r>
        <w:rPr>
          <w:rFonts w:ascii="Calibri" w:hAnsi="Calibri"/>
          <w:b/>
          <w:color w:val="0B2545"/>
          <w:sz w:val="21"/>
        </w:rPr>
        <w:t>7. Public API and Security</w:t>
      </w:r>
    </w:p>
    <w:p>
      <w:pPr>
        <w:pStyle w:val="ListNumber"/>
        <w:numPr>
          <w:ilvl w:val="0"/>
          <w:numId w:val="10"/>
        </w:numPr>
        <w:ind w:left="216" w:firstLine="0"/>
      </w:pPr>
      <w:r>
        <w:rPr>
          <w:rFonts w:ascii="Calibri" w:hAnsi="Calibri"/>
          <w:b/>
          <w:color w:val="0B2545"/>
          <w:sz w:val="21"/>
        </w:rPr>
        <w:t>8. Consistency and Evidence</w:t>
      </w:r>
    </w:p>
    <w:p>
      <w:pPr>
        <w:pStyle w:val="ListNumber"/>
        <w:numPr>
          <w:ilvl w:val="0"/>
          <w:numId w:val="10"/>
        </w:numPr>
        <w:ind w:left="216" w:firstLine="0"/>
      </w:pPr>
      <w:r>
        <w:rPr>
          <w:rFonts w:ascii="Calibri" w:hAnsi="Calibri"/>
          <w:b/>
          <w:color w:val="0B2545"/>
          <w:sz w:val="21"/>
        </w:rPr>
        <w:t>9. Functional Requirements</w:t>
      </w:r>
    </w:p>
    <w:p>
      <w:pPr>
        <w:pStyle w:val="ListNumber"/>
        <w:numPr>
          <w:ilvl w:val="0"/>
          <w:numId w:val="10"/>
        </w:numPr>
        <w:ind w:left="216" w:firstLine="0"/>
      </w:pPr>
      <w:r>
        <w:rPr>
          <w:rFonts w:ascii="Calibri" w:hAnsi="Calibri"/>
          <w:b/>
          <w:color w:val="0B2545"/>
          <w:sz w:val="21"/>
        </w:rPr>
        <w:t>10. Architecture Decisions</w:t>
      </w:r>
    </w:p>
    <w:p>
      <w:pPr>
        <w:pStyle w:val="ListNumber"/>
        <w:numPr>
          <w:ilvl w:val="0"/>
          <w:numId w:val="10"/>
        </w:numPr>
        <w:ind w:left="216" w:firstLine="0"/>
      </w:pPr>
      <w:r>
        <w:rPr>
          <w:rFonts w:ascii="Calibri" w:hAnsi="Calibri"/>
          <w:b/>
          <w:color w:val="0B2545"/>
          <w:sz w:val="21"/>
        </w:rPr>
        <w:t>11. Verification Catalogue</w:t>
      </w:r>
    </w:p>
    <w:p>
      <w:pPr>
        <w:pStyle w:val="ListNumber"/>
        <w:numPr>
          <w:ilvl w:val="0"/>
          <w:numId w:val="10"/>
        </w:numPr>
        <w:ind w:left="216" w:firstLine="0"/>
      </w:pPr>
      <w:r>
        <w:rPr>
          <w:rFonts w:ascii="Calibri" w:hAnsi="Calibri"/>
          <w:b/>
          <w:color w:val="0B2545"/>
          <w:sz w:val="21"/>
        </w:rPr>
        <w:t>11.1 III-2 Verification</w:t>
      </w:r>
    </w:p>
    <w:p>
      <w:pPr>
        <w:pStyle w:val="ListNumber"/>
        <w:numPr>
          <w:ilvl w:val="0"/>
          <w:numId w:val="10"/>
        </w:numPr>
        <w:ind w:left="216" w:firstLine="0"/>
      </w:pPr>
      <w:r>
        <w:rPr>
          <w:rFonts w:ascii="Calibri" w:hAnsi="Calibri"/>
          <w:b/>
          <w:color w:val="0B2545"/>
          <w:sz w:val="21"/>
        </w:rPr>
        <w:t>11.2 III-3 Verification</w:t>
      </w:r>
    </w:p>
    <w:p>
      <w:pPr>
        <w:pStyle w:val="ListNumber"/>
        <w:numPr>
          <w:ilvl w:val="0"/>
          <w:numId w:val="10"/>
        </w:numPr>
        <w:ind w:left="216" w:firstLine="0"/>
      </w:pPr>
      <w:r>
        <w:rPr>
          <w:rFonts w:ascii="Calibri" w:hAnsi="Calibri"/>
          <w:b/>
          <w:color w:val="0B2545"/>
          <w:sz w:val="21"/>
        </w:rPr>
        <w:t>11.3 III-4 Verification</w:t>
      </w:r>
    </w:p>
    <w:p>
      <w:pPr>
        <w:pStyle w:val="ListNumber"/>
        <w:numPr>
          <w:ilvl w:val="0"/>
          <w:numId w:val="10"/>
        </w:numPr>
        <w:ind w:left="216" w:firstLine="0"/>
      </w:pPr>
      <w:r>
        <w:rPr>
          <w:rFonts w:ascii="Calibri" w:hAnsi="Calibri"/>
          <w:b/>
          <w:color w:val="0B2545"/>
          <w:sz w:val="21"/>
        </w:rPr>
        <w:t>11.4 III-5 Verification</w:t>
      </w:r>
    </w:p>
    <w:p>
      <w:pPr>
        <w:pStyle w:val="ListNumber"/>
        <w:numPr>
          <w:ilvl w:val="0"/>
          <w:numId w:val="10"/>
        </w:numPr>
        <w:ind w:left="216" w:firstLine="0"/>
      </w:pPr>
      <w:r>
        <w:rPr>
          <w:rFonts w:ascii="Calibri" w:hAnsi="Calibri"/>
          <w:b/>
          <w:color w:val="0B2545"/>
          <w:sz w:val="21"/>
        </w:rPr>
        <w:t>11.5 III-6 Verification</w:t>
      </w:r>
    </w:p>
    <w:p>
      <w:pPr>
        <w:pStyle w:val="ListNumber"/>
        <w:numPr>
          <w:ilvl w:val="0"/>
          <w:numId w:val="10"/>
        </w:numPr>
        <w:ind w:left="216" w:firstLine="0"/>
      </w:pPr>
      <w:r>
        <w:rPr>
          <w:rFonts w:ascii="Calibri" w:hAnsi="Calibri"/>
          <w:b/>
          <w:color w:val="0B2545"/>
          <w:sz w:val="21"/>
        </w:rPr>
        <w:t>12. Implemented Evidence</w:t>
      </w:r>
    </w:p>
    <w:p>
      <w:pPr>
        <w:pStyle w:val="ListNumber"/>
        <w:numPr>
          <w:ilvl w:val="0"/>
          <w:numId w:val="10"/>
        </w:numPr>
        <w:ind w:left="216" w:firstLine="0"/>
      </w:pPr>
      <w:r>
        <w:rPr>
          <w:rFonts w:ascii="Calibri" w:hAnsi="Calibri"/>
          <w:b/>
          <w:color w:val="0B2545"/>
          <w:sz w:val="21"/>
        </w:rPr>
        <w:t>13. Risks and Technical Debt</w:t>
      </w:r>
    </w:p>
    <w:p>
      <w:pPr>
        <w:pStyle w:val="ListNumber"/>
        <w:numPr>
          <w:ilvl w:val="0"/>
          <w:numId w:val="10"/>
        </w:numPr>
        <w:ind w:left="216" w:firstLine="0"/>
      </w:pPr>
      <w:r>
        <w:rPr>
          <w:rFonts w:ascii="Calibri" w:hAnsi="Calibri"/>
          <w:b/>
          <w:color w:val="0B2545"/>
          <w:sz w:val="21"/>
        </w:rPr>
        <w:t>14. Roadmap</w:t>
      </w:r>
    </w:p>
    <w:p>
      <w:pPr>
        <w:pStyle w:val="ListNumber"/>
        <w:numPr>
          <w:ilvl w:val="0"/>
          <w:numId w:val="10"/>
        </w:numPr>
        <w:ind w:left="216" w:firstLine="0"/>
      </w:pPr>
      <w:r>
        <w:rPr>
          <w:rFonts w:ascii="Calibri" w:hAnsi="Calibri"/>
          <w:b/>
          <w:color w:val="0B2545"/>
          <w:sz w:val="21"/>
        </w:rPr>
        <w:t>15. Study Exercises</w:t>
      </w:r>
    </w:p>
    <w:p>
      <w:r>
        <w:br w:type="page"/>
      </w:r>
    </w:p>
    <w:p>
      <w:pPr>
        <w:pStyle w:val="Heading1"/>
        <w:keepNext/>
        <w:keepLines/>
      </w:pPr>
      <w:r>
        <w:t>1. Document Purpose</w:t>
      </w:r>
    </w:p>
    <w:p>
      <w:r>
        <w:rPr>
          <w:rFonts w:ascii="Calibri" w:hAnsi="Calibri"/>
          <w:color w:val="111827"/>
          <w:sz w:val="22"/>
        </w:rPr>
        <w:t>This workbook records the engineering decisions, requirements, implementation evidence, verification strategy, risks, and learning opportunities for Volume III. It is both a portfolio artifact and a maintainable technical record for future ECU, CAN, and diagnostics development.</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III - ECU Simulator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III-1 through III-6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Modular monolith with transactional domain services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migration checks</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ECU aggregate, lifecycle, memory, faults, API, RBAC, audit, outbox,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logical time, cyclic scheduling, reset modes, replay evidence,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versioned behavior profiles, profile APIs, deterministic state transitions,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0.4.0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memory regions, reset persistence, snapshots, seeded corruption, APIs,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0.5.0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logical-time fault lifecycle, debounce, healing, latching, clear, DTC projection,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0.6.0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typed signal contracts, publication, gateway routes, atomic transfer, migration, APIs,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ECU identity unique within a vehicle.</w:t>
      </w:r>
    </w:p>
    <w:p>
      <w:pPr>
        <w:pStyle w:val="ListBullet"/>
        <w:numPr>
          <w:ilvl w:val="0"/>
          <w:numId w:val="11"/>
        </w:numPr>
      </w:pPr>
      <w:r>
        <w:rPr>
          <w:rFonts w:ascii="Calibri" w:hAnsi="Calibri"/>
          <w:color w:val="111827"/>
          <w:sz w:val="22"/>
        </w:rPr>
        <w:t>Nine initial ECU types and six lifecycle states.</w:t>
      </w:r>
    </w:p>
    <w:p>
      <w:pPr>
        <w:pStyle w:val="ListBullet"/>
        <w:numPr>
          <w:ilvl w:val="0"/>
          <w:numId w:val="11"/>
        </w:numPr>
      </w:pPr>
      <w:r>
        <w:rPr>
          <w:rFonts w:ascii="Calibri" w:hAnsi="Calibri"/>
          <w:color w:val="111827"/>
          <w:sz w:val="22"/>
        </w:rPr>
        <w:t>Bounded memory with volatile/non-volatile regions, snapshots, and seeded corruption.</w:t>
      </w:r>
    </w:p>
    <w:p>
      <w:pPr>
        <w:pStyle w:val="ListBullet"/>
        <w:numPr>
          <w:ilvl w:val="0"/>
          <w:numId w:val="11"/>
        </w:numPr>
      </w:pPr>
      <w:r>
        <w:rPr>
          <w:rFonts w:ascii="Calibri" w:hAnsi="Calibri"/>
          <w:color w:val="111827"/>
          <w:sz w:val="22"/>
        </w:rPr>
        <w:t>Bounded fault records with logical-time confirmation, healing, latching, clear, and DTC intent.</w:t>
      </w:r>
    </w:p>
    <w:p>
      <w:pPr>
        <w:pStyle w:val="ListBullet"/>
        <w:numPr>
          <w:ilvl w:val="0"/>
          <w:numId w:val="11"/>
        </w:numPr>
      </w:pPr>
      <w:r>
        <w:rPr>
          <w:rFonts w:ascii="Calibri" w:hAnsi="Calibri"/>
          <w:color w:val="111827"/>
          <w:sz w:val="22"/>
        </w:rPr>
        <w:t>Typed produced/consumed signals, logical-time publication, and gateway-owned routing hooks.</w:t>
      </w:r>
    </w:p>
    <w:p>
      <w:pPr>
        <w:pStyle w:val="ListBullet"/>
        <w:numPr>
          <w:ilvl w:val="0"/>
          <w:numId w:val="11"/>
        </w:numPr>
      </w:pPr>
      <w:r>
        <w:rPr>
          <w:rFonts w:ascii="Calibri" w:hAnsi="Calibri"/>
          <w:color w:val="111827"/>
          <w:sz w:val="22"/>
        </w:rPr>
        <w:t>Optimistic state versioning and idempotent exact retries.</w:t>
      </w:r>
    </w:p>
    <w:p>
      <w:pPr>
        <w:pStyle w:val="ListBullet"/>
        <w:numPr>
          <w:ilvl w:val="0"/>
          <w:numId w:val="11"/>
        </w:numPr>
      </w:pPr>
      <w:r>
        <w:rPr>
          <w:rFonts w:ascii="Calibri" w:hAnsi="Calibri"/>
          <w:color w:val="111827"/>
          <w:sz w:val="22"/>
        </w:rPr>
        <w:t>Nested REST APIs, safe pagination, and type filtering.</w:t>
      </w:r>
    </w:p>
    <w:p>
      <w:pPr>
        <w:pStyle w:val="ListBullet"/>
        <w:numPr>
          <w:ilvl w:val="0"/>
          <w:numId w:val="11"/>
        </w:numPr>
      </w:pPr>
      <w:r>
        <w:rPr>
          <w:rFonts w:ascii="Calibri" w:hAnsi="Calibri"/>
          <w:color w:val="111827"/>
          <w:sz w:val="22"/>
        </w:rPr>
        <w:t>Independent read/manage permissions.</w:t>
      </w:r>
    </w:p>
    <w:p>
      <w:pPr>
        <w:pStyle w:val="ListBullet"/>
        <w:numPr>
          <w:ilvl w:val="0"/>
          <w:numId w:val="11"/>
        </w:numPr>
      </w:pPr>
      <w:r>
        <w:rPr>
          <w:rFonts w:ascii="Calibri" w:hAnsi="Calibri"/>
          <w:color w:val="111827"/>
          <w:sz w:val="22"/>
        </w:rPr>
        <w:t>Transactional audit and outbox evidence.</w:t>
      </w:r>
    </w:p>
    <w:p>
      <w:pPr>
        <w:pStyle w:val="ListBullet"/>
        <w:numPr>
          <w:ilvl w:val="0"/>
          <w:numId w:val="11"/>
        </w:numPr>
      </w:pPr>
      <w:r>
        <w:rPr>
          <w:rFonts w:ascii="Calibri" w:hAnsi="Calibri"/>
          <w:color w:val="111827"/>
          <w:sz w:val="22"/>
        </w:rPr>
        <w:t>Per-ECU logical time, cyclic task schedules, and boot counters.</w:t>
      </w:r>
    </w:p>
    <w:p>
      <w:pPr>
        <w:pStyle w:val="ListBullet"/>
        <w:numPr>
          <w:ilvl w:val="0"/>
          <w:numId w:val="11"/>
        </w:numPr>
      </w:pPr>
      <w:r>
        <w:rPr>
          <w:rFonts w:ascii="Calibri" w:hAnsi="Calibri"/>
          <w:color w:val="111827"/>
          <w:sz w:val="22"/>
        </w:rPr>
        <w:t>Idempotent advance/reset commands with persisted execution evidence.</w:t>
      </w:r>
    </w:p>
    <w:p>
      <w:pPr>
        <w:pStyle w:val="ListBullet"/>
        <w:numPr>
          <w:ilvl w:val="0"/>
          <w:numId w:val="11"/>
        </w:numPr>
      </w:pPr>
      <w:r>
        <w:rPr>
          <w:rFonts w:ascii="Calibri" w:hAnsi="Calibri"/>
          <w:color w:val="111827"/>
          <w:sz w:val="22"/>
        </w:rPr>
        <w:t>Versioned profiles with allowed schedules, bounded initial state, and deterministic transitions.</w:t>
      </w:r>
    </w:p>
    <w:p>
      <w:pPr>
        <w:pStyle w:val="Heading2"/>
        <w:keepNext/>
        <w:keepLines/>
      </w:pPr>
      <w:r>
        <w:t>4.2 Deferred</w:t>
      </w:r>
    </w:p>
    <w:p>
      <w:pPr>
        <w:pStyle w:val="ListBullet"/>
        <w:numPr>
          <w:ilvl w:val="0"/>
          <w:numId w:val="12"/>
        </w:numPr>
      </w:pPr>
      <w:r>
        <w:rPr>
          <w:rFonts w:ascii="Calibri" w:hAnsi="Calibri"/>
          <w:color w:val="111827"/>
          <w:sz w:val="22"/>
        </w:rPr>
        <w:t>Firmware or instruction execution.</w:t>
      </w:r>
    </w:p>
    <w:p>
      <w:pPr>
        <w:pStyle w:val="ListBullet"/>
        <w:numPr>
          <w:ilvl w:val="0"/>
          <w:numId w:val="12"/>
        </w:numPr>
      </w:pPr>
      <w:r>
        <w:rPr>
          <w:rFonts w:ascii="Calibri" w:hAnsi="Calibri"/>
          <w:color w:val="111827"/>
          <w:sz w:val="22"/>
        </w:rPr>
        <w:t>CAN, CAN FD, LIN, Ethernet frames, DBC encoding, arbitration, and bus simulation.</w:t>
      </w:r>
    </w:p>
    <w:p>
      <w:pPr>
        <w:pStyle w:val="ListBullet"/>
        <w:numPr>
          <w:ilvl w:val="0"/>
          <w:numId w:val="12"/>
        </w:numPr>
      </w:pPr>
      <w:r>
        <w:rPr>
          <w:rFonts w:ascii="Calibri" w:hAnsi="Calibri"/>
          <w:color w:val="111827"/>
          <w:sz w:val="22"/>
        </w:rPr>
        <w:t>UDS/OBD-II services, assigned DTC numbers, status-byte aging, security access, and flashing.</w:t>
      </w:r>
    </w:p>
    <w:p>
      <w:pPr>
        <w:pStyle w:val="ListBullet"/>
        <w:numPr>
          <w:ilvl w:val="0"/>
          <w:numId w:val="12"/>
        </w:numPr>
      </w:pPr>
      <w:r>
        <w:rPr>
          <w:rFonts w:ascii="Calibri" w:hAnsi="Calibri"/>
          <w:color w:val="111827"/>
          <w:sz w:val="22"/>
        </w:rPr>
        <w:t>Full binary firmware images and unrestricted memory dumps.</w:t>
      </w:r>
    </w:p>
    <w:p>
      <w:pPr>
        <w:pStyle w:val="ListBullet"/>
        <w:numPr>
          <w:ilvl w:val="0"/>
          <w:numId w:val="12"/>
        </w:numPr>
      </w:pPr>
      <w:r>
        <w:rPr>
          <w:rFonts w:ascii="Calibri" w:hAnsi="Calibri"/>
          <w:color w:val="111827"/>
          <w:sz w:val="22"/>
        </w:rPr>
        <w:t>Autonomous sensor-condition evaluation and fault injection campaigns.</w:t>
      </w:r>
    </w:p>
    <w:p>
      <w:pPr>
        <w:pStyle w:val="Heading1"/>
        <w:keepNext/>
        <w:keepLines/>
      </w:pPr>
      <w:r>
        <w:t>5. Architecture</w:t>
      </w:r>
    </w:p>
    <w:p>
      <w:r>
        <w:rPr>
          <w:rFonts w:ascii="Calibri" w:hAnsi="Calibri"/>
          <w:color w:val="111827"/>
          <w:sz w:val="22"/>
        </w:rPr>
        <w:t xml:space="preserve">The ECU domain is a separate module under </w:t>
      </w:r>
      <w:r>
        <w:rPr>
          <w:rFonts w:ascii="Consolas" w:hAnsi="Consolas"/>
          <w:color w:val="1F4D78"/>
          <w:sz w:val="19"/>
        </w:rPr>
        <w:t>atep.ecus</w:t>
      </w:r>
      <w:r>
        <w:rPr>
          <w:rFonts w:ascii="Calibri" w:hAnsi="Calibri"/>
          <w:color w:val="111827"/>
          <w:sz w:val="22"/>
        </w:rPr>
        <w:t>. Its public API is nested beneath a vehicle, while its database table has a foreign key to the vehicle aggregate. The ECU state is intentionally protocol-independent: later CAN and UDS modules will reference the ECU rather than redefine it.</w:t>
      </w:r>
    </w:p>
    <w:p>
      <w:r>
        <w:rPr>
          <w:rFonts w:ascii="Calibri" w:hAnsi="Calibri"/>
          <w:color w:val="111827"/>
          <w:sz w:val="22"/>
        </w:rPr>
        <w:t>Request flow: authenticated client -&gt; FastAPI router -&gt; RBAC dependency -&gt; ECU domain service -&gt; PostgreSQL aggregate + audit record + transactional outbox event -&gt; HTTP response.</w:t>
      </w:r>
    </w:p>
    <w:p>
      <w:pPr>
        <w:pStyle w:val="Heading1"/>
        <w:keepNext/>
        <w:keepLines/>
      </w:pPr>
      <w:r>
        <w:t>6. Domain Model</w:t>
      </w:r>
    </w:p>
    <w:p>
      <w:r>
        <w:rPr>
          <w:rFonts w:ascii="Calibri" w:hAnsi="Calibri"/>
          <w:color w:val="111827"/>
          <w:sz w:val="22"/>
        </w:rPr>
        <w:t xml:space="preserve">An ECU contains </w:t>
      </w:r>
      <w:r>
        <w:rPr>
          <w:rFonts w:ascii="Consolas" w:hAnsi="Consolas"/>
          <w:color w:val="1F4D78"/>
          <w:sz w:val="19"/>
        </w:rPr>
        <w:t>vehicle_id</w:t>
      </w:r>
      <w:r>
        <w:rPr>
          <w:rFonts w:ascii="Calibri" w:hAnsi="Calibri"/>
          <w:color w:val="111827"/>
          <w:sz w:val="22"/>
        </w:rPr>
        <w:t xml:space="preserve">, </w:t>
      </w:r>
      <w:r>
        <w:rPr>
          <w:rFonts w:ascii="Consolas" w:hAnsi="Consolas"/>
          <w:color w:val="1F4D78"/>
          <w:sz w:val="19"/>
        </w:rPr>
        <w:t>identifier</w:t>
      </w:r>
      <w:r>
        <w:rPr>
          <w:rFonts w:ascii="Calibri" w:hAnsi="Calibri"/>
          <w:color w:val="111827"/>
          <w:sz w:val="22"/>
        </w:rPr>
        <w:t xml:space="preserve">, </w:t>
      </w:r>
      <w:r>
        <w:rPr>
          <w:rFonts w:ascii="Consolas" w:hAnsi="Consolas"/>
          <w:color w:val="1F4D78"/>
          <w:sz w:val="19"/>
        </w:rPr>
        <w:t>display_name</w:t>
      </w:r>
      <w:r>
        <w:rPr>
          <w:rFonts w:ascii="Calibri" w:hAnsi="Calibri"/>
          <w:color w:val="111827"/>
          <w:sz w:val="22"/>
        </w:rPr>
        <w:t xml:space="preserve">, </w:t>
      </w:r>
      <w:r>
        <w:rPr>
          <w:rFonts w:ascii="Consolas" w:hAnsi="Consolas"/>
          <w:color w:val="1F4D78"/>
          <w:sz w:val="19"/>
        </w:rPr>
        <w:t>ecu_type</w:t>
      </w:r>
      <w:r>
        <w:rPr>
          <w:rFonts w:ascii="Calibri" w:hAnsi="Calibri"/>
          <w:color w:val="111827"/>
          <w:sz w:val="22"/>
        </w:rPr>
        <w:t xml:space="preserve">, </w:t>
      </w:r>
      <w:r>
        <w:rPr>
          <w:rFonts w:ascii="Consolas" w:hAnsi="Consolas"/>
          <w:color w:val="1F4D78"/>
          <w:sz w:val="19"/>
        </w:rPr>
        <w:t>operational_state</w:t>
      </w:r>
      <w:r>
        <w:rPr>
          <w:rFonts w:ascii="Calibri" w:hAnsi="Calibri"/>
          <w:color w:val="111827"/>
          <w:sz w:val="22"/>
        </w:rPr>
        <w:t xml:space="preserve">, </w:t>
      </w:r>
      <w:r>
        <w:rPr>
          <w:rFonts w:ascii="Consolas" w:hAnsi="Consolas"/>
          <w:color w:val="1F4D78"/>
          <w:sz w:val="19"/>
        </w:rPr>
        <w:t>memory</w:t>
      </w:r>
      <w:r>
        <w:rPr>
          <w:rFonts w:ascii="Calibri" w:hAnsi="Calibri"/>
          <w:color w:val="111827"/>
          <w:sz w:val="22"/>
        </w:rPr>
        <w:t xml:space="preserve">, </w:t>
      </w:r>
      <w:r>
        <w:rPr>
          <w:rFonts w:ascii="Consolas" w:hAnsi="Consolas"/>
          <w:color w:val="1F4D78"/>
          <w:sz w:val="19"/>
        </w:rPr>
        <w:t>faults</w:t>
      </w:r>
      <w:r>
        <w:rPr>
          <w:rFonts w:ascii="Calibri" w:hAnsi="Calibri"/>
          <w:color w:val="111827"/>
          <w:sz w:val="22"/>
        </w:rPr>
        <w:t xml:space="preserve">, semantic signals, memory regions, cyclic tasks, profile version, behavior state, logical time, boot count, </w:t>
      </w:r>
      <w:r>
        <w:rPr>
          <w:rFonts w:ascii="Consolas" w:hAnsi="Consolas"/>
          <w:color w:val="1F4D78"/>
          <w:sz w:val="19"/>
        </w:rPr>
        <w:t>version</w:t>
      </w:r>
      <w:r>
        <w:rPr>
          <w:rFonts w:ascii="Calibri" w:hAnsi="Calibri"/>
          <w:color w:val="111827"/>
          <w:sz w:val="22"/>
        </w:rPr>
        <w:t>, and timestamps. Memory has at most 256 cells, each with a 16-bit address and an 8-bit value. Faults have a canonical code, severity, pending/confirmed/healed status, description, bounded debounce counters, logical timestamps, thresholds, active state, and latch policy.</w:t>
      </w:r>
    </w:p>
    <w:p>
      <w:r>
        <w:rPr>
          <w:rFonts w:ascii="Calibri" w:hAnsi="Calibri"/>
          <w:color w:val="111827"/>
          <w:sz w:val="22"/>
        </w:rPr>
        <w:t>Signals are bounded to 64 contracts. Each contract declares a canonical name, produced/consumed direction, strict data type, optional unit/bounds/cycle time, current value, and ECU logical update time. Names are unique per direction, allowing an ECU to consume and produce the same semantic name without ambiguity.</w:t>
      </w:r>
    </w:p>
    <w:p>
      <w:r>
        <w:rPr>
          <w:rFonts w:ascii="Calibri" w:hAnsi="Calibri"/>
          <w:color w:val="111827"/>
          <w:sz w:val="22"/>
        </w:rPr>
        <w:t>The lifecycle contains offline, booting, running, degraded, fault, and shutdown. A confirmed critical fault cannot coexist with a non-fault lifecycle state. This protects the simulator from representing an obviously contradictory safety state.</w:t>
      </w:r>
    </w:p>
    <w:p>
      <w:r>
        <w:rPr>
          <w:rFonts w:ascii="Calibri" w:hAnsi="Calibri"/>
          <w:color w:val="111827"/>
          <w:sz w:val="22"/>
        </w:rPr>
        <w:t>Each cyclic task has a unique canonical ID, a period from 1 to 60,000 milliseconds, and an offset smaller than its period. A maximum of 32 tasks keeps configuration and execution evidence bounded.</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ECU.</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filter ECUs.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ECU.</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PUT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Replace versioned ECU state.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/api/v1/vehicles/{vehicle_id}/ecus/{ecu_id}/simulation/advance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Advance logical time and summarize due tasks.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/api/v1/vehicles/{vehicle_id}/ecus/{ecu_id}/reset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deterministic reset mode.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/api/v1/ecu-profiles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versioned behavior profiles.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/api/v1/ecu-profiles/{ecu_type}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one profile contract.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/api/v1/vehicles/{vehicle_id}/ecus/{ecu_id}/memory/snapshots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r>
              <w:rPr>
                <w:rFonts w:ascii="Calibri" w:hAnsi="Calibri"/>
                <w:b w:val="0"/>
                <w:color w:val="111827"/>
                <w:sz w:val="16"/>
              </w:rPr>
              <w:t xml:space="preserve"> / </w:t>
            </w: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memory snapshots.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/api/v1/vehicles/{vehicle_id}/ecus/{ecu_id}/memory/snapshots/{snapshot_id}/restore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versioned snapshot.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/api/v1/vehicles/{vehicle_id}/ecus/{ecu_id}/memory/corrupt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deterministic seeded bit flips.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/api/v1/vehicles/{vehicle_id}/ecus/{ecu_id}/faults/observe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one detected or absent observation.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/api/v1/vehicles/{vehicle_id}/ecus/{ecu_id}/faults/{fault_code}/clear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Explicitly clear an active fault.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/api/v1/vehicles/{vehicle_id}/ecus/{ecu_id}/faults/dtc-candidates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 diagnostic-intent projections.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/api/v1/vehicles/{vehicle_id}/ecus/{ecu_id}/signals/{signal_name}/publish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one produced signal value.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/api/v1/vehicles/{vehicle_id}/ecus/{ecu_id}/signal-routes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r>
              <w:rPr>
                <w:rFonts w:ascii="Calibri" w:hAnsi="Calibri"/>
                <w:b w:val="0"/>
                <w:color w:val="111827"/>
                <w:sz w:val="16"/>
              </w:rPr>
              <w:t xml:space="preserve"> / </w:t>
            </w: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gateway routes.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/api/v1/vehicles/{vehicle_id}/ecus/{ecu_id}/signal-routes/{route_id}/transfer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Transfer a routed value atomically.</w:t>
            </w:r>
          </w:p>
        </w:tc>
      </w:tr>
    </w:tbl>
    <w:p>
      <w:pPr>
        <w:spacing w:after="60"/>
      </w:pPr>
    </w:p>
    <w:p>
      <w:r>
        <w:rPr>
          <w:rFonts w:ascii="Calibri" w:hAnsi="Calibri"/>
          <w:color w:val="111827"/>
          <w:sz w:val="22"/>
        </w:rPr>
        <w:t xml:space="preserve">The Android Automotive client continues to access only the public ATEP API. It never connects to PostgreSQL or RabbitMQ directly. Stable errors include </w:t>
      </w:r>
      <w:r>
        <w:rPr>
          <w:rFonts w:ascii="Consolas" w:hAnsi="Consolas"/>
          <w:color w:val="1F4D78"/>
          <w:sz w:val="19"/>
        </w:rPr>
        <w:t>ecu_not_found</w:t>
      </w:r>
      <w:r>
        <w:rPr>
          <w:rFonts w:ascii="Calibri" w:hAnsi="Calibri"/>
          <w:color w:val="111827"/>
          <w:sz w:val="22"/>
        </w:rPr>
        <w:t xml:space="preserve">, </w:t>
      </w:r>
      <w:r>
        <w:rPr>
          <w:rFonts w:ascii="Consolas" w:hAnsi="Consolas"/>
          <w:color w:val="1F4D78"/>
          <w:sz w:val="19"/>
        </w:rPr>
        <w:t>ecu_identifier_already_exists</w:t>
      </w:r>
      <w:r>
        <w:rPr>
          <w:rFonts w:ascii="Calibri" w:hAnsi="Calibri"/>
          <w:color w:val="111827"/>
          <w:sz w:val="22"/>
        </w:rPr>
        <w:t xml:space="preserve">, and </w:t>
      </w:r>
      <w:r>
        <w:rPr>
          <w:rFonts w:ascii="Consolas" w:hAnsi="Consolas"/>
          <w:color w:val="1F4D78"/>
          <w:sz w:val="19"/>
        </w:rPr>
        <w:t>ecu_state_version_conflict</w:t>
      </w:r>
      <w:r>
        <w:rPr>
          <w:rFonts w:ascii="Calibri" w:hAnsi="Calibri"/>
          <w:color w:val="111827"/>
          <w:sz w:val="22"/>
        </w:rPr>
        <w:t>.</w:t>
      </w:r>
    </w:p>
    <w:p>
      <w:pPr>
        <w:pStyle w:val="Heading1"/>
        <w:keepNext/>
        <w:keepLines/>
      </w:pPr>
      <w:r>
        <w:t>8. Consistency and Evidence</w:t>
      </w:r>
    </w:p>
    <w:p>
      <w:r>
        <w:rPr>
          <w:rFonts w:ascii="Calibri" w:hAnsi="Calibri"/>
          <w:color w:val="111827"/>
          <w:sz w:val="22"/>
        </w:rPr>
        <w:t xml:space="preserve">Creation and state replacement add audit and outbox rows in the same transaction as the aggregate. State mutation locks the ECU row and compares </w:t>
      </w:r>
      <w:r>
        <w:rPr>
          <w:rFonts w:ascii="Consolas" w:hAnsi="Consolas"/>
          <w:color w:val="1F4D78"/>
          <w:sz w:val="19"/>
        </w:rPr>
        <w:t>expected_version</w:t>
      </w:r>
      <w:r>
        <w:rPr>
          <w:rFonts w:ascii="Calibri" w:hAnsi="Calibri"/>
          <w:color w:val="111827"/>
          <w:sz w:val="22"/>
        </w:rPr>
        <w:t>. Exact replay of the preceding state is accepted as idempotent; a different stale state is rejected. Audit evidence records counts and identity but excludes complete memory and fault payloads to reduce sensitive or excessive logging.</w:t>
      </w:r>
    </w:p>
    <w:p>
      <w:pPr>
        <w:pStyle w:val="Heading2"/>
        <w:keepNext/>
        <w:keepLines/>
      </w:pPr>
      <w:r>
        <w:t>8.1 Deterministic Scheduling and Reset</w:t>
      </w:r>
    </w:p>
    <w:p>
      <w:r>
        <w:rPr>
          <w:rFonts w:ascii="Calibri" w:hAnsi="Calibri"/>
          <w:color w:val="111827"/>
          <w:sz w:val="22"/>
        </w:rPr>
        <w:t xml:space="preserve">The scheduler counts due executions over </w:t>
      </w:r>
      <w:r>
        <w:rPr>
          <w:rFonts w:ascii="Consolas" w:hAnsi="Consolas"/>
          <w:color w:val="1F4D78"/>
          <w:sz w:val="19"/>
        </w:rPr>
        <w:t>(previous_time, new_time]</w:t>
      </w:r>
      <w:r>
        <w:rPr>
          <w:rFonts w:ascii="Calibri" w:hAnsi="Calibri"/>
          <w:color w:val="111827"/>
          <w:sz w:val="22"/>
        </w:rPr>
        <w:t xml:space="preserve"> using arithmetic, not loops over every millisecond, and never real-time sleep. Each result reports count and first and last due times per task. Response size therefore follows configured task count rather than elapsed cycles.</w:t>
      </w:r>
    </w:p>
    <w:p>
      <w:r>
        <w:rPr>
          <w:rFonts w:ascii="Calibri" w:hAnsi="Calibri"/>
          <w:color w:val="111827"/>
          <w:sz w:val="22"/>
        </w:rPr>
        <w:t>Reset durations are fixed: soft 10 ms, hard 100 ms, and power cycle 500 ms. Reset increments the boot counter, advances logical time, and becomes offline unless a confirmed critical fault requires fault state. Soft reset preserves memory; hard and power-cycle reset restore volatile cells to their region reset value while preserving non-volatile cells. Fault records remain unchanged.</w:t>
      </w:r>
    </w:p>
    <w:p>
      <w:pPr>
        <w:pStyle w:val="Heading2"/>
        <w:keepNext/>
        <w:keepLines/>
      </w:pPr>
      <w:r>
        <w:t>8.2 Profile Execution</w:t>
      </w:r>
    </w:p>
    <w:p>
      <w:r>
        <w:rPr>
          <w:rFonts w:ascii="Calibri" w:hAnsi="Calibri"/>
          <w:color w:val="111827"/>
          <w:sz w:val="22"/>
        </w:rPr>
        <w:t>The immutable registry defines a version, allowed task schedules, initial behavior state, and a state effect for every task. Creation applies defaults when callers omit them. State replacement rejects unknown task IDs, modified schedules, and unknown state keys. During logical-time advance, aggregated execution counts update integer counters once; no wall-clock or protocol adapter is used.</w:t>
      </w:r>
    </w:p>
    <w:p>
      <w:pPr>
        <w:pStyle w:val="Heading2"/>
        <w:keepNext/>
        <w:keepLines/>
      </w:pPr>
      <w:r>
        <w:t>8.3 Memory Persistence and Evidence</w:t>
      </w:r>
    </w:p>
    <w:p>
      <w:r>
        <w:rPr>
          <w:rFonts w:ascii="Calibri" w:hAnsi="Calibri"/>
          <w:color w:val="111827"/>
          <w:sz w:val="22"/>
        </w:rPr>
        <w:t>Regions are non-overlapping and every initialized sparse cell belongs to exactly one region. Soft reset preserves all cells; hard and power-cycle reset restore volatile cells to their region reset value while retaining non-volatile cells. Snapshots contain no more than 256 cells and use a canonical SHA-256 checksum. Audit records store checksum and counts rather than full memory images. Seeded corruption flips a bounded number of bits and persists command identity for exact replay.</w:t>
      </w:r>
    </w:p>
    <w:p>
      <w:pPr>
        <w:pStyle w:val="Heading2"/>
        <w:keepNext/>
        <w:keepLines/>
      </w:pPr>
      <w:r>
        <w:t>8.4 Fault Lifecycle and Diagnostic Intent</w:t>
      </w:r>
    </w:p>
    <w:p>
      <w:r>
        <w:rPr>
          <w:rFonts w:ascii="Calibri" w:hAnsi="Calibri"/>
          <w:color w:val="111827"/>
          <w:sz w:val="22"/>
        </w:rPr>
        <w:t>Each observation is evaluated at the ECU's current logical time. Consecutive detections increment the occurrence counter and confirm the fault at its configured threshold. Consecutive absences increment the healing counter and heal non-latched faults at their configured threshold. Confirmed critical faults force the ECU into fault state; after the final critical fault heals or is cleared, the ECU moves to degraded state for explicit recovery handling.</w:t>
      </w:r>
    </w:p>
    <w:p>
      <w:r>
        <w:rPr>
          <w:rFonts w:ascii="Calibri" w:hAnsi="Calibri"/>
          <w:color w:val="111827"/>
          <w:sz w:val="22"/>
        </w:rPr>
        <w:t>Latched confirmed faults ignore automatic healing and require an explicit clear command. Observation and clear commands persist command identity, so exact retries do not mutate counters or versions twice. Audit and outbox evidence includes the transition, code, status, and bounded counts, not the complete fault collection. DTC candidates express diagnostic intent but deliberately contain no UDS types or assigned DTC numbers.</w:t>
      </w:r>
    </w:p>
    <w:p>
      <w:pPr>
        <w:pStyle w:val="Heading2"/>
        <w:keepNext/>
        <w:keepLines/>
      </w:pPr>
      <w:r>
        <w:t>8.5 Signal Publication and Gateway Routes</w:t>
      </w:r>
    </w:p>
    <w:p>
      <w:r>
        <w:rPr>
          <w:rFonts w:ascii="Calibri" w:hAnsi="Calibri"/>
          <w:color w:val="111827"/>
          <w:sz w:val="22"/>
        </w:rPr>
        <w:t>Signal publication changes a produced contract under a row lock and expected ECU version. The published timestamp is the ECU logical clock, not host time. Persisted command identity makes exact retries safe. Evidence includes contract identity, type, direction, and logical time but excludes the physical value.</w:t>
      </w:r>
    </w:p>
    <w:p>
      <w:r>
        <w:rPr>
          <w:rFonts w:ascii="Calibri" w:hAnsi="Calibri"/>
          <w:color w:val="111827"/>
          <w:sz w:val="22"/>
        </w:rPr>
        <w:t>Only a gateway ECU can own a route. Its source and target are distinct ECUs in the same vehicle; the source contract must be produced, the target consumed, and type/unit must match. Transfer locks both ECUs, compares source and target versions, copies the source value to the target at target logical time, and increments only the target version. This is an adapter hook: no CAN ID, frame, DBC, arbitration, bitrate, or bus timing exists in the ECU domain.</w:t>
      </w:r>
    </w:p>
    <w:p>
      <w:pPr>
        <w:pStyle w:val="Heading1"/>
        <w:keepNext/>
        <w:keepLines/>
      </w:pPr>
      <w:r>
        <w:t>9. Functional Requirements</w:t>
      </w:r>
    </w:p>
    <w:p>
      <w:r>
        <w:rPr>
          <w:rFonts w:ascii="Calibri" w:hAnsi="Calibri"/>
          <w:color w:val="111827"/>
          <w:sz w:val="22"/>
        </w:rPr>
        <w:t xml:space="preserve">The authoritative catalogue is </w:t>
      </w:r>
      <w:r>
        <w:rPr>
          <w:rFonts w:ascii="Consolas" w:hAnsi="Consolas"/>
          <w:color w:val="1F4D78"/>
          <w:sz w:val="19"/>
        </w:rPr>
        <w:t>docs/requirements-volume-iii.md</w:t>
      </w:r>
      <w:r>
        <w:rPr>
          <w:rFonts w:ascii="Calibri" w:hAnsi="Calibri"/>
          <w:color w:val="111827"/>
          <w:sz w:val="22"/>
        </w:rPr>
        <w:t>. III-1 covers the aggregate, III-2 covers deterministic execution and reset, III-3 covers versioned profiles, III-4 covers memory regions, snapshots, persistence, and corruption, III-5 covers fault lifecycle and DTC intent, and III-6 covers semantic signal contracts and gateway routing hooks.</w:t>
      </w:r>
    </w:p>
    <w:p>
      <w:pPr>
        <w:pStyle w:val="Heading1"/>
        <w:keepNext/>
        <w:keepLines/>
      </w:pPr>
      <w:r>
        <w:t>10. Architecture Decisions</w:t>
      </w:r>
    </w:p>
    <w:p>
      <w:pPr>
        <w:pStyle w:val="Heading2"/>
        <w:keepNext/>
        <w:keepLines/>
      </w:pPr>
      <w:r>
        <w:t>ADR-ECU-001 — Establish a Protocol-Independent ECU Aggregate</w:t>
      </w:r>
    </w:p>
    <w:p>
      <w:r>
        <w:rPr>
          <w:rFonts w:ascii="Calibri" w:hAnsi="Calibri"/>
          <w:color w:val="111827"/>
          <w:sz w:val="22"/>
        </w:rPr>
        <w:t>CAN and UDS will depend on a single ECU identity and state model. This prevents protocol modules from creating incompatible controller representations.</w:t>
      </w:r>
    </w:p>
    <w:p>
      <w:pPr>
        <w:pStyle w:val="Heading2"/>
        <w:keepNext/>
        <w:keepLines/>
      </w:pPr>
      <w:r>
        <w:t>ADR-ECU-002 — Model Memory as a Bounded Sparse Byte Map</w:t>
      </w:r>
    </w:p>
    <w:p>
      <w:r>
        <w:rPr>
          <w:rFonts w:ascii="Calibri" w:hAnsi="Calibri"/>
          <w:color w:val="111827"/>
          <w:sz w:val="22"/>
        </w:rPr>
        <w:t>A sparse address/value list is easy to validate, serialize, and inspect. It supports early tests while avoiding the resource cost and ambiguity of arbitrary binary blobs.</w:t>
      </w:r>
    </w:p>
    <w:p>
      <w:pPr>
        <w:pStyle w:val="Heading2"/>
        <w:keepNext/>
        <w:keepLines/>
      </w:pPr>
      <w:r>
        <w:t>ADR-ECU-003 — Make Faults Explicit Domain Data</w:t>
      </w:r>
    </w:p>
    <w:p>
      <w:r>
        <w:rPr>
          <w:rFonts w:ascii="Calibri" w:hAnsi="Calibri"/>
          <w:color w:val="111827"/>
          <w:sz w:val="22"/>
        </w:rPr>
        <w:t>Faults are not hidden flags. Canonical codes, severity, confirmation status, and descriptions provide traceable inputs for later DTC, diagnostics, test generation, and root-cause analysis.</w:t>
      </w:r>
    </w:p>
    <w:p>
      <w:pPr>
        <w:pStyle w:val="Heading2"/>
        <w:keepNext/>
        <w:keepLines/>
      </w:pPr>
      <w:r>
        <w:t>ADR-ECU-004 — Use Whole-State Optimistic Replacement First</w:t>
      </w:r>
    </w:p>
    <w:p>
      <w:r>
        <w:rPr>
          <w:rFonts w:ascii="Calibri" w:hAnsi="Calibri"/>
          <w:color w:val="111827"/>
          <w:sz w:val="22"/>
        </w:rPr>
        <w:t>One versioned command gives deterministic conflict behavior and atomic evidence. Fine-grained memory and fault commands can be introduced later when their timing semantics are defined.</w:t>
      </w:r>
    </w:p>
    <w:p>
      <w:pPr>
        <w:pStyle w:val="Heading2"/>
        <w:keepNext/>
        <w:keepLines/>
      </w:pPr>
      <w:r>
        <w:t>ADR-ECU-005 — Use Logical Time and Aggregated Schedule Evidence</w:t>
      </w:r>
    </w:p>
    <w:p>
      <w:r>
        <w:rPr>
          <w:rFonts w:ascii="Calibri" w:hAnsi="Calibri"/>
          <w:color w:val="111827"/>
          <w:sz w:val="22"/>
        </w:rPr>
        <w:t>Wall-clock scheduling would make tests slow and nondeterministic. Arithmetic task summaries provide due-cycle evidence with bounded storage and no dependency on host performance.</w:t>
      </w:r>
    </w:p>
    <w:p>
      <w:pPr>
        <w:pStyle w:val="Heading2"/>
        <w:keepNext/>
        <w:keepLines/>
      </w:pPr>
      <w:r>
        <w:t>ADR-ECU-006 — Preserve State Until Memory Regions Exist</w:t>
      </w:r>
    </w:p>
    <w:p>
      <w:r>
        <w:rPr>
          <w:rFonts w:ascii="Calibri" w:hAnsi="Calibri"/>
          <w:color w:val="111827"/>
          <w:sz w:val="22"/>
        </w:rPr>
        <w:t>Clearing state before defining volatile and non-volatile regions would invent behavior. III-2 therefore preserved all memory; III-4 supersedes that transitional rule with explicit, region-driven persistence semantics.</w:t>
      </w:r>
    </w:p>
    <w:p>
      <w:pPr>
        <w:pStyle w:val="Heading2"/>
        <w:keepNext/>
        <w:keepLines/>
      </w:pPr>
      <w:r>
        <w:t>ADR-ECU-007 — Keep Behavior Profiles Immutable and Protocol-Independent</w:t>
      </w:r>
    </w:p>
    <w:p>
      <w:r>
        <w:rPr>
          <w:rFonts w:ascii="Calibri" w:hAnsi="Calibri"/>
          <w:color w:val="111827"/>
          <w:sz w:val="22"/>
        </w:rPr>
        <w:t>Profiles are source-controlled contracts rather than mutable database configuration. This makes tests reproducible and reviewable. CAN production, UDS diagnostics, and continuous physical models remain outside the profile registry and will integrate through later explicit boundaries.</w:t>
      </w:r>
    </w:p>
    <w:p>
      <w:pPr>
        <w:pStyle w:val="Heading2"/>
        <w:keepNext/>
        <w:keepLines/>
      </w:pPr>
      <w:r>
        <w:t>ADR-ECU-008 — Make Memory Persistence Region-Driven</w:t>
      </w:r>
    </w:p>
    <w:p>
      <w:r>
        <w:rPr>
          <w:rFonts w:ascii="Calibri" w:hAnsi="Calibri"/>
          <w:color w:val="111827"/>
          <w:sz w:val="22"/>
        </w:rPr>
        <w:t xml:space="preserve">Reset behavior follows explicit region kind rather than address conventions. This avoids hidden assumptions, preserves backward compatibility through </w:t>
      </w:r>
      <w:r>
        <w:rPr>
          <w:rFonts w:ascii="Consolas" w:hAnsi="Consolas"/>
          <w:color w:val="1F4D78"/>
          <w:sz w:val="19"/>
        </w:rPr>
        <w:t>legacy_nvm</w:t>
      </w:r>
      <w:r>
        <w:rPr>
          <w:rFonts w:ascii="Calibri" w:hAnsi="Calibri"/>
          <w:color w:val="111827"/>
          <w:sz w:val="22"/>
        </w:rPr>
        <w:t>, and makes volatile-state tests portable across ECU types.</w:t>
      </w:r>
    </w:p>
    <w:p>
      <w:pPr>
        <w:pStyle w:val="Heading2"/>
        <w:keepNext/>
        <w:keepLines/>
      </w:pPr>
      <w:r>
        <w:t>ADR-ECU-009 — Use Checksums and Seeds for Reproducible Memory Evidence</w:t>
      </w:r>
    </w:p>
    <w:p>
      <w:r>
        <w:rPr>
          <w:rFonts w:ascii="Calibri" w:hAnsi="Calibri"/>
          <w:color w:val="111827"/>
          <w:sz w:val="22"/>
        </w:rPr>
        <w:t>Canonical checksums identify snapshot content without copying complete memory into audit logs. An explicit corruption seed, bounded flip count, optimistic version, and persisted command ID make fault injection repeatable and retry-safe.</w:t>
      </w:r>
    </w:p>
    <w:p>
      <w:pPr>
        <w:pStyle w:val="Heading2"/>
        <w:keepNext/>
        <w:keepLines/>
      </w:pPr>
      <w:r>
        <w:t>ADR-ECU-010 — Use Logical-Time Observations for Fault Debounce</w:t>
      </w:r>
    </w:p>
    <w:p>
      <w:r>
        <w:rPr>
          <w:rFonts w:ascii="Calibri" w:hAnsi="Calibri"/>
          <w:color w:val="111827"/>
          <w:sz w:val="22"/>
        </w:rPr>
        <w:t>Wall-clock timers make simulations host-dependent. Explicit detected/absent observations evaluated against bounded thresholds at the ECU logical time make confirmation and healing reproducible.</w:t>
      </w:r>
    </w:p>
    <w:p>
      <w:pPr>
        <w:pStyle w:val="Heading2"/>
        <w:keepNext/>
        <w:keepLines/>
      </w:pPr>
      <w:r>
        <w:t>ADR-ECU-011 — Keep the DTC Bridge Protocol-Independent</w:t>
      </w:r>
    </w:p>
    <w:p>
      <w:r>
        <w:rPr>
          <w:rFonts w:ascii="Calibri" w:hAnsi="Calibri"/>
          <w:color w:val="111827"/>
          <w:sz w:val="22"/>
        </w:rPr>
        <w:t>The ECU owns fault truth, while Diagnostics will own UDS identifiers, status bytes, and services. Publishing diagnostic intent prevents both domains from creating competing fault representations.</w:t>
      </w:r>
    </w:p>
    <w:p>
      <w:pPr>
        <w:pStyle w:val="Heading2"/>
        <w:keepNext/>
        <w:keepLines/>
      </w:pPr>
      <w:r>
        <w:t>ADR-ECU-012 — Separate Semantic Signals from CAN Transport</w:t>
      </w:r>
    </w:p>
    <w:p>
      <w:r>
        <w:rPr>
          <w:rFonts w:ascii="Calibri" w:hAnsi="Calibri"/>
          <w:color w:val="111827"/>
          <w:sz w:val="22"/>
        </w:rPr>
        <w:t>ECUs own physical meaning, direction, value constraints, and logical timestamps. Volume IV owns CAN identifiers, encoding, frames, arbitration, bus timing, and network faults. This allows alternate Ethernet or simulation adapters to reuse the same ECU contract.</w:t>
      </w:r>
    </w:p>
    <w:p>
      <w:pPr>
        <w:pStyle w:val="Heading2"/>
        <w:keepNext/>
        <w:keepLines/>
      </w:pPr>
      <w:r>
        <w:t>ADR-ECU-013 — Make Gateway Routing Explicit and Version-Guarded</w:t>
      </w:r>
    </w:p>
    <w:p>
      <w:r>
        <w:rPr>
          <w:rFonts w:ascii="Calibri" w:hAnsi="Calibri"/>
          <w:color w:val="111827"/>
          <w:sz w:val="22"/>
        </w:rPr>
        <w:t>Persistent routes provide reviewable source/target ownership. Matching type/unit rules prevent implicit conversion, while source and target versions expose stale transfers rather than silently copying a different value.</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Valid ECU creation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identity, defaults, ownership, audit, and event creation.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 identifier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stable conflict within the same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isolation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retrieving an ECU through a different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unbounded list reads and excessive offsets.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Type filter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only ECUs of the requested type.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Memory byte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negative addresses, addresses above 65535, and values above 255.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memory addresses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ambiguous duplicate cell updates.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code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Normalize valid codes and reject unsafe formats.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fault codes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faults in one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Critical fault invariant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fault state for a confirmed critical fault.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Successful state replacement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version and persist complete requested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aggregate without duplicate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Stale conflicting update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HTTP 409 with the current 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HTTP 403 without </w:t>
            </w:r>
            <w:r>
              <w:rPr>
                <w:rFonts w:ascii="Calibri" w:hAnsi="Calibri"/>
                <w:b w:val="0"/>
                <w:color w:val="111827"/>
                <w:sz w:val="17"/>
              </w:rPr>
              <w:t>ecus:read</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Manage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HTTP 403 without </w:t>
            </w:r>
            <w:r>
              <w:rPr>
                <w:rFonts w:ascii="Calibri" w:hAnsi="Calibri"/>
                <w:b w:val="0"/>
                <w:color w:val="111827"/>
                <w:sz w:val="17"/>
              </w:rPr>
              <w:t>ecus:manage</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Roll back aggregate and event together on transaction failure.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Ensure full memory and fault state is absent from audit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paths, schemas, filters, and safe limits are published.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upgrade/downgrade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schema lifecycle on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1"/>
        <w:keepNext/>
        <w:keepLines/>
      </w:pPr>
      <w:r>
        <w:t>11.1 III-2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schedule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Reproduce task counts and due boundaries from the same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Large advance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Keep output proportional to tasks rather than elapsed cycles.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Offline execution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cyclic execution outside running/degraded states.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Advance exact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logical time and version from advancing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Command-ID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reuse of an ID with a different command.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duration matrix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fixed soft, hard, and power-cycle durations.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preservation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memory and faults remain unchanged in III-2.</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boot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boot count exactly once, including after retry.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Critical reset invariant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Keep fault state while a confirmed critical fault remains.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bl>
    <w:p>
      <w:pPr>
        <w:spacing w:after="60"/>
      </w:pPr>
    </w:p>
    <w:p>
      <w:pPr>
        <w:pStyle w:val="Heading1"/>
        <w:keepNext/>
        <w:keepLines/>
      </w:pPr>
      <w:r>
        <w:t>11.2 III-3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Profile coverage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a versioned profile for every supported ECU type.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Distinct controller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motor, battery, body, gateway, and ABS safety schedules differ.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Creation defaults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profile tasks and initial state when omitted.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Unsupported task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task IDs outside the ECU type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Schedule drift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periods or offsets for a known task.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State-key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unbounded or unknown behavior-state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transition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counter changes from aggregated task-run counts.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Profile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Require </w:t>
            </w:r>
            <w:r>
              <w:rPr>
                <w:rFonts w:ascii="Calibri" w:hAnsi="Calibri"/>
                <w:b w:val="0"/>
                <w:color w:val="111827"/>
                <w:sz w:val="17"/>
              </w:rPr>
              <w:t>ecus:read</w:t>
            </w:r>
            <w:r>
              <w:rPr>
                <w:rFonts w:ascii="Calibri" w:hAnsi="Calibri"/>
                <w:b w:val="0"/>
                <w:color w:val="111827"/>
                <w:sz w:val="17"/>
              </w:rPr>
              <w:t xml:space="preserve"> for catalogue and detail endpoints.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profile paths and typed schemas.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bl>
    <w:p>
      <w:pPr>
        <w:spacing w:after="60"/>
      </w:pPr>
    </w:p>
    <w:p>
      <w:pPr>
        <w:pStyle w:val="Heading1"/>
        <w:keepNext/>
        <w:keepLines/>
      </w:pPr>
      <w:r>
        <w:t>11.3 III-4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Region overlap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ambiguous memory ownership.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Unassigned cell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every initialized cell to belong to one region.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 reset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volatile and non-volatile cells.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Hard reset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Reset volatile cells and preserve non-volatile cells.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Power-cycle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the same defined volatile-memory rule.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Snapshot checksum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Produce the same checksum for canonical memory content.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Snapshot restore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stale expected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Seeded corruption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Reproduce the same bit changes from the same state and seed.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Corruption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applying an exact command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Memory RBAC and 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protected, typed memory endpoints.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Contract/integration</w:t>
            </w:r>
          </w:p>
        </w:tc>
      </w:tr>
    </w:tbl>
    <w:p>
      <w:pPr>
        <w:spacing w:after="60"/>
      </w:pPr>
    </w:p>
    <w:p>
      <w:pPr>
        <w:pStyle w:val="Heading1"/>
        <w:keepNext/>
        <w:keepLines/>
      </w:pPr>
      <w:r>
        <w:t>11.4 III-5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Confirmation debounce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only when the configured detection threshold is reached.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Healing debounce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 only after the configured consecutive-absence threshold.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Logical timestamps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first-seen, last-seen, confirmed, and healed evidence from ECU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Critical transition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Move an ECU to fault state when a critical fault confirms.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Latched absence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an active confirmed latch despite absent observations.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Explicit clear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 and unlatch a fault only through an authorized clear command.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incrementing lifecycle counters or versions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Policy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policy changes while one fault activation is active.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projection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protocol-independent diagnostic intent without UDS coupling.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RBAC and 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protected, typed lifecycle endpoints.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Contract/integration</w:t>
            </w:r>
          </w:p>
        </w:tc>
      </w:tr>
    </w:tbl>
    <w:p>
      <w:pPr>
        <w:spacing w:after="60"/>
      </w:pPr>
    </w:p>
    <w:p>
      <w:pPr>
        <w:pStyle w:val="Heading1"/>
        <w:keepNext/>
        <w:keepLines/>
      </w:pPr>
      <w:r>
        <w:t>11.5 III-6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Signal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65th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Strict data type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coercion and values that disagree with the declaration.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Physical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values below minimum or above maximum.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Direction uniqueness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names within one direction.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Publication clock</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Record the ECU logical time without wall-clock access.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Publication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changing value or version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Gateway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route creation by a non-gateway ECU.</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Route compatibility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produced-to-consumed direction plus matching type and unit.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Transfer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stale source or target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transfer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Copy the value and commit target, audit, command, and event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Signal RBAC/OpenAPI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protected, typed, safely paginated endpoints.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Transport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no CAN ID, frame, DBC, arbitration, or bitrate type is imported.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src/atep/ecus/</w:t>
      </w:r>
      <w:r>
        <w:rPr>
          <w:rFonts w:ascii="Calibri" w:hAnsi="Calibri"/>
          <w:color w:val="111827"/>
          <w:sz w:val="22"/>
        </w:rPr>
        <w:t xml:space="preserve"> contains models, schemas, services, and routers.</w:t>
      </w:r>
    </w:p>
    <w:p>
      <w:pPr>
        <w:pStyle w:val="ListBullet"/>
        <w:numPr>
          <w:ilvl w:val="0"/>
          <w:numId w:val="13"/>
        </w:numPr>
      </w:pPr>
      <w:r>
        <w:rPr>
          <w:rFonts w:ascii="Calibri" w:hAnsi="Calibri"/>
          <w:color w:val="111827"/>
          <w:sz w:val="22"/>
        </w:rPr>
        <w:t xml:space="preserve">Migrations </w:t>
      </w:r>
      <w:r>
        <w:rPr>
          <w:rFonts w:ascii="Consolas" w:hAnsi="Consolas"/>
          <w:color w:val="1F4D78"/>
          <w:sz w:val="19"/>
        </w:rPr>
        <w:t>0018_ecu_aggregate</w:t>
      </w:r>
      <w:r>
        <w:rPr>
          <w:rFonts w:ascii="Calibri" w:hAnsi="Calibri"/>
          <w:color w:val="111827"/>
          <w:sz w:val="22"/>
        </w:rPr>
        <w:t xml:space="preserve">, </w:t>
      </w:r>
      <w:r>
        <w:rPr>
          <w:rFonts w:ascii="Consolas" w:hAnsi="Consolas"/>
          <w:color w:val="1F4D78"/>
          <w:sz w:val="19"/>
        </w:rPr>
        <w:t>0019_ecu_execution_clock</w:t>
      </w:r>
      <w:r>
        <w:rPr>
          <w:rFonts w:ascii="Calibri" w:hAnsi="Calibri"/>
          <w:color w:val="111827"/>
          <w:sz w:val="22"/>
        </w:rPr>
        <w:t>, and</w:t>
      </w:r>
    </w:p>
    <w:p>
      <w:r>
        <w:rPr>
          <w:rFonts w:ascii="Consolas" w:hAnsi="Consolas"/>
          <w:color w:val="1F4D78"/>
          <w:sz w:val="19"/>
        </w:rPr>
        <w:t>0020_ecu_behavior_profiles</w:t>
      </w:r>
      <w:r>
        <w:rPr>
          <w:rFonts w:ascii="Calibri" w:hAnsi="Calibri"/>
          <w:color w:val="111827"/>
          <w:sz w:val="22"/>
        </w:rPr>
        <w:t xml:space="preserve">, </w:t>
      </w:r>
      <w:r>
        <w:rPr>
          <w:rFonts w:ascii="Consolas" w:hAnsi="Consolas"/>
          <w:color w:val="1F4D78"/>
          <w:sz w:val="19"/>
        </w:rPr>
        <w:t>0021_ecu_memory_regions</w:t>
      </w:r>
      <w:r>
        <w:rPr>
          <w:rFonts w:ascii="Calibri" w:hAnsi="Calibri"/>
          <w:color w:val="111827"/>
          <w:sz w:val="22"/>
        </w:rPr>
        <w:t xml:space="preserve">, and </w:t>
      </w:r>
      <w:r>
        <w:rPr>
          <w:rFonts w:ascii="Consolas" w:hAnsi="Consolas"/>
          <w:color w:val="1F4D78"/>
          <w:sz w:val="19"/>
        </w:rPr>
        <w:t>0022_ecu_signal_contracts</w:t>
      </w:r>
      <w:r>
        <w:rPr>
          <w:rFonts w:ascii="Calibri" w:hAnsi="Calibri"/>
          <w:color w:val="111827"/>
          <w:sz w:val="22"/>
        </w:rPr>
        <w:t xml:space="preserve"> own the database schema.</w:t>
      </w:r>
    </w:p>
    <w:p>
      <w:pPr>
        <w:pStyle w:val="ListBullet"/>
        <w:numPr>
          <w:ilvl w:val="0"/>
          <w:numId w:val="14"/>
        </w:numPr>
      </w:pPr>
      <w:r>
        <w:rPr>
          <w:rFonts w:ascii="Calibri" w:hAnsi="Calibri"/>
          <w:color w:val="111827"/>
          <w:sz w:val="22"/>
        </w:rPr>
        <w:t xml:space="preserve">Permission catalogue contains </w:t>
      </w:r>
      <w:r>
        <w:rPr>
          <w:rFonts w:ascii="Consolas" w:hAnsi="Consolas"/>
          <w:color w:val="1F4D78"/>
          <w:sz w:val="19"/>
        </w:rPr>
        <w:t>ecus:read</w:t>
      </w:r>
      <w:r>
        <w:rPr>
          <w:rFonts w:ascii="Calibri" w:hAnsi="Calibri"/>
          <w:color w:val="111827"/>
          <w:sz w:val="22"/>
        </w:rPr>
        <w:t xml:space="preserve"> and </w:t>
      </w:r>
      <w:r>
        <w:rPr>
          <w:rFonts w:ascii="Consolas" w:hAnsi="Consolas"/>
          <w:color w:val="1F4D78"/>
          <w:sz w:val="19"/>
        </w:rPr>
        <w:t>ecus:manage</w:t>
      </w:r>
      <w:r>
        <w:rPr>
          <w:rFonts w:ascii="Calibri" w:hAnsi="Calibri"/>
          <w:color w:val="111827"/>
          <w:sz w:val="22"/>
        </w:rPr>
        <w:t>.</w:t>
      </w:r>
    </w:p>
    <w:p>
      <w:pPr>
        <w:pStyle w:val="ListBullet"/>
        <w:numPr>
          <w:ilvl w:val="0"/>
          <w:numId w:val="14"/>
        </w:numPr>
      </w:pPr>
      <w:r>
        <w:rPr>
          <w:rFonts w:ascii="Calibri" w:hAnsi="Calibri"/>
          <w:color w:val="111827"/>
          <w:sz w:val="22"/>
        </w:rPr>
        <w:t xml:space="preserve">Events are </w:t>
      </w:r>
      <w:r>
        <w:rPr>
          <w:rFonts w:ascii="Consolas" w:hAnsi="Consolas"/>
          <w:color w:val="1F4D78"/>
          <w:sz w:val="19"/>
        </w:rPr>
        <w:t>atep.ecu.created.v1</w:t>
      </w:r>
      <w:r>
        <w:rPr>
          <w:rFonts w:ascii="Calibri" w:hAnsi="Calibri"/>
          <w:color w:val="111827"/>
          <w:sz w:val="22"/>
        </w:rPr>
        <w:t xml:space="preserve"> and </w:t>
      </w:r>
      <w:r>
        <w:rPr>
          <w:rFonts w:ascii="Consolas" w:hAnsi="Consolas"/>
          <w:color w:val="1F4D78"/>
          <w:sz w:val="19"/>
        </w:rPr>
        <w:t>atep.ecu.state.updated.v1</w:t>
      </w:r>
      <w:r>
        <w:rPr>
          <w:rFonts w:ascii="Calibri" w:hAnsi="Calibri"/>
          <w:color w:val="111827"/>
          <w:sz w:val="22"/>
        </w:rPr>
        <w:t>.</w:t>
      </w:r>
    </w:p>
    <w:p>
      <w:pPr>
        <w:pStyle w:val="ListBullet"/>
        <w:numPr>
          <w:ilvl w:val="0"/>
          <w:numId w:val="14"/>
        </w:numPr>
      </w:pPr>
      <w:r>
        <w:rPr>
          <w:rFonts w:ascii="Calibri" w:hAnsi="Calibri"/>
          <w:color w:val="111827"/>
          <w:sz w:val="22"/>
        </w:rPr>
        <w:t xml:space="preserve">Simulation events are </w:t>
      </w:r>
      <w:r>
        <w:rPr>
          <w:rFonts w:ascii="Consolas" w:hAnsi="Consolas"/>
          <w:color w:val="1F4D78"/>
          <w:sz w:val="19"/>
        </w:rPr>
        <w:t>atep.ecu.simulation.advanced.v1</w:t>
      </w:r>
      <w:r>
        <w:rPr>
          <w:rFonts w:ascii="Calibri" w:hAnsi="Calibri"/>
          <w:color w:val="111827"/>
          <w:sz w:val="22"/>
        </w:rPr>
        <w:t xml:space="preserve"> and </w:t>
      </w:r>
      <w:r>
        <w:rPr>
          <w:rFonts w:ascii="Consolas" w:hAnsi="Consolas"/>
          <w:color w:val="1F4D78"/>
          <w:sz w:val="19"/>
        </w:rPr>
        <w:t>atep.ecu.reset.completed.v1</w:t>
      </w:r>
      <w:r>
        <w:rPr>
          <w:rFonts w:ascii="Calibri" w:hAnsi="Calibri"/>
          <w:color w:val="111827"/>
          <w:sz w:val="22"/>
        </w:rPr>
        <w:t>.</w:t>
      </w:r>
    </w:p>
    <w:p>
      <w:pPr>
        <w:pStyle w:val="ListBullet"/>
        <w:numPr>
          <w:ilvl w:val="0"/>
          <w:numId w:val="14"/>
        </w:numPr>
      </w:pPr>
      <w:r>
        <w:rPr>
          <w:rFonts w:ascii="Calibri" w:hAnsi="Calibri"/>
          <w:color w:val="111827"/>
          <w:sz w:val="22"/>
        </w:rPr>
        <w:t>Memory events cover snapshot creation/restoration and deterministic corruption.</w:t>
      </w:r>
    </w:p>
    <w:p>
      <w:pPr>
        <w:pStyle w:val="ListBullet"/>
        <w:numPr>
          <w:ilvl w:val="0"/>
          <w:numId w:val="14"/>
        </w:numPr>
      </w:pPr>
      <w:r>
        <w:rPr>
          <w:rFonts w:ascii="Calibri" w:hAnsi="Calibri"/>
          <w:color w:val="111827"/>
          <w:sz w:val="22"/>
        </w:rPr>
        <w:t xml:space="preserve">Fault events use </w:t>
      </w:r>
      <w:r>
        <w:rPr>
          <w:rFonts w:ascii="Consolas" w:hAnsi="Consolas"/>
          <w:color w:val="1F4D78"/>
          <w:sz w:val="19"/>
        </w:rPr>
        <w:t>atep.ecu.fault.lifecycle.changed.v1</w:t>
      </w:r>
      <w:r>
        <w:rPr>
          <w:rFonts w:ascii="Calibri" w:hAnsi="Calibri"/>
          <w:color w:val="111827"/>
          <w:sz w:val="22"/>
        </w:rPr>
        <w:t xml:space="preserve"> for observation and explicit-clear evidence; signal events cover publication, route creation, and routed transfer without physical values in audit evidence.</w:t>
      </w:r>
    </w:p>
    <w:p>
      <w:pPr>
        <w:pStyle w:val="ListBullet"/>
        <w:numPr>
          <w:ilvl w:val="0"/>
          <w:numId w:val="14"/>
        </w:numPr>
      </w:pPr>
      <w:r>
        <w:rPr>
          <w:rFonts w:ascii="Calibri" w:hAnsi="Calibri"/>
          <w:color w:val="111827"/>
          <w:sz w:val="22"/>
        </w:rPr>
        <w:t>Automated tests cover validation, atomic evidence, concurrency, idempotency, permissions, and API contracts.</w:t>
      </w:r>
    </w:p>
    <w:p>
      <w:pPr>
        <w:pStyle w:val="Heading1"/>
        <w:keepNext/>
        <w:keepLines/>
      </w:pPr>
      <w:r>
        <w:t>13. Risks and Technical Debt</w:t>
      </w:r>
    </w:p>
    <w:p>
      <w:pPr>
        <w:pStyle w:val="ListBullet"/>
        <w:numPr>
          <w:ilvl w:val="0"/>
          <w:numId w:val="15"/>
        </w:numPr>
      </w:pPr>
      <w:r>
        <w:rPr>
          <w:rFonts w:ascii="Calibri" w:hAnsi="Calibri"/>
          <w:color w:val="111827"/>
          <w:sz w:val="22"/>
        </w:rPr>
        <w:t>JSON state is practical for the baseline but may require normalized history tables for large traces.</w:t>
      </w:r>
    </w:p>
    <w:p>
      <w:pPr>
        <w:pStyle w:val="ListBullet"/>
        <w:numPr>
          <w:ilvl w:val="0"/>
          <w:numId w:val="15"/>
        </w:numPr>
      </w:pPr>
      <w:r>
        <w:rPr>
          <w:rFonts w:ascii="Calibri" w:hAnsi="Calibri"/>
          <w:color w:val="111827"/>
          <w:sz w:val="22"/>
        </w:rPr>
        <w:t>Whole-state replacement is not intended for high-frequency RAM writes.</w:t>
      </w:r>
    </w:p>
    <w:p>
      <w:pPr>
        <w:pStyle w:val="ListBullet"/>
        <w:numPr>
          <w:ilvl w:val="0"/>
          <w:numId w:val="15"/>
        </w:numPr>
      </w:pPr>
      <w:r>
        <w:rPr>
          <w:rFonts w:ascii="Calibri" w:hAnsi="Calibri"/>
          <w:color w:val="111827"/>
          <w:sz w:val="22"/>
        </w:rPr>
        <w:t>Coordination profiles for door, ADAS, climate, and lighting intentionally share a baseline and</w:t>
      </w:r>
    </w:p>
    <w:p>
      <w:r>
        <w:rPr>
          <w:rFonts w:ascii="Calibri" w:hAnsi="Calibri"/>
          <w:color w:val="111827"/>
          <w:sz w:val="22"/>
        </w:rPr>
        <w:t>need specialization in later scenario-driven work.</w:t>
      </w:r>
    </w:p>
    <w:p>
      <w:pPr>
        <w:pStyle w:val="ListBullet"/>
        <w:numPr>
          <w:ilvl w:val="0"/>
          <w:numId w:val="16"/>
        </w:numPr>
      </w:pPr>
      <w:r>
        <w:rPr>
          <w:rFonts w:ascii="Calibri" w:hAnsi="Calibri"/>
          <w:color w:val="111827"/>
          <w:sz w:val="22"/>
        </w:rPr>
        <w:t>Snapshot retention limits and deletion policy require an enterprise storage decision.</w:t>
      </w:r>
    </w:p>
    <w:p>
      <w:pPr>
        <w:pStyle w:val="ListBullet"/>
        <w:numPr>
          <w:ilvl w:val="0"/>
          <w:numId w:val="16"/>
        </w:numPr>
      </w:pPr>
      <w:r>
        <w:rPr>
          <w:rFonts w:ascii="Calibri" w:hAnsi="Calibri"/>
          <w:color w:val="111827"/>
          <w:sz w:val="22"/>
        </w:rPr>
        <w:t>Actual DTC identifiers, status-byte semantics, and aging belong to the Diagnostics boundary.</w:t>
      </w:r>
    </w:p>
    <w:p>
      <w:pPr>
        <w:pStyle w:val="ListBullet"/>
        <w:numPr>
          <w:ilvl w:val="0"/>
          <w:numId w:val="16"/>
        </w:numPr>
      </w:pPr>
      <w:r>
        <w:rPr>
          <w:rFonts w:ascii="Calibri" w:hAnsi="Calibri"/>
          <w:color w:val="111827"/>
          <w:sz w:val="22"/>
        </w:rPr>
        <w:t>Cross-route lock ordering must be hardened before high-concurrency multi-gateway execution.</w:t>
      </w:r>
    </w:p>
    <w:p>
      <w:pPr>
        <w:pStyle w:val="ListBullet"/>
        <w:numPr>
          <w:ilvl w:val="0"/>
          <w:numId w:val="16"/>
        </w:numPr>
      </w:pPr>
      <w:r>
        <w:rPr>
          <w:rFonts w:ascii="Calibri" w:hAnsi="Calibri"/>
          <w:color w:val="111827"/>
          <w:sz w:val="22"/>
        </w:rPr>
        <w:t>Unit conversion is intentionally absent; routes currently require exact unit equality.</w:t>
      </w:r>
    </w:p>
    <w:p>
      <w:pPr>
        <w:pStyle w:val="Heading1"/>
        <w:keepNext/>
        <w:keepLines/>
      </w:pPr>
      <w:r>
        <w:t>14. Roadmap</w:t>
      </w:r>
    </w:p>
    <w:p>
      <w:r>
        <w:rPr>
          <w:rFonts w:ascii="Calibri" w:hAnsi="Calibri"/>
          <w:color w:val="111827"/>
          <w:sz w:val="22"/>
        </w:rPr>
        <w:t xml:space="preserve">The next increment adds multi-ECU scenarios, logical-time diagnostics, bounded resource metrics, and repeatable failure campaigns. CAN bus implementation remains in Volume IV. See </w:t>
      </w:r>
      <w:r>
        <w:rPr>
          <w:rFonts w:ascii="Consolas" w:hAnsi="Consolas"/>
          <w:color w:val="1F4D78"/>
          <w:sz w:val="19"/>
        </w:rPr>
        <w:t>docs/roadmap-volume-iii.md</w:t>
      </w:r>
      <w:r>
        <w:rPr>
          <w:rFonts w:ascii="Calibri" w:hAnsi="Calibri"/>
          <w:color w:val="111827"/>
          <w:sz w:val="22"/>
        </w:rPr>
        <w:t>.</w:t>
      </w:r>
    </w:p>
    <w:p>
      <w:pPr>
        <w:pStyle w:val="Heading1"/>
        <w:keepNext/>
        <w:keepLines/>
      </w:pPr>
      <w:r>
        <w:t>15. Study Exercises</w:t>
      </w:r>
    </w:p>
    <w:p>
      <w:pPr>
        <w:pStyle w:val="ListNumber"/>
        <w:numPr>
          <w:ilvl w:val="0"/>
          <w:numId w:val="17"/>
        </w:numPr>
      </w:pPr>
      <w:r>
        <w:rPr>
          <w:rFonts w:ascii="Calibri" w:hAnsi="Calibri"/>
          <w:color w:val="111827"/>
          <w:sz w:val="22"/>
        </w:rPr>
        <w:t>Trace an ECU creation from request validation to database, audit, and outbox rows.</w:t>
      </w:r>
    </w:p>
    <w:p>
      <w:pPr>
        <w:pStyle w:val="ListNumber"/>
        <w:numPr>
          <w:ilvl w:val="0"/>
          <w:numId w:val="17"/>
        </w:numPr>
      </w:pPr>
      <w:r>
        <w:rPr>
          <w:rFonts w:ascii="Calibri" w:hAnsi="Calibri"/>
          <w:color w:val="111827"/>
          <w:sz w:val="22"/>
        </w:rPr>
        <w:t>Explain why an exact retry is safe but a different stale state must fail.</w:t>
      </w:r>
    </w:p>
    <w:p>
      <w:pPr>
        <w:pStyle w:val="ListNumber"/>
        <w:numPr>
          <w:ilvl w:val="0"/>
          <w:numId w:val="17"/>
        </w:numPr>
      </w:pPr>
      <w:r>
        <w:rPr>
          <w:rFonts w:ascii="Calibri" w:hAnsi="Calibri"/>
          <w:color w:val="111827"/>
          <w:sz w:val="22"/>
        </w:rPr>
        <w:t>Add a schema test for the 257th memory cell and interpret the global validation response.</w:t>
      </w:r>
    </w:p>
    <w:p>
      <w:pPr>
        <w:pStyle w:val="ListNumber"/>
        <w:numPr>
          <w:ilvl w:val="0"/>
          <w:numId w:val="17"/>
        </w:numPr>
      </w:pPr>
      <w:r>
        <w:rPr>
          <w:rFonts w:ascii="Calibri" w:hAnsi="Calibri"/>
          <w:color w:val="111827"/>
          <w:sz w:val="22"/>
        </w:rPr>
        <w:t>Compare the implemented reset behavior for volatile and non-volatile memory across all modes.</w:t>
      </w:r>
    </w:p>
    <w:p>
      <w:pPr>
        <w:pStyle w:val="ListNumber"/>
        <w:numPr>
          <w:ilvl w:val="0"/>
          <w:numId w:val="17"/>
        </w:numPr>
      </w:pPr>
      <w:r>
        <w:rPr>
          <w:rFonts w:ascii="Calibri" w:hAnsi="Calibri"/>
          <w:color w:val="111827"/>
          <w:sz w:val="22"/>
        </w:rPr>
        <w:t>Propose how a BMS ECU fault should later become a UDS DTC without coupling the two modules.</w:t>
      </w:r>
    </w:p>
    <w:p>
      <w:pPr>
        <w:pStyle w:val="ListNumber"/>
        <w:numPr>
          <w:ilvl w:val="0"/>
          <w:numId w:val="17"/>
        </w:numPr>
      </w:pPr>
      <w:r>
        <w:rPr>
          <w:rFonts w:ascii="Calibri" w:hAnsi="Calibri"/>
          <w:color w:val="111827"/>
          <w:sz w:val="22"/>
        </w:rPr>
        <w:t>Calculate the due times for a 100 ms task with a 20 ms offset over two consecutive advances.</w:t>
      </w:r>
    </w:p>
    <w:p>
      <w:pPr>
        <w:pStyle w:val="ListNumber"/>
        <w:numPr>
          <w:ilvl w:val="0"/>
          <w:numId w:val="17"/>
        </w:numPr>
      </w:pPr>
      <w:r>
        <w:rPr>
          <w:rFonts w:ascii="Calibri" w:hAnsi="Calibri"/>
          <w:color w:val="111827"/>
          <w:sz w:val="22"/>
        </w:rPr>
        <w:t>Explain how III-4 safely supersedes the transitional III-2 memory-preservation rule.</w:t>
      </w:r>
    </w:p>
    <w:p>
      <w:pPr>
        <w:pStyle w:val="ListNumber"/>
        <w:numPr>
          <w:ilvl w:val="0"/>
          <w:numId w:val="17"/>
        </w:numPr>
      </w:pPr>
      <w:r>
        <w:rPr>
          <w:rFonts w:ascii="Calibri" w:hAnsi="Calibri"/>
          <w:color w:val="111827"/>
          <w:sz w:val="22"/>
        </w:rPr>
        <w:t>Compare the battery and gateway schedules and explain why both remain protocol-independent.</w:t>
      </w:r>
    </w:p>
    <w:p>
      <w:pPr>
        <w:pStyle w:val="ListNumber"/>
        <w:numPr>
          <w:ilvl w:val="0"/>
          <w:numId w:val="17"/>
        </w:numPr>
      </w:pPr>
      <w:r>
        <w:rPr>
          <w:rFonts w:ascii="Calibri" w:hAnsi="Calibri"/>
          <w:color w:val="111827"/>
          <w:sz w:val="22"/>
        </w:rPr>
        <w:t>Calculate the behavior-state counters after advancing a new battery ECU by 2,100 ms.</w:t>
      </w:r>
    </w:p>
    <w:p>
      <w:pPr>
        <w:pStyle w:val="ListNumber"/>
        <w:numPr>
          <w:ilvl w:val="0"/>
          <w:numId w:val="17"/>
        </w:numPr>
      </w:pPr>
      <w:r>
        <w:rPr>
          <w:rFonts w:ascii="Calibri" w:hAnsi="Calibri"/>
          <w:color w:val="111827"/>
          <w:sz w:val="22"/>
        </w:rPr>
        <w:t>Design a dedicated ADAS profile without adding camera or CAN dependencies to the registry.</w:t>
      </w:r>
    </w:p>
    <w:p>
      <w:pPr>
        <w:pStyle w:val="ListNumber"/>
        <w:numPr>
          <w:ilvl w:val="0"/>
          <w:numId w:val="17"/>
        </w:numPr>
      </w:pPr>
      <w:r>
        <w:rPr>
          <w:rFonts w:ascii="Calibri" w:hAnsi="Calibri"/>
          <w:color w:val="111827"/>
          <w:sz w:val="22"/>
        </w:rPr>
        <w:t>Model RAM and EEPROM regions for a BMS ECU and predict each reset mode's result.</w:t>
      </w:r>
    </w:p>
    <w:p>
      <w:pPr>
        <w:pStyle w:val="ListNumber"/>
        <w:numPr>
          <w:ilvl w:val="0"/>
          <w:numId w:val="17"/>
        </w:numPr>
      </w:pPr>
      <w:r>
        <w:rPr>
          <w:rFonts w:ascii="Calibri" w:hAnsi="Calibri"/>
          <w:color w:val="111827"/>
          <w:sz w:val="22"/>
        </w:rPr>
        <w:t>Explain why snapshot audits contain checksums and counts instead of the complete memory image.</w:t>
      </w:r>
    </w:p>
    <w:p>
      <w:pPr>
        <w:pStyle w:val="ListNumber"/>
        <w:numPr>
          <w:ilvl w:val="0"/>
          <w:numId w:val="17"/>
        </w:numPr>
      </w:pPr>
      <w:r>
        <w:rPr>
          <w:rFonts w:ascii="Calibri" w:hAnsi="Calibri"/>
          <w:color w:val="111827"/>
          <w:sz w:val="22"/>
        </w:rPr>
        <w:t>Design a corruption campaign that remains reproducible across CI machines.</w:t>
      </w:r>
    </w:p>
    <w:p>
      <w:pPr>
        <w:pStyle w:val="ListNumber"/>
        <w:numPr>
          <w:ilvl w:val="0"/>
          <w:numId w:val="17"/>
        </w:numPr>
      </w:pPr>
      <w:r>
        <w:rPr>
          <w:rFonts w:ascii="Calibri" w:hAnsi="Calibri"/>
          <w:color w:val="111827"/>
          <w:sz w:val="22"/>
        </w:rPr>
        <w:t>Trace three detected observations and two absent observations through configurable thresholds.</w:t>
      </w:r>
    </w:p>
    <w:p>
      <w:pPr>
        <w:pStyle w:val="ListNumber"/>
        <w:numPr>
          <w:ilvl w:val="0"/>
          <w:numId w:val="17"/>
        </w:numPr>
      </w:pPr>
      <w:r>
        <w:rPr>
          <w:rFonts w:ascii="Calibri" w:hAnsi="Calibri"/>
          <w:color w:val="111827"/>
          <w:sz w:val="22"/>
        </w:rPr>
        <w:t>Explain why a latched confirmed fault cannot heal from an absent observation alone.</w:t>
      </w:r>
    </w:p>
    <w:p>
      <w:pPr>
        <w:pStyle w:val="ListNumber"/>
        <w:numPr>
          <w:ilvl w:val="0"/>
          <w:numId w:val="17"/>
        </w:numPr>
      </w:pPr>
      <w:r>
        <w:rPr>
          <w:rFonts w:ascii="Calibri" w:hAnsi="Calibri"/>
          <w:color w:val="111827"/>
          <w:sz w:val="22"/>
        </w:rPr>
        <w:t>Map a DTC candidate to future UDS responsibilities without assigning a DTC number in the ECU.</w:t>
      </w:r>
    </w:p>
    <w:p>
      <w:pPr>
        <w:pStyle w:val="ListNumber"/>
        <w:numPr>
          <w:ilvl w:val="0"/>
          <w:numId w:val="17"/>
        </w:numPr>
      </w:pPr>
      <w:r>
        <w:rPr>
          <w:rFonts w:ascii="Calibri" w:hAnsi="Calibri"/>
          <w:color w:val="111827"/>
          <w:sz w:val="22"/>
        </w:rPr>
        <w:t>Model battery temperature as a produced BMS signal and consumed thermal-controller signal.</w:t>
      </w:r>
    </w:p>
    <w:p>
      <w:pPr>
        <w:pStyle w:val="ListNumber"/>
        <w:numPr>
          <w:ilvl w:val="0"/>
          <w:numId w:val="17"/>
        </w:numPr>
      </w:pPr>
      <w:r>
        <w:rPr>
          <w:rFonts w:ascii="Calibri" w:hAnsi="Calibri"/>
          <w:color w:val="111827"/>
          <w:sz w:val="22"/>
        </w:rPr>
        <w:t>Explain why a gateway route rejects Celsius-to-Kelvin transfer instead of converting silently.</w:t>
      </w:r>
    </w:p>
    <w:p>
      <w:pPr>
        <w:pStyle w:val="ListNumber"/>
        <w:numPr>
          <w:ilvl w:val="0"/>
          <w:numId w:val="17"/>
        </w:numPr>
      </w:pPr>
      <w:r>
        <w:rPr>
          <w:rFonts w:ascii="Calibri" w:hAnsi="Calibri"/>
          <w:color w:val="111827"/>
          <w:sz w:val="22"/>
        </w:rPr>
        <w:t>Trace publication and transfer versions through an exact retry and one stale-source conflict.</w:t>
      </w:r>
    </w:p>
    <w:p>
      <w:pPr>
        <w:pStyle w:val="ListNumber"/>
        <w:numPr>
          <w:ilvl w:val="0"/>
          <w:numId w:val="17"/>
        </w:numPr>
      </w:pPr>
      <w:r>
        <w:rPr>
          <w:rFonts w:ascii="Calibri" w:hAnsi="Calibri"/>
          <w:color w:val="111827"/>
          <w:sz w:val="22"/>
        </w:rPr>
        <w:t>Design the future Volume IV adapter that maps a semantic signal to a DBC without changing ECU state.</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III Workbook  |  Version 0.6.0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III  /  ECU SIMULATOR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III - ECU Simulator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docs/workbook-volume-iii.md</dc:description>
  <cp:lastModifiedBy/>
  <cp:revision>1</cp:revision>
  <dcterms:created xsi:type="dcterms:W3CDTF">2013-12-23T23:15:00Z</dcterms:created>
  <dcterms:modified xsi:type="dcterms:W3CDTF">2013-12-23T23:15:00Z</dcterms:modified>
  <cp:category/>
</cp:coreProperties>
</file>