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w:t>
      </w:r>
    </w:p>
    <w:p>
      <w:pPr>
        <w:spacing w:after="80"/>
        <w:jc w:val="center"/>
      </w:pPr>
      <w:r>
        <w:rPr>
          <w:rFonts w:ascii="Calibri" w:hAnsi="Calibri"/>
          <w:b/>
          <w:color w:val="1F4D78"/>
          <w:sz w:val="34"/>
        </w:rPr>
        <w:t>Diagnostics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25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Implemented increment: V-1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UDS Semantics</w:t>
      </w:r>
    </w:p>
    <w:p>
      <w:pPr>
        <w:pStyle w:val="ListNumber"/>
        <w:numPr>
          <w:ilvl w:val="0"/>
          <w:numId w:val="10"/>
        </w:numPr>
        <w:ind w:left="216" w:firstLine="0"/>
      </w:pPr>
      <w:r>
        <w:rPr>
          <w:rFonts w:ascii="Calibri" w:hAnsi="Calibri"/>
          <w:b/>
          <w:color w:val="0B2545"/>
          <w:sz w:val="21"/>
        </w:rPr>
        <w:t>Error and Consistency Contract</w:t>
      </w:r>
    </w:p>
    <w:p>
      <w:pPr>
        <w:pStyle w:val="ListNumber"/>
        <w:numPr>
          <w:ilvl w:val="0"/>
          <w:numId w:val="10"/>
        </w:numPr>
        <w:ind w:left="216" w:firstLine="0"/>
      </w:pPr>
      <w:r>
        <w:rPr>
          <w:rFonts w:ascii="Calibri" w:hAnsi="Calibri"/>
          <w:b/>
          <w:color w:val="0B2545"/>
          <w:sz w:val="21"/>
        </w:rPr>
        <w:t>Engineering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Diagnostics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 - Diagnostics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ECU-scoped diagnostic aggregate and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integration CI, DOCX render and accessibility audit</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versioned UDS sessions, DTC storage, services </w:t>
            </w:r>
            <w:r>
              <w:rPr>
                <w:rFonts w:ascii="Calibri" w:hAnsi="Calibri"/>
                <w:b w:val="0"/>
                <w:color w:val="111827"/>
                <w:sz w:val="17"/>
              </w:rPr>
              <w:t>0x10</w:t>
            </w:r>
            <w:r>
              <w:rPr>
                <w:rFonts w:ascii="Calibri" w:hAnsi="Calibri"/>
                <w:b w:val="0"/>
                <w:color w:val="111827"/>
                <w:sz w:val="17"/>
              </w:rPr>
              <w:t xml:space="preserve">, </w:t>
            </w:r>
            <w:r>
              <w:rPr>
                <w:rFonts w:ascii="Calibri" w:hAnsi="Calibri"/>
                <w:b w:val="0"/>
                <w:color w:val="111827"/>
                <w:sz w:val="17"/>
              </w:rPr>
              <w:t>0x19</w:t>
            </w:r>
            <w:r>
              <w:rPr>
                <w:rFonts w:ascii="Calibri" w:hAnsi="Calibri"/>
                <w:b w:val="0"/>
                <w:color w:val="111827"/>
                <w:sz w:val="17"/>
              </w:rPr>
              <w:t xml:space="preserve">, and </w:t>
            </w:r>
            <w:r>
              <w:rPr>
                <w:rFonts w:ascii="Calibri" w:hAnsi="Calibri"/>
                <w:b w:val="0"/>
                <w:color w:val="111827"/>
                <w:sz w:val="17"/>
              </w:rPr>
              <w:t>0x14</w:t>
            </w:r>
            <w:r>
              <w:rPr>
                <w:rFonts w:ascii="Calibri" w:hAnsi="Calibri"/>
                <w:b w:val="0"/>
                <w:color w:val="111827"/>
                <w:sz w:val="17"/>
              </w:rPr>
              <w:t>, stable NRC evidence, RBAC, audit, outbox, migration, APIs, and deterministic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current diagnostic session per ECU.</w:t>
      </w:r>
    </w:p>
    <w:p>
      <w:pPr>
        <w:pStyle w:val="ListBullet"/>
        <w:numPr>
          <w:ilvl w:val="0"/>
          <w:numId w:val="11"/>
        </w:numPr>
      </w:pPr>
      <w:r>
        <w:rPr>
          <w:rFonts w:ascii="Calibri" w:hAnsi="Calibri"/>
          <w:color w:val="111827"/>
          <w:sz w:val="22"/>
        </w:rPr>
        <w:t>Default, programming, and extended session types.</w:t>
      </w:r>
    </w:p>
    <w:p>
      <w:pPr>
        <w:pStyle w:val="ListBullet"/>
        <w:numPr>
          <w:ilvl w:val="0"/>
          <w:numId w:val="11"/>
        </w:numPr>
      </w:pPr>
      <w:r>
        <w:rPr>
          <w:rFonts w:ascii="Calibri" w:hAnsi="Calibri"/>
          <w:color w:val="111827"/>
          <w:sz w:val="22"/>
        </w:rPr>
        <w:t>Explicit UDS request and positive-response service identities.</w:t>
      </w:r>
    </w:p>
    <w:p>
      <w:pPr>
        <w:pStyle w:val="ListBullet"/>
        <w:numPr>
          <w:ilvl w:val="0"/>
          <w:numId w:val="11"/>
        </w:numPr>
      </w:pPr>
      <w:r>
        <w:rPr>
          <w:rFonts w:ascii="Calibri" w:hAnsi="Calibri"/>
          <w:color w:val="111827"/>
          <w:sz w:val="22"/>
        </w:rPr>
        <w:t>Stable negative response codes within the global ATEP error contract.</w:t>
      </w:r>
    </w:p>
    <w:p>
      <w:pPr>
        <w:pStyle w:val="ListBullet"/>
        <w:numPr>
          <w:ilvl w:val="0"/>
          <w:numId w:val="11"/>
        </w:numPr>
      </w:pPr>
      <w:r>
        <w:rPr>
          <w:rFonts w:ascii="Calibri" w:hAnsi="Calibri"/>
          <w:color w:val="111827"/>
          <w:sz w:val="22"/>
        </w:rPr>
        <w:t>Six-hex-digit DTC storage, status masks, severity, occurrence tracking, and logical timestamps.</w:t>
      </w:r>
    </w:p>
    <w:p>
      <w:pPr>
        <w:pStyle w:val="ListBullet"/>
        <w:numPr>
          <w:ilvl w:val="0"/>
          <w:numId w:val="11"/>
        </w:numPr>
      </w:pPr>
      <w:r>
        <w:rPr>
          <w:rFonts w:ascii="Calibri" w:hAnsi="Calibri"/>
          <w:color w:val="111827"/>
          <w:sz w:val="22"/>
        </w:rPr>
        <w:t>Bounded snapshot evidence and safe DTC pagination/filtering.</w:t>
      </w:r>
    </w:p>
    <w:p>
      <w:pPr>
        <w:pStyle w:val="ListBullet"/>
        <w:numPr>
          <w:ilvl w:val="0"/>
          <w:numId w:val="11"/>
        </w:numPr>
      </w:pPr>
      <w:r>
        <w:rPr>
          <w:rFonts w:ascii="Calibri" w:hAnsi="Calibri"/>
          <w:color w:val="111827"/>
          <w:sz w:val="22"/>
        </w:rPr>
        <w:t>Exact command replay and stable changed-reuse conflict behavior.</w:t>
      </w:r>
    </w:p>
    <w:p>
      <w:pPr>
        <w:pStyle w:val="ListBullet"/>
        <w:numPr>
          <w:ilvl w:val="0"/>
          <w:numId w:val="11"/>
        </w:numPr>
      </w:pPr>
      <w:r>
        <w:rPr>
          <w:rFonts w:ascii="Calibri" w:hAnsi="Calibri"/>
          <w:color w:val="111827"/>
          <w:sz w:val="22"/>
        </w:rPr>
        <w:t>Independent diagnostic read/manage permissions.</w:t>
      </w:r>
    </w:p>
    <w:p>
      <w:pPr>
        <w:pStyle w:val="ListBullet"/>
        <w:numPr>
          <w:ilvl w:val="0"/>
          <w:numId w:val="11"/>
        </w:numPr>
      </w:pPr>
      <w:r>
        <w:rPr>
          <w:rFonts w:ascii="Calibri" w:hAnsi="Calibri"/>
          <w:color w:val="111827"/>
          <w:sz w:val="22"/>
        </w:rPr>
        <w:t>Atomic state, evidence, audit, and transactional outbox writes.</w:t>
      </w:r>
    </w:p>
    <w:p>
      <w:pPr>
        <w:pStyle w:val="Heading2"/>
        <w:keepNext/>
        <w:keepLines/>
      </w:pPr>
      <w:r>
        <w:t>4.2 Deferred</w:t>
      </w:r>
    </w:p>
    <w:p>
      <w:pPr>
        <w:pStyle w:val="ListBullet"/>
        <w:numPr>
          <w:ilvl w:val="0"/>
          <w:numId w:val="12"/>
        </w:numPr>
      </w:pPr>
      <w:r>
        <w:rPr>
          <w:rFonts w:ascii="Calibri" w:hAnsi="Calibri"/>
          <w:color w:val="111827"/>
          <w:sz w:val="22"/>
        </w:rPr>
        <w:t>ISO-TP segmentation, CAN transport binding, DoIP, and physical adapters.</w:t>
      </w:r>
    </w:p>
    <w:p>
      <w:pPr>
        <w:pStyle w:val="ListBullet"/>
        <w:numPr>
          <w:ilvl w:val="0"/>
          <w:numId w:val="12"/>
        </w:numPr>
      </w:pPr>
      <w:r>
        <w:rPr>
          <w:rFonts w:ascii="Calibri" w:hAnsi="Calibri"/>
          <w:color w:val="111827"/>
          <w:sz w:val="22"/>
        </w:rPr>
        <w:t xml:space="preserve">DID catalogue and services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Bullet"/>
        <w:numPr>
          <w:ilvl w:val="0"/>
          <w:numId w:val="12"/>
        </w:numPr>
      </w:pPr>
      <w:r>
        <w:rPr>
          <w:rFonts w:ascii="Calibri" w:hAnsi="Calibri"/>
          <w:color w:val="111827"/>
          <w:sz w:val="22"/>
        </w:rPr>
        <w:t>Routine Control, Security Access, ECU Reset, and flash transfer services.</w:t>
      </w:r>
    </w:p>
    <w:p>
      <w:pPr>
        <w:pStyle w:val="ListBullet"/>
        <w:numPr>
          <w:ilvl w:val="0"/>
          <w:numId w:val="12"/>
        </w:numPr>
      </w:pPr>
      <w:r>
        <w:rPr>
          <w:rFonts w:ascii="Calibri" w:hAnsi="Calibri"/>
          <w:color w:val="111827"/>
          <w:sz w:val="22"/>
        </w:rPr>
        <w:t>OBD-II mode/PID compatibility and fleet-scale remote diagnostics.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atep.diagnostics</w:t>
      </w:r>
      <w:r>
        <w:rPr>
          <w:rFonts w:ascii="Calibri" w:hAnsi="Calibri"/>
          <w:color w:val="111827"/>
          <w:sz w:val="22"/>
        </w:rPr>
        <w:t xml:space="preserve"> module sits above the ECU aggregate and below future CAN/DoIP transport adapters. It stores diagnostic protocol state without taking ownership of ECU memory, signals, or fault generation. This preserves a clean distinction between a simulated internal fault and a DTC that an external tester can query.</w:t>
      </w:r>
    </w:p>
    <w:p>
      <w:r>
        <w:rPr>
          <w:rFonts w:ascii="Calibri" w:hAnsi="Calibri"/>
          <w:color w:val="111827"/>
          <w:sz w:val="22"/>
        </w:rPr>
        <w:t>Request flow: authenticated client -&gt; FastAPI router -&gt; diagnostic RBAC -&gt; vehicle/ECU lookup -&gt; diagnostic service -&gt; PostgreSQL state and evidence + audit + transactional outbox -&gt; typed response.</w:t>
      </w:r>
    </w:p>
    <w:p>
      <w:pPr>
        <w:pStyle w:val="Heading1"/>
        <w:keepNext/>
        <w:keepLines/>
      </w:pPr>
      <w:r>
        <w:t>6. Domain Model</w:t>
      </w:r>
    </w:p>
    <w:p>
      <w:r>
        <w:rPr>
          <w:rFonts w:ascii="Consolas" w:hAnsi="Consolas"/>
          <w:color w:val="1F4D78"/>
          <w:sz w:val="19"/>
        </w:rPr>
        <w:t>DiagnosticSessionState</w:t>
      </w:r>
      <w:r>
        <w:rPr>
          <w:rFonts w:ascii="Calibri" w:hAnsi="Calibri"/>
          <w:color w:val="111827"/>
          <w:sz w:val="22"/>
        </w:rPr>
        <w:t xml:space="preserve"> stores ECU ownership, current session, security level, optimistic version, and ECU logical time. Security level is zero in V-1 and is reserved for V-4.</w:t>
      </w:r>
    </w:p>
    <w:p>
      <w:r>
        <w:rPr>
          <w:rFonts w:ascii="Consolas" w:hAnsi="Consolas"/>
          <w:color w:val="1F4D78"/>
          <w:sz w:val="19"/>
        </w:rPr>
        <w:t>DiagnosticCommand</w:t>
      </w:r>
      <w:r>
        <w:rPr>
          <w:rFonts w:ascii="Calibri" w:hAnsi="Calibri"/>
          <w:color w:val="111827"/>
          <w:sz w:val="22"/>
        </w:rPr>
        <w:t xml:space="preserve"> stores ECU-scoped command identity, UDS service ID, canonical request, result, session versions, actor, and timestamps. It supports exact replay for mutating services.</w:t>
      </w:r>
    </w:p>
    <w:p>
      <w:r>
        <w:rPr>
          <w:rFonts w:ascii="Consolas" w:hAnsi="Consolas"/>
          <w:color w:val="1F4D78"/>
          <w:sz w:val="19"/>
        </w:rPr>
        <w:t>DiagnosticTroubleCode</w:t>
      </w:r>
      <w:r>
        <w:rPr>
          <w:rFonts w:ascii="Calibri" w:hAnsi="Calibri"/>
          <w:color w:val="111827"/>
          <w:sz w:val="22"/>
        </w:rPr>
        <w:t xml:space="preserve"> stores ECU ownership, six-digit hexadecimal code, ISO-style status mask, severity, description, occurrence count, first/last ECU logical time, bounded snapshot, and version.</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or initialize the default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service </w:t>
            </w:r>
            <w:r>
              <w:rPr>
                <w:rFonts w:ascii="Calibri" w:hAnsi="Calibri"/>
                <w:b w:val="0"/>
                <w:color w:val="111827"/>
                <w:sz w:val="16"/>
              </w:rPr>
              <w:t>0x10</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Report or update a simulated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the </w:t>
            </w:r>
            <w:r>
              <w:rPr>
                <w:rFonts w:ascii="Calibri" w:hAnsi="Calibri"/>
                <w:b w:val="0"/>
                <w:color w:val="111827"/>
                <w:sz w:val="16"/>
              </w:rPr>
              <w:t>0x19</w:t>
            </w:r>
            <w:r>
              <w:rPr>
                <w:rFonts w:ascii="Calibri" w:hAnsi="Calibri"/>
                <w:b w:val="0"/>
                <w:color w:val="111827"/>
                <w:sz w:val="16"/>
              </w:rPr>
              <w:t xml:space="preserve"> query boundary with safe pagination.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/api/v1/vehicles/{vehicle_id}/ecus/{ecu_id}/diagnostics/dtcs/clear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w:t>
            </w:r>
            <w:r>
              <w:rPr>
                <w:rFonts w:ascii="Calibri" w:hAnsi="Calibri"/>
                <w:b w:val="0"/>
                <w:color w:val="111827"/>
                <w:sz w:val="16"/>
              </w:rPr>
              <w:t>0x14</w:t>
            </w:r>
            <w:r>
              <w:rPr>
                <w:rFonts w:ascii="Calibri" w:hAnsi="Calibri"/>
                <w:b w:val="0"/>
                <w:color w:val="111827"/>
                <w:sz w:val="16"/>
              </w:rPr>
              <w:t xml:space="preserve"> for group </w:t>
            </w:r>
            <w:r>
              <w:rPr>
                <w:rFonts w:ascii="Calibri" w:hAnsi="Calibri"/>
                <w:b w:val="0"/>
                <w:color w:val="111827"/>
                <w:sz w:val="16"/>
              </w:rPr>
              <w:t>FFFFFF</w:t>
            </w:r>
            <w:r>
              <w:rPr>
                <w:rFonts w:ascii="Calibri" w:hAnsi="Calibri"/>
                <w:b w:val="0"/>
                <w:color w:val="111827"/>
                <w:sz w:val="16"/>
              </w:rPr>
              <w:t>.</w:t>
            </w:r>
          </w:p>
        </w:tc>
      </w:tr>
    </w:tbl>
    <w:p>
      <w:pPr>
        <w:spacing w:after="60"/>
      </w:pPr>
    </w:p>
    <w:p>
      <w:pPr>
        <w:pStyle w:val="Heading1"/>
        <w:keepNext/>
        <w:keepLines/>
      </w:pPr>
      <w:r>
        <w:t>8. UDS Semantics</w:t>
      </w:r>
    </w:p>
    <w:p>
      <w:pPr>
        <w:pStyle w:val="Heading2"/>
        <w:keepNext/>
        <w:keepLines/>
      </w:pPr>
      <w:r>
        <w:t>8.1 Diagnostic Session Control (`0x10`)</w:t>
      </w:r>
    </w:p>
    <w:p>
      <w:r>
        <w:rPr>
          <w:rFonts w:ascii="Calibri" w:hAnsi="Calibri"/>
          <w:color w:val="111827"/>
          <w:sz w:val="22"/>
        </w:rPr>
        <w:t xml:space="preserve">The service locks or initializes the ECU session state, verifies expected version, applies the new session, resets security level, copies ECU logical time, increments version, and persists command evidence. The positive response service ID is </w:t>
      </w:r>
      <w:r>
        <w:rPr>
          <w:rFonts w:ascii="Consolas" w:hAnsi="Consolas"/>
          <w:color w:val="1F4D78"/>
          <w:sz w:val="19"/>
        </w:rPr>
        <w:t>0x50</w:t>
      </w:r>
      <w:r>
        <w:rPr>
          <w:rFonts w:ascii="Calibri" w:hAnsi="Calibri"/>
          <w:color w:val="111827"/>
          <w:sz w:val="22"/>
        </w:rPr>
        <w:t>.</w:t>
      </w:r>
    </w:p>
    <w:p>
      <w:pPr>
        <w:pStyle w:val="Heading2"/>
        <w:keepNext/>
        <w:keepLines/>
      </w:pPr>
      <w:r>
        <w:t>8.2 Read DTC Information (`0x19`)</w:t>
      </w:r>
    </w:p>
    <w:p>
      <w:r>
        <w:rPr>
          <w:rFonts w:ascii="Calibri" w:hAnsi="Calibri"/>
          <w:color w:val="111827"/>
          <w:sz w:val="22"/>
        </w:rPr>
        <w:t>The HTTP query is a transport-neutral representation of the read-DTC boundary. It orders by code, limits each page to 200 records, supports a non-zero status-mask intersection filter, and emits typed DTC records. A future wire adapter will encode the appropriate UDS subfunction and PDU.</w:t>
      </w:r>
    </w:p>
    <w:p>
      <w:pPr>
        <w:pStyle w:val="Heading2"/>
        <w:keepNext/>
        <w:keepLines/>
      </w:pPr>
      <w:r>
        <w:t>8.3 Clear Diagnostic Information (`0x14`)</w:t>
      </w:r>
    </w:p>
    <w:p>
      <w:r>
        <w:rPr>
          <w:rFonts w:ascii="Calibri" w:hAnsi="Calibri"/>
          <w:color w:val="111827"/>
          <w:sz w:val="22"/>
        </w:rPr>
        <w:t xml:space="preserve">V-1 supports only the all-DTC group </w:t>
      </w:r>
      <w:r>
        <w:rPr>
          <w:rFonts w:ascii="Consolas" w:hAnsi="Consolas"/>
          <w:color w:val="1F4D78"/>
          <w:sz w:val="19"/>
        </w:rPr>
        <w:t>FFFFFF</w:t>
      </w:r>
      <w:r>
        <w:rPr>
          <w:rFonts w:ascii="Calibri" w:hAnsi="Calibri"/>
          <w:color w:val="111827"/>
          <w:sz w:val="22"/>
        </w:rPr>
        <w:t xml:space="preserve">. The service removes matching ECU DTC records within the same transaction as versioned command, audit, and outbox evidence. The positive response service ID is </w:t>
      </w:r>
      <w:r>
        <w:rPr>
          <w:rFonts w:ascii="Consolas" w:hAnsi="Consolas"/>
          <w:color w:val="1F4D78"/>
          <w:sz w:val="19"/>
        </w:rPr>
        <w:t>0x54</w:t>
      </w:r>
      <w:r>
        <w:rPr>
          <w:rFonts w:ascii="Calibri" w:hAnsi="Calibri"/>
          <w:color w:val="111827"/>
          <w:sz w:val="22"/>
        </w:rPr>
        <w:t xml:space="preserve">; unsupported groups return NRC </w:t>
      </w:r>
      <w:r>
        <w:rPr>
          <w:rFonts w:ascii="Consolas" w:hAnsi="Consolas"/>
          <w:color w:val="1F4D78"/>
          <w:sz w:val="19"/>
        </w:rPr>
        <w:t>0x31</w:t>
      </w:r>
      <w:r>
        <w:rPr>
          <w:rFonts w:ascii="Calibri" w:hAnsi="Calibri"/>
          <w:color w:val="111827"/>
          <w:sz w:val="22"/>
        </w:rPr>
        <w:t>.</w:t>
      </w:r>
    </w:p>
    <w:p>
      <w:pPr>
        <w:pStyle w:val="Heading1"/>
        <w:keepNext/>
        <w:keepLines/>
      </w:pPr>
      <w:r>
        <w:t>9. Error and Consistency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Stable code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HTTP</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UDS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Changed reuse of a diagnostic command ID</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diagnostic_command_conflict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409</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identity conflict before PDU execution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DTC group</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Unknown ECU or DTC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Platform resource-not-found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Adapter maps transport response later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Invalid body or pagination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request_validation_error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at the public contract boundary</w:t>
            </w:r>
          </w:p>
        </w:tc>
      </w:tr>
    </w:tbl>
    <w:p>
      <w:pPr>
        <w:spacing w:after="60"/>
      </w:pPr>
    </w:p>
    <w:p>
      <w:pPr>
        <w:pStyle w:val="Heading1"/>
        <w:keepNext/>
        <w:keepLines/>
      </w:pPr>
      <w:r>
        <w:t>10. Engineering Decisions</w:t>
      </w:r>
    </w:p>
    <w:p>
      <w:pPr>
        <w:pStyle w:val="Heading2"/>
        <w:keepNext/>
        <w:keepLines/>
      </w:pPr>
      <w:r>
        <w:t>ADR-DG-001 - Separate ECU Faults from Diagnostic Trouble Codes</w:t>
      </w:r>
    </w:p>
    <w:p>
      <w:r>
        <w:rPr>
          <w:rFonts w:ascii="Calibri" w:hAnsi="Calibri"/>
          <w:color w:val="111827"/>
          <w:sz w:val="22"/>
        </w:rPr>
        <w:t>Internal ECU faults drive simulated behavior. DTCs are externally observable diagnostic evidence. The platform may bridge them, but neither representation silently overwrites the other.</w:t>
      </w:r>
    </w:p>
    <w:p>
      <w:pPr>
        <w:pStyle w:val="Heading2"/>
        <w:keepNext/>
        <w:keepLines/>
      </w:pPr>
      <w:r>
        <w:t>ADR-DG-002 - Preserve UDS Identity Without Premature Wire Coupling</w:t>
      </w:r>
    </w:p>
    <w:p>
      <w:r>
        <w:rPr>
          <w:rFonts w:ascii="Calibri" w:hAnsi="Calibri"/>
          <w:color w:val="111827"/>
          <w:sz w:val="22"/>
        </w:rPr>
        <w:t>Services, positive response IDs, and NRCs are explicit, while HTTP carries typed domain commands. ISO-TP and DoIP adapters can be added without rewriting persistence or business rules.</w:t>
      </w:r>
    </w:p>
    <w:p>
      <w:pPr>
        <w:pStyle w:val="Heading2"/>
        <w:keepNext/>
        <w:keepLines/>
      </w:pPr>
      <w:r>
        <w:t>ADR-DG-003 - Use ECU Logical Time</w:t>
      </w:r>
    </w:p>
    <w:p>
      <w:r>
        <w:rPr>
          <w:rFonts w:ascii="Calibri" w:hAnsi="Calibri"/>
          <w:color w:val="111827"/>
          <w:sz w:val="22"/>
        </w:rPr>
        <w:t>DTC first/last-seen time and session transitions use simulation time. Tests remain deterministic and do not sleep or depend on host clock speed.</w:t>
      </w:r>
    </w:p>
    <w:p>
      <w:pPr>
        <w:pStyle w:val="Heading2"/>
        <w:keepNext/>
        <w:keepLines/>
      </w:pPr>
      <w:r>
        <w:t>ADR-DG-004 - Minimize Observable Evidence</w:t>
      </w:r>
    </w:p>
    <w:p>
      <w:r>
        <w:rPr>
          <w:rFonts w:ascii="Calibri" w:hAnsi="Calibri"/>
          <w:color w:val="111827"/>
          <w:sz w:val="22"/>
        </w:rPr>
        <w:t>Snapshots may contain engineering measurements. They remain in protected DTC storage and are not copied into audit or outbox messages; those contain identifiers, status, counters, and versions.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code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anything other than six uppercase hexadecimal digits.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Status-mask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values from zero through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more than 32 scalar snapshot entries.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types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default, programming, and extended.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Initial session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one default session for an ECU without diagnostic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a stale expected version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response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Expose request </w:t>
            </w:r>
            <w:r>
              <w:rPr>
                <w:rFonts w:ascii="Calibri" w:hAnsi="Calibri"/>
                <w:b w:val="0"/>
                <w:color w:val="111827"/>
                <w:sz w:val="17"/>
              </w:rPr>
              <w:t>0x10</w:t>
            </w:r>
            <w:r>
              <w:rPr>
                <w:rFonts w:ascii="Calibri" w:hAnsi="Calibri"/>
                <w:b w:val="0"/>
                <w:color w:val="111827"/>
                <w:sz w:val="17"/>
              </w:rPr>
              <w:t xml:space="preserve"> and positive response </w:t>
            </w:r>
            <w:r>
              <w:rPr>
                <w:rFonts w:ascii="Calibri" w:hAnsi="Calibri"/>
                <w:b w:val="0"/>
                <w:color w:val="111827"/>
                <w:sz w:val="17"/>
              </w:rPr>
              <w:t>0x50</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command evidence without a second state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Changed reuse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stable </w:t>
            </w:r>
            <w:r>
              <w:rPr>
                <w:rFonts w:ascii="Calibri" w:hAnsi="Calibri"/>
                <w:b w:val="0"/>
                <w:color w:val="111827"/>
                <w:sz w:val="17"/>
              </w:rPr>
              <w:t>diagnostic_command_conflict</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code, status, severity, description, snapshot, and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recurrence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occurrence count and version while preserving first-seen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ordering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DTCs in deterministic code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 filtering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records whose status mask intersects the requested mask.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Safe pagination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Enforce limit 200 and offset one million.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OpenAPI/API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detail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stable not-found behavior for an unknown code.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Clear all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Remove all ECU DTCs for group </w:t>
            </w:r>
            <w:r>
              <w:rPr>
                <w:rFonts w:ascii="Calibri" w:hAnsi="Calibri"/>
                <w:b w:val="0"/>
                <w:color w:val="111827"/>
                <w:sz w:val="17"/>
              </w:rPr>
              <w:t>FFFFFF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group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without deleting DTCs.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state, command, DTC mutation,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snapshot measurements from audit and outbox payloads.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read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write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commands, results, bounds, and paths.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all three diagnostic tables.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Regression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ECU, CAN, identity, audit, and platform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suite</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src/atep/diagnostics/</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0031_diagnostics_foundation</w:t>
      </w:r>
      <w:r>
        <w:rPr>
          <w:rFonts w:ascii="Calibri" w:hAnsi="Calibri"/>
          <w:color w:val="111827"/>
          <w:sz w:val="22"/>
        </w:rPr>
        <w:t xml:space="preserve"> owns session, command, and DTC persistence.</w:t>
      </w:r>
    </w:p>
    <w:p>
      <w:pPr>
        <w:pStyle w:val="ListBullet"/>
        <w:numPr>
          <w:ilvl w:val="0"/>
          <w:numId w:val="13"/>
        </w:numPr>
      </w:pPr>
      <w:r>
        <w:rPr>
          <w:rFonts w:ascii="Calibri" w:hAnsi="Calibri"/>
          <w:color w:val="111827"/>
          <w:sz w:val="22"/>
        </w:rPr>
        <w:t xml:space="preserve">Events are </w:t>
      </w:r>
      <w:r>
        <w:rPr>
          <w:rFonts w:ascii="Consolas" w:hAnsi="Consolas"/>
          <w:color w:val="1F4D78"/>
          <w:sz w:val="19"/>
        </w:rPr>
        <w:t>atep.diagnostics.session.changed.v1</w:t>
      </w:r>
      <w:r>
        <w:rPr>
          <w:rFonts w:ascii="Calibri" w:hAnsi="Calibri"/>
          <w:color w:val="111827"/>
          <w:sz w:val="22"/>
        </w:rPr>
        <w:t xml:space="preserve">, </w:t>
      </w:r>
      <w:r>
        <w:rPr>
          <w:rFonts w:ascii="Consolas" w:hAnsi="Consolas"/>
          <w:color w:val="1F4D78"/>
          <w:sz w:val="19"/>
        </w:rPr>
        <w:t>atep.diagnostics.dtc.reported.v1</w:t>
      </w:r>
      <w:r>
        <w:rPr>
          <w:rFonts w:ascii="Calibri" w:hAnsi="Calibri"/>
          <w:color w:val="111827"/>
          <w:sz w:val="22"/>
        </w:rPr>
        <w:t xml:space="preserve">, and </w:t>
      </w:r>
      <w:r>
        <w:rPr>
          <w:rFonts w:ascii="Consolas" w:hAnsi="Consolas"/>
          <w:color w:val="1F4D78"/>
          <w:sz w:val="19"/>
        </w:rPr>
        <w:t>atep.diagnostics.dtc.cleared.v1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diagnostics:read</w:t>
      </w:r>
      <w:r>
        <w:rPr>
          <w:rFonts w:ascii="Calibri" w:hAnsi="Calibri"/>
          <w:color w:val="111827"/>
          <w:sz w:val="22"/>
        </w:rPr>
        <w:t xml:space="preserve"> and </w:t>
      </w:r>
      <w:r>
        <w:rPr>
          <w:rFonts w:ascii="Consolas" w:hAnsi="Consolas"/>
          <w:color w:val="1F4D78"/>
          <w:sz w:val="19"/>
        </w:rPr>
        <w:t>diagnostics:manage</w:t>
      </w:r>
      <w:r>
        <w:rPr>
          <w:rFonts w:ascii="Calibri" w:hAnsi="Calibri"/>
          <w:color w:val="111827"/>
          <w:sz w:val="22"/>
        </w:rPr>
        <w:t>.</w:t>
      </w:r>
    </w:p>
    <w:p>
      <w:pPr>
        <w:pStyle w:val="ListBullet"/>
        <w:numPr>
          <w:ilvl w:val="0"/>
          <w:numId w:val="13"/>
        </w:numPr>
      </w:pPr>
      <w:r>
        <w:rPr>
          <w:rFonts w:ascii="Consolas" w:hAnsi="Consolas"/>
          <w:color w:val="1F4D78"/>
          <w:sz w:val="19"/>
        </w:rPr>
        <w:t>tests/test_diagnostics.py</w:t>
      </w:r>
      <w:r>
        <w:rPr>
          <w:rFonts w:ascii="Calibri" w:hAnsi="Calibri"/>
          <w:color w:val="111827"/>
          <w:sz w:val="22"/>
        </w:rPr>
        <w:t xml:space="preserve"> verifies contracts, logical time, versioning, replay, conflicts, evidence minimization, and permissions.</w:t>
      </w:r>
    </w:p>
    <w:p>
      <w:pPr>
        <w:pStyle w:val="ListBullet"/>
        <w:numPr>
          <w:ilvl w:val="0"/>
          <w:numId w:val="13"/>
        </w:numPr>
      </w:pPr>
      <w:r>
        <w:rPr>
          <w:rFonts w:ascii="Calibri" w:hAnsi="Calibri"/>
          <w:color w:val="111827"/>
          <w:sz w:val="22"/>
        </w:rPr>
        <w:t>API contract tests verify routes and safe pagination in generated OpenAPI.</w:t>
      </w:r>
    </w:p>
    <w:p>
      <w:pPr>
        <w:pStyle w:val="Heading1"/>
        <w:keepNext/>
        <w:keepLines/>
      </w:pPr>
      <w:r>
        <w:t>13. Risks and Technical Debt</w:t>
      </w:r>
    </w:p>
    <w:p>
      <w:pPr>
        <w:pStyle w:val="ListBullet"/>
        <w:numPr>
          <w:ilvl w:val="0"/>
          <w:numId w:val="14"/>
        </w:numPr>
      </w:pPr>
      <w:r>
        <w:rPr>
          <w:rFonts w:ascii="Calibri" w:hAnsi="Calibri"/>
          <w:color w:val="111827"/>
          <w:sz w:val="22"/>
        </w:rPr>
        <w:t>V-1 exposes semantic UDS operations but does not yet encode wire PDUs.</w:t>
      </w:r>
    </w:p>
    <w:p>
      <w:pPr>
        <w:pStyle w:val="ListBullet"/>
        <w:numPr>
          <w:ilvl w:val="0"/>
          <w:numId w:val="14"/>
        </w:numPr>
      </w:pPr>
      <w:r>
        <w:rPr>
          <w:rFonts w:ascii="Calibri" w:hAnsi="Calibri"/>
          <w:color w:val="111827"/>
          <w:sz w:val="22"/>
        </w:rPr>
        <w:t>Status-mask meaning is retained as a byte; named bit helpers should be added with richer DTC queries.</w:t>
      </w:r>
    </w:p>
    <w:p>
      <w:pPr>
        <w:pStyle w:val="ListBullet"/>
        <w:numPr>
          <w:ilvl w:val="0"/>
          <w:numId w:val="14"/>
        </w:numPr>
      </w:pPr>
      <w:r>
        <w:rPr>
          <w:rFonts w:ascii="Calibri" w:hAnsi="Calibri"/>
          <w:color w:val="111827"/>
          <w:sz w:val="22"/>
        </w:rPr>
        <w:t>DTC creation is a controlled simulator boundary; automatic fault-to-DTC mapping is future work.</w:t>
      </w:r>
    </w:p>
    <w:p>
      <w:pPr>
        <w:pStyle w:val="ListBullet"/>
        <w:numPr>
          <w:ilvl w:val="0"/>
          <w:numId w:val="14"/>
        </w:numPr>
      </w:pPr>
      <w:r>
        <w:rPr>
          <w:rFonts w:ascii="Calibri" w:hAnsi="Calibri"/>
          <w:color w:val="111827"/>
          <w:sz w:val="22"/>
        </w:rPr>
        <w:t>The current clear operation loads at most 200 DTCs, matching the per-ECU V-1 storage bound.</w:t>
      </w:r>
    </w:p>
    <w:p>
      <w:pPr>
        <w:pStyle w:val="ListBullet"/>
        <w:numPr>
          <w:ilvl w:val="0"/>
          <w:numId w:val="14"/>
        </w:numPr>
      </w:pPr>
      <w:r>
        <w:rPr>
          <w:rFonts w:ascii="Calibri" w:hAnsi="Calibri"/>
          <w:color w:val="111827"/>
          <w:sz w:val="22"/>
        </w:rPr>
        <w:t>Security level is reserved but remains zero until Security Access is implemented.</w:t>
      </w:r>
    </w:p>
    <w:p>
      <w:pPr>
        <w:pStyle w:val="Heading1"/>
        <w:keepNext/>
        <w:keepLines/>
      </w:pPr>
      <w:r>
        <w:t>14. Roadmap</w:t>
      </w:r>
    </w:p>
    <w:p>
      <w:r>
        <w:rPr>
          <w:rFonts w:ascii="Calibri" w:hAnsi="Calibri"/>
          <w:color w:val="111827"/>
          <w:sz w:val="22"/>
        </w:rPr>
        <w:t>V-1 is implemented. The recommended next development is V-2: a typed Data Identifier catalogue with Read Data by Identifier (</w:t>
      </w:r>
      <w:r>
        <w:rPr>
          <w:rFonts w:ascii="Consolas" w:hAnsi="Consolas"/>
          <w:color w:val="1F4D78"/>
          <w:sz w:val="19"/>
        </w:rPr>
        <w:t>0x22</w:t>
      </w:r>
      <w:r>
        <w:rPr>
          <w:rFonts w:ascii="Calibri" w:hAnsi="Calibri"/>
          <w:color w:val="111827"/>
          <w:sz w:val="22"/>
        </w:rPr>
        <w:t>) and session-authorized Write Data by Identifier (</w:t>
      </w:r>
      <w:r>
        <w:rPr>
          <w:rFonts w:ascii="Consolas" w:hAnsi="Consolas"/>
          <w:color w:val="1F4D78"/>
          <w:sz w:val="19"/>
        </w:rPr>
        <w:t>0x2E</w:t>
      </w:r>
      <w:r>
        <w:rPr>
          <w:rFonts w:ascii="Calibri" w:hAnsi="Calibri"/>
          <w:color w:val="111827"/>
          <w:sz w:val="22"/>
        </w:rPr>
        <w:t>).</w:t>
      </w:r>
    </w:p>
    <w:p>
      <w:pPr>
        <w:pStyle w:val="Heading1"/>
        <w:keepNext/>
        <w:keepLines/>
      </w:pPr>
      <w:r>
        <w:t>15. Study Exercises</w:t>
      </w:r>
    </w:p>
    <w:p>
      <w:pPr>
        <w:pStyle w:val="ListNumber"/>
        <w:numPr>
          <w:ilvl w:val="0"/>
          <w:numId w:val="15"/>
        </w:numPr>
      </w:pPr>
      <w:r>
        <w:rPr>
          <w:rFonts w:ascii="Calibri" w:hAnsi="Calibri"/>
          <w:color w:val="111827"/>
          <w:sz w:val="22"/>
        </w:rPr>
        <w:t>Explain why an ECU fault and a DTC are related but not identical.</w:t>
      </w:r>
    </w:p>
    <w:p>
      <w:pPr>
        <w:pStyle w:val="ListNumber"/>
        <w:numPr>
          <w:ilvl w:val="0"/>
          <w:numId w:val="15"/>
        </w:numPr>
      </w:pPr>
      <w:r>
        <w:rPr>
          <w:rFonts w:ascii="Calibri" w:hAnsi="Calibri"/>
          <w:color w:val="111827"/>
          <w:sz w:val="22"/>
        </w:rPr>
        <w:t xml:space="preserve">Calculate positive response service IDs for </w:t>
      </w:r>
      <w:r>
        <w:rPr>
          <w:rFonts w:ascii="Consolas" w:hAnsi="Consolas"/>
          <w:color w:val="1F4D78"/>
          <w:sz w:val="19"/>
        </w:rPr>
        <w:t>0x10</w:t>
      </w:r>
      <w:r>
        <w:rPr>
          <w:rFonts w:ascii="Calibri" w:hAnsi="Calibri"/>
          <w:color w:val="111827"/>
          <w:sz w:val="22"/>
        </w:rPr>
        <w:t xml:space="preserve">, </w:t>
      </w:r>
      <w:r>
        <w:rPr>
          <w:rFonts w:ascii="Consolas" w:hAnsi="Consolas"/>
          <w:color w:val="1F4D78"/>
          <w:sz w:val="19"/>
        </w:rPr>
        <w:t>0x14</w:t>
      </w:r>
      <w:r>
        <w:rPr>
          <w:rFonts w:ascii="Calibri" w:hAnsi="Calibri"/>
          <w:color w:val="111827"/>
          <w:sz w:val="22"/>
        </w:rPr>
        <w:t xml:space="preserve">, and </w:t>
      </w:r>
      <w:r>
        <w:rPr>
          <w:rFonts w:ascii="Consolas" w:hAnsi="Consolas"/>
          <w:color w:val="1F4D78"/>
          <w:sz w:val="19"/>
        </w:rPr>
        <w:t>0x19</w:t>
      </w:r>
      <w:r>
        <w:rPr>
          <w:rFonts w:ascii="Calibri" w:hAnsi="Calibri"/>
          <w:color w:val="111827"/>
          <w:sz w:val="22"/>
        </w:rPr>
        <w:t>.</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0x22</w:t>
      </w:r>
      <w:r>
        <w:rPr>
          <w:rFonts w:ascii="Calibri" w:hAnsi="Calibri"/>
          <w:color w:val="111827"/>
          <w:sz w:val="22"/>
        </w:rPr>
        <w:t xml:space="preserve"> and NRC </w:t>
      </w:r>
      <w:r>
        <w:rPr>
          <w:rFonts w:ascii="Consolas" w:hAnsi="Consolas"/>
          <w:color w:val="1F4D78"/>
          <w:sz w:val="19"/>
        </w:rPr>
        <w:t>0x31</w:t>
      </w:r>
      <w:r>
        <w:rPr>
          <w:rFonts w:ascii="Calibri" w:hAnsi="Calibri"/>
          <w:color w:val="111827"/>
          <w:sz w:val="22"/>
        </w:rPr>
        <w:t xml:space="preserve"> in the implemented operations.</w:t>
      </w:r>
    </w:p>
    <w:p>
      <w:pPr>
        <w:pStyle w:val="ListNumber"/>
        <w:numPr>
          <w:ilvl w:val="0"/>
          <w:numId w:val="15"/>
        </w:numPr>
      </w:pPr>
      <w:r>
        <w:rPr>
          <w:rFonts w:ascii="Calibri" w:hAnsi="Calibri"/>
          <w:color w:val="111827"/>
          <w:sz w:val="22"/>
        </w:rPr>
        <w:t>Trace a session-control request through RBAC, locking, versioning, audit, and outbox.</w:t>
      </w:r>
    </w:p>
    <w:p>
      <w:pPr>
        <w:pStyle w:val="ListNumber"/>
        <w:numPr>
          <w:ilvl w:val="0"/>
          <w:numId w:val="15"/>
        </w:numPr>
      </w:pPr>
      <w:r>
        <w:rPr>
          <w:rFonts w:ascii="Calibri" w:hAnsi="Calibri"/>
          <w:color w:val="111827"/>
          <w:sz w:val="22"/>
        </w:rPr>
        <w:t>Explain why exact command replay must not increment the session twice.</w:t>
      </w:r>
    </w:p>
    <w:p>
      <w:pPr>
        <w:pStyle w:val="ListNumber"/>
        <w:numPr>
          <w:ilvl w:val="0"/>
          <w:numId w:val="15"/>
        </w:numPr>
      </w:pPr>
      <w:r>
        <w:rPr>
          <w:rFonts w:ascii="Calibri" w:hAnsi="Calibri"/>
          <w:color w:val="111827"/>
          <w:sz w:val="22"/>
        </w:rPr>
        <w:t>Design a test for changed command-ID reuse.</w:t>
      </w:r>
    </w:p>
    <w:p>
      <w:pPr>
        <w:pStyle w:val="ListNumber"/>
        <w:numPr>
          <w:ilvl w:val="0"/>
          <w:numId w:val="15"/>
        </w:numPr>
      </w:pPr>
      <w:r>
        <w:rPr>
          <w:rFonts w:ascii="Calibri" w:hAnsi="Calibri"/>
          <w:color w:val="111827"/>
          <w:sz w:val="22"/>
        </w:rPr>
        <w:t xml:space="preserve">Decode status mask </w:t>
      </w:r>
      <w:r>
        <w:rPr>
          <w:rFonts w:ascii="Consolas" w:hAnsi="Consolas"/>
          <w:color w:val="1F4D78"/>
          <w:sz w:val="19"/>
        </w:rPr>
        <w:t>0x09</w:t>
      </w:r>
      <w:r>
        <w:rPr>
          <w:rFonts w:ascii="Calibri" w:hAnsi="Calibri"/>
          <w:color w:val="111827"/>
          <w:sz w:val="22"/>
        </w:rPr>
        <w:t xml:space="preserve"> into the UDS status-bit concepts you would expose next.</w:t>
      </w:r>
    </w:p>
    <w:p>
      <w:pPr>
        <w:pStyle w:val="ListNumber"/>
        <w:numPr>
          <w:ilvl w:val="0"/>
          <w:numId w:val="15"/>
        </w:numPr>
      </w:pPr>
      <w:r>
        <w:rPr>
          <w:rFonts w:ascii="Calibri" w:hAnsi="Calibri"/>
          <w:color w:val="111827"/>
          <w:sz w:val="22"/>
        </w:rPr>
        <w:t>Explain why DTC snapshot values are excluded from audit events.</w:t>
      </w:r>
    </w:p>
    <w:p>
      <w:pPr>
        <w:pStyle w:val="ListNumber"/>
        <w:numPr>
          <w:ilvl w:val="0"/>
          <w:numId w:val="15"/>
        </w:numPr>
      </w:pPr>
      <w:r>
        <w:rPr>
          <w:rFonts w:ascii="Calibri" w:hAnsi="Calibri"/>
          <w:color w:val="111827"/>
          <w:sz w:val="22"/>
        </w:rPr>
        <w:t xml:space="preserve">Design an automatic mapping from a confirmed BMS fault candidate to DTC </w:t>
      </w:r>
      <w:r>
        <w:rPr>
          <w:rFonts w:ascii="Consolas" w:hAnsi="Consolas"/>
          <w:color w:val="1F4D78"/>
          <w:sz w:val="19"/>
        </w:rPr>
        <w:t>0A80FF</w:t>
      </w:r>
      <w:r>
        <w:rPr>
          <w:rFonts w:ascii="Calibri" w:hAnsi="Calibri"/>
          <w:color w:val="111827"/>
          <w:sz w:val="22"/>
        </w:rPr>
        <w:t>.</w:t>
      </w:r>
    </w:p>
    <w:p>
      <w:pPr>
        <w:pStyle w:val="ListNumber"/>
        <w:numPr>
          <w:ilvl w:val="0"/>
          <w:numId w:val="15"/>
        </w:numPr>
      </w:pPr>
      <w:r>
        <w:rPr>
          <w:rFonts w:ascii="Calibri" w:hAnsi="Calibri"/>
          <w:color w:val="111827"/>
          <w:sz w:val="22"/>
        </w:rPr>
        <w:t>Propose a DID catalogue for battery SOC, SOH, temperature, and pack voltage.</w:t>
      </w:r>
    </w:p>
    <w:p>
      <w:pPr>
        <w:pStyle w:val="ListNumber"/>
        <w:numPr>
          <w:ilvl w:val="0"/>
          <w:numId w:val="15"/>
        </w:numPr>
      </w:pPr>
      <w:r>
        <w:rPr>
          <w:rFonts w:ascii="Calibri" w:hAnsi="Calibri"/>
          <w:color w:val="111827"/>
          <w:sz w:val="22"/>
        </w:rPr>
        <w:t>Define which DIDs may be written only in extended or programming session.</w:t>
      </w:r>
    </w:p>
    <w:p>
      <w:pPr>
        <w:pStyle w:val="ListNumber"/>
        <w:numPr>
          <w:ilvl w:val="0"/>
          <w:numId w:val="15"/>
        </w:numPr>
      </w:pPr>
      <w:r>
        <w:rPr>
          <w:rFonts w:ascii="Calibri" w:hAnsi="Calibri"/>
          <w:color w:val="111827"/>
          <w:sz w:val="22"/>
        </w:rPr>
        <w:t>Describe where ISO-TP segmentation belongs relative to the diagnostic service.</w:t>
      </w:r>
    </w:p>
    <w:p>
      <w:pPr>
        <w:pStyle w:val="ListNumber"/>
        <w:numPr>
          <w:ilvl w:val="0"/>
          <w:numId w:val="15"/>
        </w:numPr>
      </w:pPr>
      <w:r>
        <w:rPr>
          <w:rFonts w:ascii="Calibri" w:hAnsi="Calibri"/>
          <w:color w:val="111827"/>
          <w:sz w:val="22"/>
        </w:rPr>
        <w:t>Compare CAN/ISO-TP and Ethernet/DoIP as transport adapters for the same UDS domain.</w:t>
      </w:r>
    </w:p>
    <w:p>
      <w:pPr>
        <w:pStyle w:val="ListNumber"/>
        <w:numPr>
          <w:ilvl w:val="0"/>
          <w:numId w:val="15"/>
        </w:numPr>
      </w:pPr>
      <w:r>
        <w:rPr>
          <w:rFonts w:ascii="Calibri" w:hAnsi="Calibri"/>
          <w:color w:val="111827"/>
          <w:sz w:val="22"/>
        </w:rPr>
        <w:t>Design a negative test that proves an unsupported DTC group deletes nothing.</w:t>
      </w:r>
    </w:p>
    <w:p>
      <w:pPr>
        <w:pStyle w:val="ListNumber"/>
        <w:numPr>
          <w:ilvl w:val="0"/>
          <w:numId w:val="15"/>
        </w:numPr>
      </w:pPr>
      <w:r>
        <w:rPr>
          <w:rFonts w:ascii="Calibri" w:hAnsi="Calibri"/>
          <w:color w:val="111827"/>
          <w:sz w:val="22"/>
        </w:rPr>
        <w:t>Explain why simulation time produces more reproducible diagnostic tests than host time.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 Workbook  |  Version 0.1.0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  /  DIAGNOSTICS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 - Diagnostics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docs/workbook-volume-v.md</dc:description>
  <cp:lastModifiedBy/>
  <cp:revision>1</cp:revision>
  <dcterms:created xsi:type="dcterms:W3CDTF">2013-12-23T23:15:00Z</dcterms:created>
  <dcterms:modified xsi:type="dcterms:W3CDTF">2013-12-23T23:15:00Z</dcterms:modified>
  <cp:category/>
</cp:coreProperties>
</file>