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0.40.0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11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AWS archive infrastructure defined as code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application-side SPIFFE/XFCC workload-identity boundary with exact module IDs, trusted direct-peer CIDRs, fail-closed ambiguity handling, capability preservation, and a controlled token migration path</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115 fast Python tests passed locally; Ruff and strict mypy passed; live proxy mTLS and certificate-lifecycle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PostgreSQL custom-format backup and isolated restore drill, streamed SHA-256 evidence, Alembic/schema/table-count equality, secret-safe aggregate reporting, initial RPO/RTO targets, and CI retention policy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123 fast Python tests passed locally; disposable Docker restore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ordered development/staging/production promotion validation, strict source/digest inputs, fixed fail-closed GitHub environments, immutable Kubernetes renders, versioned evidence, concurrency guards, and a production approval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127 fast Python tests, Ruff, strict mypy, and a real three-target Kustomize evidence render passed locally; real deployment, signature, and provenance evidence remain gated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protected main-only GHCR publishing, non-replaceable commit tags, OCI source labels, signed SLSA provenance and CycloneDX SBOM attestations, aggregate release evidence, and exact provenance verification before promotion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132 fast Python tests, Ruff, strict mypy, workflow YAML parsing, and focused provenance policy tests passed locally; first live package/attestation execution remains an explicit operator gate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native Kubernetes image-admission boundary for ATEP Deployments and Jobs with explicit namespace scope, fail-closed evaluation, exact GHCR repository, non-zero lowercase SHA-256 digests, init-container coverage, denial, and audit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133 fast Python tests, Ruff, strict mypy, and six focused Kubernetes policy tests; live Kubernetes type-checking and denial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exact GitHub/Sigstore artifact-attestation admission contract with SLSA v1 provenance, repository/workflow/main-ref identity, namespace opt-in, official version-pinned chart procedure, and no image exemptions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134 fast Python tests, Ruff, strict mypy, seven focused Kubernetes policy tests, and four Kustomize renders; live chart-digest approval and cluster admission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Split protected release approval from an input-free reusable builder, bound the builder to its exact main-branch workflow identity, and updated promotion plus Kubernetes admission to trust that signer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135 fast Python tests, Ruff, strict mypy, workflow YAML parsing, cross-policy signer tests, structural/a11y workbook checks, and resource monitoring; hosted CI and first live release remain the completion gates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portable offline release archive with downloaded attestations, current trusted roots, exact-policy re-verification, SHA-256/size manifest, and a fail-closed evidence-preserving revocation runbook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140 fast Python tests, Ruff, strict mypy, workflow-policy tests, structural/a11y workbook checks, and resource monitoring; live archive export, restore, and revocation exercises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deterministic sealing, a content-addressed archive receipt, bounded traversal-safe restore, a fresh-job download/restore gate, and a vendor-neutral WORM provider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144 fast Python tests, Ruff, strict mypy, workflow-policy tests, structural/a11y workbook checks, and resource monitoring; provider selection, immutable upload, and live scheduled restore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normalized immutable-provider export gate that re-restores the local seal and validates exact object identity, strong read-back integrity, locked retention, encryption, workload identity, audit evidence, and time ordering before emitting a non-replacing receipt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153 fast Python tests, Ruff, strict mypy, structural/a11y workbook checks, and resource monitoring; provider adapter, provisioning, live upload, and scheduled restore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first concrete immutable provider adapter for AWS S3 Object Lock: version-history/delete-marker rejection, atomic conditional upload, full SHA-256, </w:t>
            </w:r>
            <w:r>
              <w:rPr>
                <w:rFonts w:ascii="Calibri" w:hAnsi="Calibri"/>
                <w:b w:val="0"/>
                <w:color w:val="111827"/>
                <w:sz w:val="16"/>
              </w:rPr>
              <w:t>COMPLIANCE</w:t>
            </w:r>
            <w:r>
              <w:rPr>
                <w:rFonts w:ascii="Calibri" w:hAnsi="Calibri"/>
                <w:b w:val="0"/>
                <w:color w:val="111827"/>
                <w:sz w:val="16"/>
              </w:rPr>
              <w:t xml:space="preserve"> retention, exact SSE-KMS key, STS assumed-role identity, immutable version metadata, streamed read-back, and normalized receipts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169 fast Python tests, Ruff, strict mypy, canonical Python 3.14 Linux locks, structural/a11y/visual workbook checks, and bounded resource monitoring; live AWS provisioning, upload, denial, and restore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a Terraform AWS archive foundation with a non-destroyable versioned Object Lock bucket, default/minimum </w:t>
            </w:r>
            <w:r>
              <w:rPr>
                <w:rFonts w:ascii="Calibri" w:hAnsi="Calibri"/>
                <w:b w:val="0"/>
                <w:color w:val="111827"/>
                <w:sz w:val="16"/>
              </w:rPr>
              <w:t>COMPLIANCE</w:t>
            </w:r>
            <w:r>
              <w:rPr>
                <w:rFonts w:ascii="Calibri" w:hAnsi="Calibri"/>
                <w:b w:val="0"/>
                <w:color w:val="111827"/>
                <w:sz w:val="16"/>
              </w:rPr>
              <w:t xml:space="preserve"> retention, rotated SSE-KMS key, fixed-prefix bucket denials, exact separate OIDC writer/restore roles, and externally delivered validated CloudTrail</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175 fast Python tests, Terraform 1.15.8 validation, five mocked positive/negative plans, AWS provider 6.58.0 Linux/Windows lock, Ruff, strict mypy, structural/a11y/visual workbook checks, and resource monitoring; live account review, apply, IAM simulation, upload/denial/restore, and CloudTrail correlation remain pending</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production-identity slice lets an approved mTLS proxy forward one canonical SPIFFE ID for registered modules. ATEP trusts XFCC only from configured direct-peer networks, accepts only </w:t>
      </w:r>
      <w:r>
        <w:rPr>
          <w:rFonts w:ascii="Consolas" w:hAnsi="Consolas"/>
          <w:color w:val="1F4D78"/>
          <w:sz w:val="19"/>
        </w:rPr>
        <w:t>spiffe://&lt;trust-domain&gt;/atep/module/&lt;module-name&gt;</w:t>
      </w:r>
      <w:r>
        <w:rPr>
          <w:rFonts w:ascii="Calibri" w:hAnsi="Calibri"/>
          <w:color w:val="111827"/>
          <w:sz w:val="22"/>
        </w:rPr>
        <w:t>, and applies the same capability authorization used by the shared-token path. A presented invalid or mismatched identity fails without token downgrade. The feature is disabled by default; proxy deployment, certificate issuance/rotation/revocation, direct-path denial, and live mTLS evidence remain explicit production-hardening work.</w:t>
      </w:r>
    </w:p>
    <w:p>
      <w:r>
        <w:rPr>
          <w:rFonts w:ascii="Calibri" w:hAnsi="Calibri"/>
          <w:color w:val="111827"/>
          <w:sz w:val="22"/>
        </w:rPr>
        <w:t xml:space="preserve">The first disaster-recovery slice turns backup from a policy statement into executable restore evidence. After the disposable integration scenario, CI quiesces application writers, creates and validates a portable PostgreSQL custom archive, hashes it in bounded chunks, restores it into a random database created from </w:t>
      </w:r>
      <w:r>
        <w:rPr>
          <w:rFonts w:ascii="Consolas" w:hAnsi="Consolas"/>
          <w:color w:val="1F4D78"/>
          <w:sz w:val="19"/>
        </w:rPr>
        <w:t>template0</w:t>
      </w:r>
      <w:r>
        <w:rPr>
          <w:rFonts w:ascii="Calibri" w:hAnsi="Calibri"/>
          <w:color w:val="111827"/>
          <w:sz w:val="22"/>
        </w:rPr>
        <w:t>, and compares Alembic revision, ordered schema, and every public-table row count. The dump and temporary database are deleted; a versioned aggregate report retained for 14 days contains no credentials, table names, identifiers, or domain rows. Initial 24-hour RPO and four-hour RTO values remain engineering targets until provider-native encrypted backup, immutable retention, WAL/PITR, artifact coordination, and deployed exercises exist.</w:t>
      </w:r>
    </w:p>
    <w:p>
      <w:r>
        <w:rPr>
          <w:rFonts w:ascii="Calibri" w:hAnsi="Calibri"/>
          <w:color w:val="111827"/>
          <w:sz w:val="22"/>
        </w:rPr>
        <w:t xml:space="preserve">The initial release-promotion slice creates an ordered and reviewable boundary without pretending that a cluster is ready. A manually dispatched workflow accepts one full commit SHA already contained in </w:t>
      </w:r>
      <w:r>
        <w:rPr>
          <w:rFonts w:ascii="Consolas" w:hAnsi="Consolas"/>
          <w:color w:val="1F4D78"/>
          <w:sz w:val="19"/>
        </w:rPr>
        <w:t>main</w:t>
      </w:r>
      <w:r>
        <w:rPr>
          <w:rFonts w:ascii="Calibri" w:hAnsi="Calibri"/>
          <w:color w:val="111827"/>
          <w:sz w:val="22"/>
        </w:rPr>
        <w:t>, one non-zero image manifest digest, and one highest target. Fixed jobs traverse development, staging, and production in order, require explicit environment enablement, serialize work per environment, and retain environment-specific foundation, admission, migration, workload, and JSON evidence. The builder substitutes only the reviewed image placeholder, rejects literal Secrets or unexpected repositories, and fingerprints every render. Production reviewer rules remain repository configuration; real deployment, source-to-image provenance, signatures, provider identity, smoke tests, and rollback evidence remain gated.</w:t>
      </w:r>
    </w:p>
    <w:p>
      <w:r>
        <w:rPr>
          <w:rFonts w:ascii="Calibri" w:hAnsi="Calibri"/>
          <w:color w:val="111827"/>
          <w:sz w:val="22"/>
        </w:rPr>
        <w:t xml:space="preserve">The signed-release slice closes the declared source-to-image gap before promotion. A protected main-only workflow publishes one GHCR tag named from the exact commit, refuses to replace an existing tag, records OCI source/revision labels, and uses the immutable registry manifest digest as the subject of both signed SLSA provenance and CycloneDX SBOM attestations. A non-sensitive schema </w:t>
      </w:r>
      <w:r>
        <w:rPr>
          <w:rFonts w:ascii="Consolas" w:hAnsi="Consolas"/>
          <w:color w:val="1F4D78"/>
          <w:sz w:val="19"/>
        </w:rPr>
        <w:t>1.0.0</w:t>
      </w:r>
      <w:r>
        <w:rPr>
          <w:rFonts w:ascii="Calibri" w:hAnsi="Calibri"/>
          <w:color w:val="111827"/>
          <w:sz w:val="22"/>
        </w:rPr>
        <w:t xml:space="preserve"> report binds the source, digest, image reference, and attestation URLs. Promotion now rejects any image whose provenance does not match this repository, the fixed release workflow, the supplied main commit/ref, and a GitHub-hosted signing runner. The workflow is implemented but not automatically dispatched; the first external package remains an explicit operator-controlled evidence exercise.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0012</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foundation/admission/migration/workload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native-policy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Namespace-scoped fail-closed Deployment/Job and init-container repository/digest enforcement with denial and audit actions; live cluster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Cryptographic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configuration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GitHub/Sigstore Policy Controller values restrict SLSA v1 provenance to the exact ATEP image, repository, release workflow, and main ref with no exemptions; live installation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 workload identity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application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trusted-proxy XFCC identity, no downgrade, registry match, capability preservation, and token migration; live mTLS proxy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disaster recovery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CI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Custom logical backup, isolated restore, migration/schema/count equality, aggregate evidence, and cleanup; provider PITR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promotion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Fixed ordered GitHub environments, main-ancestor source SHA, immutable digest, fail-closed enablement, secret-free rendered manifests, evidence retention, and production approval contract; no cluster apply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image provenance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reusable-builder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Protected main-only approval, input-free exact-identity builder, immutable commit tag, signed SLSA and CycloneDX attestations, release report, and exact pre-promotion/admission verification; independently governed builder and first live publish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evidence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portable archive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Exact-digest attestation bundle, current roots, offline verification, manifest-bound report/SBOM/bundle/root, and evidence-first revocation procedure; immutable provider export and live revocation exercise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Sealed evidence restore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transfer/restore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non-replacing ZIP, content-addressed receipt, bounded safe extraction, fresh-job artifact download, restore verification, and WORM provider contract; real provider upload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Immutable provider export gate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provider-neutral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bounded provider evidence, local full restore, key/version/checksum/size/retention/encryption/identity/audit/time validation, and normalized non-replacing receipt; live adapter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S3 Object Lock adapter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provider adapter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Pre-upload restore, expected account, assumed role, conditional </w:t>
            </w:r>
            <w:r>
              <w:rPr>
                <w:rFonts w:ascii="Calibri" w:hAnsi="Calibri"/>
                <w:b w:val="0"/>
                <w:color w:val="111827"/>
                <w:sz w:val="17"/>
              </w:rPr>
              <w:t>COMPLIANCE</w:t>
            </w:r>
            <w:r>
              <w:rPr>
                <w:rFonts w:ascii="Calibri" w:hAnsi="Calibri"/>
                <w:b w:val="0"/>
                <w:color w:val="111827"/>
                <w:sz w:val="17"/>
              </w:rPr>
              <w:t xml:space="preserve"> write, exact KMS key, version metadata, full read-back, and normalized evidence; live AWS acceptance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archive infrastructure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declarative foundation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Terraform defines S3 Object Lock, KMS, bucket policy, exact OIDC writer/restore roles, and externally governed CloudTrail delivery; CI cannot apply it and live AWS evidence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175 fast tests plus expanded disposable black-box, alert-delivery, restore-drill, sealed release-archive/export-gate/AWS-adapter/Terraform-policy, and workflow scenarios, five mocked Terraform plans, 27 Android tests, Ruff, strict mypy, Android lint/build, Kustomize rendering, and integration/security/release/promotion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native and cryptographic admission evidence, validating workload-identity proxy, and rollout evidence;</w:t>
      </w:r>
    </w:p>
    <w:p>
      <w:pPr>
        <w:pStyle w:val="ListBullet"/>
        <w:numPr>
          <w:ilvl w:val="0"/>
          <w:numId w:val="14"/>
        </w:numPr>
      </w:pPr>
      <w:r>
        <w:rPr>
          <w:rFonts w:ascii="Calibri" w:hAnsi="Calibri"/>
          <w:color w:val="111827"/>
          <w:sz w:val="22"/>
        </w:rPr>
        <w:t>secret-manager integration, certificate lifecycle, direct-path denial, and live service-to-service mTLS evidence;</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ADR-023 now defines the initial application-side mTLS identity boundary; proxy deployment and certificate-lifecycle evidence remain production work. Lease/reconciliation metrics and explicit multi-replica scheduling ownership are still required.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shared module secret and injected development operator token must be protected on the Android side until migration completes. The initial SPIFFE/XFCC boundary is implemented, while proxy and certificate lifecycle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cluster-scoped admission,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2"/>
        <w:keepNext/>
        <w:keepLines/>
      </w:pPr>
      <w:r>
        <w:t>ADR-023 — Accept SPIFFE Identity Only across a Trusted mTLS Proxy Boundary</w:t>
      </w:r>
    </w:p>
    <w:p>
      <w:r>
        <w:rPr>
          <w:rFonts w:ascii="Calibri" w:hAnsi="Calibri"/>
          <w:b/>
          <w:color w:val="111827"/>
          <w:sz w:val="22"/>
        </w:rPr>
        <w:t>Decision.</w:t>
      </w:r>
      <w:r>
        <w:rPr>
          <w:rFonts w:ascii="Calibri" w:hAnsi="Calibri"/>
          <w:color w:val="111827"/>
          <w:sz w:val="22"/>
        </w:rPr>
        <w:t xml:space="preserve"> Accept exactly one </w:t>
      </w:r>
      <w:r>
        <w:rPr>
          <w:rFonts w:ascii="Consolas" w:hAnsi="Consolas"/>
          <w:color w:val="1F4D78"/>
          <w:sz w:val="19"/>
        </w:rPr>
        <w:t>spiffe://&lt;trust-domain&gt;/atep/module/&lt;module-name&gt;</w:t>
      </w:r>
      <w:r>
        <w:rPr>
          <w:rFonts w:ascii="Calibri" w:hAnsi="Calibri"/>
          <w:color w:val="111827"/>
          <w:sz w:val="22"/>
        </w:rPr>
        <w:t xml:space="preserve"> identity from XFCC only when workload identity is enabled and the direct peer is in a configured trusted-proxy CIDR. Reject ambiguous, encoded, non-canonical, untrusted, disabled, or mismatched identity without falling back to a supplied module token. Continue registry capability authorization after identity matching. Keep the token path only when XFCC is absent.</w:t>
      </w:r>
    </w:p>
    <w:p>
      <w:r>
        <w:rPr>
          <w:rFonts w:ascii="Calibri" w:hAnsi="Calibri"/>
          <w:b/>
          <w:color w:val="111827"/>
          <w:sz w:val="22"/>
        </w:rPr>
        <w:t>Rationale.</w:t>
      </w:r>
      <w:r>
        <w:rPr>
          <w:rFonts w:ascii="Calibri" w:hAnsi="Calibri"/>
          <w:color w:val="111827"/>
          <w:sz w:val="22"/>
        </w:rPr>
        <w:t xml:space="preserve"> A certificate-validating proxy can terminate and standardize mTLS without coupling FastAPI to a specific service-mesh implementation. Exact namespace and peer validation limits header spoofing, while no-downgrade behavior prevents an attacker from hiding a bad certificate identity behind a valid shared secret.</w:t>
      </w:r>
    </w:p>
    <w:p>
      <w:r>
        <w:rPr>
          <w:rFonts w:ascii="Calibri" w:hAnsi="Calibri"/>
          <w:b/>
          <w:color w:val="111827"/>
          <w:sz w:val="22"/>
        </w:rPr>
        <w:t>Consequences.</w:t>
      </w:r>
      <w:r>
        <w:rPr>
          <w:rFonts w:ascii="Calibri" w:hAnsi="Calibri"/>
          <w:color w:val="111827"/>
          <w:sz w:val="22"/>
        </w:rPr>
        <w:t xml:space="preserve"> ATEP does not itself prove certificate validity: production must configure proxy certificate validation, XFCC replacement, direct-path denial, separate environment trust domains, certificate lifecycle, and live rotation/revocation evidence. The feature remains disabled in the common base until those controls exist.</w:t>
      </w:r>
    </w:p>
    <w:p>
      <w:pPr>
        <w:pStyle w:val="Heading2"/>
        <w:keepNext/>
        <w:keepLines/>
      </w:pPr>
      <w:r>
        <w:t>ADR-024 — Prove Database Backups through Isolated Restore</w:t>
      </w:r>
    </w:p>
    <w:p>
      <w:r>
        <w:rPr>
          <w:rFonts w:ascii="Calibri" w:hAnsi="Calibri"/>
          <w:b/>
          <w:color w:val="111827"/>
          <w:sz w:val="22"/>
        </w:rPr>
        <w:t>Decision.</w:t>
      </w:r>
      <w:r>
        <w:rPr>
          <w:rFonts w:ascii="Calibri" w:hAnsi="Calibri"/>
          <w:color w:val="111827"/>
          <w:sz w:val="22"/>
        </w:rPr>
        <w:t xml:space="preserve"> Treat archive creation as incomplete evidence. After application writers are quiesced in the disposable environment, create a PostgreSQL custom-format logical dump without ownership or ACLs, validate its catalogue, restore it into a random empty database created from </w:t>
      </w:r>
      <w:r>
        <w:rPr>
          <w:rFonts w:ascii="Consolas" w:hAnsi="Consolas"/>
          <w:color w:val="1F4D78"/>
          <w:sz w:val="19"/>
        </w:rPr>
        <w:t>template0</w:t>
      </w:r>
      <w:r>
        <w:rPr>
          <w:rFonts w:ascii="Calibri" w:hAnsi="Calibri"/>
          <w:color w:val="111827"/>
          <w:sz w:val="22"/>
        </w:rPr>
        <w:t>, and require equality of Alembic revision, ordered schema fingerprint, and every public-table row count. Hash the archive in streaming chunks, then delete both archive and restore database. Retain only a versioned aggregate report.</w:t>
      </w:r>
    </w:p>
    <w:p>
      <w:r>
        <w:rPr>
          <w:rFonts w:ascii="Calibri" w:hAnsi="Calibri"/>
          <w:b/>
          <w:color w:val="111827"/>
          <w:sz w:val="22"/>
        </w:rPr>
        <w:t>Rationale.</w:t>
      </w:r>
      <w:r>
        <w:rPr>
          <w:rFonts w:ascii="Calibri" w:hAnsi="Calibri"/>
          <w:color w:val="111827"/>
          <w:sz w:val="22"/>
        </w:rPr>
        <w:t xml:space="preserve"> A successful </w:t>
      </w:r>
      <w:r>
        <w:rPr>
          <w:rFonts w:ascii="Consolas" w:hAnsi="Consolas"/>
          <w:color w:val="1F4D78"/>
          <w:sz w:val="19"/>
        </w:rPr>
        <w:t>pg_dump</w:t>
      </w:r>
      <w:r>
        <w:rPr>
          <w:rFonts w:ascii="Calibri" w:hAnsi="Calibri"/>
          <w:color w:val="111827"/>
          <w:sz w:val="22"/>
        </w:rPr>
        <w:t xml:space="preserve"> exit cannot prove that an archive is readable, complete for the application, or operationally restorable. An isolated restore exercises the recovery path. Aggregate hashes and totals provide reviewable evidence without uploading a dump that contains protected data.</w:t>
      </w:r>
    </w:p>
    <w:p>
      <w:r>
        <w:rPr>
          <w:rFonts w:ascii="Calibri" w:hAnsi="Calibri"/>
          <w:b/>
          <w:color w:val="111827"/>
          <w:sz w:val="22"/>
        </w:rPr>
        <w:t>Consequences.</w:t>
      </w:r>
      <w:r>
        <w:rPr>
          <w:rFonts w:ascii="Calibri" w:hAnsi="Calibri"/>
          <w:color w:val="111827"/>
          <w:sz w:val="22"/>
        </w:rPr>
        <w:t xml:space="preserve"> The CI drill proves logical portability in a disposable PostgreSQL environment, not production RPO/RTO. Production requires provider-native encryption, immutability, base backups and WAL/PITR, independent keys and ownership, coordinated artifact-object recovery, monitoring, and scheduled operator exercises. Cluster-global roles and tablespaces remain infrastructure/provider responsibilities because the portable application dump intentionally excludes ownership and privileges.</w:t>
      </w:r>
    </w:p>
    <w:p>
      <w:pPr>
        <w:pStyle w:val="Heading2"/>
        <w:keepNext/>
        <w:keepLines/>
      </w:pPr>
      <w:r>
        <w:t>ADR-025 â€” Separate Promotion Evidence from Provider Deployment</w:t>
      </w:r>
    </w:p>
    <w:p>
      <w:r>
        <w:rPr>
          <w:rFonts w:ascii="Calibri" w:hAnsi="Calibri"/>
          <w:b/>
          <w:color w:val="111827"/>
          <w:sz w:val="22"/>
        </w:rPr>
        <w:t>Decision.</w:t>
      </w:r>
      <w:r>
        <w:rPr>
          <w:rFonts w:ascii="Calibri" w:hAnsi="Calibri"/>
          <w:color w:val="111827"/>
          <w:sz w:val="22"/>
        </w:rPr>
        <w:t xml:space="preserve"> Introduce one manually dispatched, least-privilege workflow with fixed development, staging, and production jobs. Require one immutable image manifest digest and a full source SHA already contained in </w:t>
      </w:r>
      <w:r>
        <w:rPr>
          <w:rFonts w:ascii="Consolas" w:hAnsi="Consolas"/>
          <w:color w:val="1F4D78"/>
          <w:sz w:val="19"/>
        </w:rPr>
        <w:t>main</w:t>
      </w:r>
      <w:r>
        <w:rPr>
          <w:rFonts w:ascii="Calibri" w:hAnsi="Calibri"/>
          <w:color w:val="111827"/>
          <w:sz w:val="22"/>
        </w:rPr>
        <w:t>; traverse lower environments before higher ones; require exact environment enablement; serialize each environment; and retain secret-free rendered manifests plus a versioned aggregate report. Do not grant deployment, package, or OIDC write permissions and do not apply Kubernetes resources in this slice.</w:t>
      </w:r>
    </w:p>
    <w:p>
      <w:r>
        <w:rPr>
          <w:rFonts w:ascii="Calibri" w:hAnsi="Calibri"/>
          <w:b/>
          <w:color w:val="111827"/>
          <w:sz w:val="22"/>
        </w:rPr>
        <w:t>Rationale.</w:t>
      </w:r>
      <w:r>
        <w:rPr>
          <w:rFonts w:ascii="Calibri" w:hAnsi="Calibri"/>
          <w:color w:val="111827"/>
          <w:sz w:val="22"/>
        </w:rPr>
        <w:t xml:space="preserve"> GitHub environment approvals and deployment records provide a useful review boundary, but an environment name alone does not prove that protection rules were configured. Separating deterministic manifest evidence from provider access allows the repository to fail closed while secret management, workload identity, provenance, smoke tests, and rollback controls are still incomplete.</w:t>
      </w:r>
    </w:p>
    <w:p>
      <w:r>
        <w:rPr>
          <w:rFonts w:ascii="Calibri" w:hAnsi="Calibri"/>
          <w:b/>
          <w:color w:val="111827"/>
          <w:sz w:val="22"/>
        </w:rPr>
        <w:t>Consequences.</w:t>
      </w:r>
      <w:r>
        <w:rPr>
          <w:rFonts w:ascii="Calibri" w:hAnsi="Calibri"/>
          <w:color w:val="111827"/>
          <w:sz w:val="22"/>
        </w:rPr>
        <w:t xml:space="preserve"> The workflow records a declared source/digest pair but does not prove that the image was built from that source. Repository owners must configure and review fixed environment protections outside YAML. A future deployment controller must verify signature and provenance, consume the retained hashes, use short-lived provider identity, execute migration and smoke gates, and preserve the same digest across all environments.</w:t>
      </w:r>
    </w:p>
    <w:p>
      <w:pPr>
        <w:pStyle w:val="Heading2"/>
        <w:keepNext/>
        <w:keepLines/>
      </w:pPr>
      <w:r>
        <w:t>ADR-026 — Sign Hosted Release Provenance and Verify It before Promotion</w:t>
      </w:r>
    </w:p>
    <w:p>
      <w:r>
        <w:rPr>
          <w:rFonts w:ascii="Calibri" w:hAnsi="Calibri"/>
          <w:b/>
          <w:color w:val="111827"/>
          <w:sz w:val="22"/>
        </w:rPr>
        <w:t>Decision.</w:t>
      </w:r>
      <w:r>
        <w:rPr>
          <w:rFonts w:ascii="Calibri" w:hAnsi="Calibri"/>
          <w:color w:val="111827"/>
          <w:sz w:val="22"/>
        </w:rPr>
        <w:t xml:space="preserve"> Publish only </w:t>
      </w:r>
      <w:r>
        <w:rPr>
          <w:rFonts w:ascii="Consolas" w:hAnsi="Consolas"/>
          <w:color w:val="1F4D78"/>
          <w:sz w:val="19"/>
        </w:rPr>
        <w:t>sha-&lt;commit&gt;</w:t>
      </w:r>
      <w:r>
        <w:rPr>
          <w:rFonts w:ascii="Calibri" w:hAnsi="Calibri"/>
          <w:color w:val="111827"/>
          <w:sz w:val="22"/>
        </w:rPr>
        <w:t xml:space="preserve"> images from a fixed, protected, main-only GitHub-hosted release path. Refuse tag replacement; derive the immutable manifest digest from Buildx metadata; create signed SLSA provenance and CycloneDX SBOM attestations for the same fully qualified subject; and retain an aggregate release record. Before development, verify the OCI digest against this repository, </w:t>
      </w:r>
      <w:r>
        <w:rPr>
          <w:rFonts w:ascii="Consolas" w:hAnsi="Consolas"/>
          <w:color w:val="1F4D78"/>
          <w:sz w:val="19"/>
        </w:rPr>
        <w:t>.github/workflows/reusable-release-builder.yml</w:t>
      </w:r>
      <w:r>
        <w:rPr>
          <w:rFonts w:ascii="Calibri" w:hAnsi="Calibri"/>
          <w:color w:val="111827"/>
          <w:sz w:val="22"/>
        </w:rPr>
        <w:t xml:space="preserve">, the requested source commit, </w:t>
      </w:r>
      <w:r>
        <w:rPr>
          <w:rFonts w:ascii="Consolas" w:hAnsi="Consolas"/>
          <w:color w:val="1F4D78"/>
          <w:sz w:val="19"/>
        </w:rPr>
        <w:t>refs/heads/main</w:t>
      </w:r>
      <w:r>
        <w:rPr>
          <w:rFonts w:ascii="Calibri" w:hAnsi="Calibri"/>
          <w:color w:val="111827"/>
          <w:sz w:val="22"/>
        </w:rPr>
        <w:t>, and a non-self-hosted signing runner.</w:t>
      </w:r>
    </w:p>
    <w:p>
      <w:r>
        <w:rPr>
          <w:rFonts w:ascii="Calibri" w:hAnsi="Calibri"/>
          <w:b/>
          <w:color w:val="111827"/>
          <w:sz w:val="22"/>
        </w:rPr>
        <w:t>Rationale.</w:t>
      </w:r>
      <w:r>
        <w:rPr>
          <w:rFonts w:ascii="Calibri" w:hAnsi="Calibri"/>
          <w:color w:val="111827"/>
          <w:sz w:val="22"/>
        </w:rPr>
        <w:t xml:space="preserve"> A digest alone proves content identity but not origin. GitHub artifact attestations use a short-lived OIDC identity and Sigstore signing material to bind the digest to protected workflow context. Exact signer, source, and runner constraints reduce acceptance of a valid but unauthorized attestation, while the immutable commit tag improves discovery without becoming the deployment identity.</w:t>
      </w:r>
    </w:p>
    <w:p>
      <w:r>
        <w:rPr>
          <w:rFonts w:ascii="Calibri" w:hAnsi="Calibri"/>
          <w:b/>
          <w:color w:val="111827"/>
          <w:sz w:val="22"/>
        </w:rPr>
        <w:t>Consequences.</w:t>
      </w:r>
      <w:r>
        <w:rPr>
          <w:rFonts w:ascii="Calibri" w:hAnsi="Calibri"/>
          <w:color w:val="111827"/>
          <w:sz w:val="22"/>
        </w:rPr>
        <w:t xml:space="preserve"> The hosted workflow remains part of the trusted computing base and is not yet a separately governed reusable builder. The first publish requires explicit environment and package configuration. Long-term retention, multi-architecture output, emergency revocation, live admission execution, and automotive cybersecurity evidence remain production work.</w:t>
      </w:r>
    </w:p>
    <w:p>
      <w:pPr>
        <w:pStyle w:val="Heading2"/>
        <w:keepNext/>
        <w:keepLines/>
      </w:pPr>
      <w:r>
        <w:t>ADR-027 — Enforce Reviewed Image Identity at Kubernetes Admission</w:t>
      </w:r>
    </w:p>
    <w:p>
      <w:r>
        <w:rPr>
          <w:rFonts w:ascii="Calibri" w:hAnsi="Calibri"/>
          <w:b/>
          <w:color w:val="111827"/>
          <w:sz w:val="22"/>
        </w:rPr>
        <w:t>Decision.</w:t>
      </w:r>
      <w:r>
        <w:rPr>
          <w:rFonts w:ascii="Calibri" w:hAnsi="Calibri"/>
          <w:color w:val="111827"/>
          <w:sz w:val="22"/>
        </w:rPr>
        <w:t xml:space="preserve"> Install a native Kubernetes </w:t>
      </w:r>
      <w:r>
        <w:rPr>
          <w:rFonts w:ascii="Consolas" w:hAnsi="Consolas"/>
          <w:color w:val="1F4D78"/>
          <w:sz w:val="19"/>
        </w:rPr>
        <w:t>ValidatingAdmissionPolicy</w:t>
      </w:r>
      <w:r>
        <w:rPr>
          <w:rFonts w:ascii="Calibri" w:hAnsi="Calibri"/>
          <w:color w:val="111827"/>
          <w:sz w:val="22"/>
        </w:rPr>
        <w:t xml:space="preserve"> and binding in a separate cluster-scoped admission target applied after the namespaced foundation. Select only namespaces explicitly labelled </w:t>
      </w:r>
      <w:r>
        <w:rPr>
          <w:rFonts w:ascii="Consolas" w:hAnsi="Consolas"/>
          <w:color w:val="1F4D78"/>
          <w:sz w:val="19"/>
        </w:rPr>
        <w:t>atep.dev/image-policy=enforced</w:t>
      </w:r>
      <w:r>
        <w:rPr>
          <w:rFonts w:ascii="Calibri" w:hAnsi="Calibri"/>
          <w:color w:val="111827"/>
          <w:sz w:val="22"/>
        </w:rPr>
        <w:t>; fail closed on policy errors; and deny plus audit every ATEP Deployment or Job create/update whose application or init-container image does not use the exact approved GHCR repository and a non-zero lowercase SHA-256 manifest digest.</w:t>
      </w:r>
    </w:p>
    <w:p>
      <w:r>
        <w:rPr>
          <w:rFonts w:ascii="Calibri" w:hAnsi="Calibri"/>
          <w:b/>
          <w:color w:val="111827"/>
          <w:sz w:val="22"/>
        </w:rPr>
        <w:t>Rationale.</w:t>
      </w:r>
      <w:r>
        <w:rPr>
          <w:rFonts w:ascii="Calibri" w:hAnsi="Calibri"/>
          <w:color w:val="111827"/>
          <w:sz w:val="22"/>
        </w:rPr>
        <w:t xml:space="preserve"> Promotion-time verification can be bypassed if a privileged operator later applies a different workload manifest. Repeating the immutable repository/digest boundary at Kubernetes admission prevents mutable tags, foreign repositories, malformed digests, and the committed zero placeholder from reaching the ATEP namespace. Native CEL policy avoids a new webhook service and is stable from Kubernetes 1.30.</w:t>
      </w:r>
    </w:p>
    <w:p>
      <w:r>
        <w:rPr>
          <w:rFonts w:ascii="Calibri" w:hAnsi="Calibri"/>
          <w:b/>
          <w:color w:val="111827"/>
          <w:sz w:val="22"/>
        </w:rPr>
        <w:t>Consequences.</w:t>
      </w:r>
      <w:r>
        <w:rPr>
          <w:rFonts w:ascii="Calibri" w:hAnsi="Calibri"/>
          <w:color w:val="111827"/>
          <w:sz w:val="22"/>
        </w:rPr>
        <w:t xml:space="preserve"> The admission target requires cluster-level admissionregistration privileges and Kubernetes 1.30 or later. The native policy validates identity syntax and repository scope; it does not verify GitHub/Sigstore signatures. Exact attestation verification remains mandatory before promotion, and production still requires live type-checking/denial evidence plus a separately reviewed signature-aware admission control if cryptographic verification must occur inside the cluster.</w:t>
      </w:r>
    </w:p>
    <w:p>
      <w:pPr>
        <w:pStyle w:val="Heading2"/>
        <w:keepNext/>
        <w:keepLines/>
      </w:pPr>
      <w:r>
        <w:t>ADR-028 — Bind Cluster Admission to the Exact GitHub Release Workflow</w:t>
      </w:r>
    </w:p>
    <w:p>
      <w:r>
        <w:rPr>
          <w:rFonts w:ascii="Calibri" w:hAnsi="Calibri"/>
          <w:b/>
          <w:color w:val="111827"/>
          <w:sz w:val="22"/>
        </w:rPr>
        <w:t>Decision.</w:t>
      </w:r>
      <w:r>
        <w:rPr>
          <w:rFonts w:ascii="Calibri" w:hAnsi="Calibri"/>
          <w:color w:val="111827"/>
          <w:sz w:val="22"/>
        </w:rPr>
        <w:t xml:space="preserve"> Opt the </w:t>
      </w:r>
      <w:r>
        <w:rPr>
          <w:rFonts w:ascii="Consolas" w:hAnsi="Consolas"/>
          <w:color w:val="1F4D78"/>
          <w:sz w:val="19"/>
        </w:rPr>
        <w:t>atep</w:t>
      </w:r>
      <w:r>
        <w:rPr>
          <w:rFonts w:ascii="Calibri" w:hAnsi="Calibri"/>
          <w:color w:val="111827"/>
          <w:sz w:val="22"/>
        </w:rPr>
        <w:t xml:space="preserve"> namespace into the official GitHub/Sigstore Policy Controller and commit its trust-policy values. Require SLSA v1 provenance, the GitHub Actions OIDC issuer, the exact </w:t>
      </w:r>
      <w:r>
        <w:rPr>
          <w:rFonts w:ascii="Consolas" w:hAnsi="Consolas"/>
          <w:color w:val="1F4D78"/>
          <w:sz w:val="19"/>
        </w:rPr>
        <w:t>paulacristinaqa/automotive_test_engineering_platform</w:t>
      </w:r>
      <w:r>
        <w:rPr>
          <w:rFonts w:ascii="Calibri" w:hAnsi="Calibri"/>
          <w:color w:val="111827"/>
          <w:sz w:val="22"/>
        </w:rPr>
        <w:t xml:space="preserve"> repository, </w:t>
      </w:r>
      <w:r>
        <w:rPr>
          <w:rFonts w:ascii="Consolas" w:hAnsi="Consolas"/>
          <w:color w:val="1F4D78"/>
          <w:sz w:val="19"/>
        </w:rPr>
        <w:t>.github/workflows/reusable-release-builder.yml</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and the exact ATEP GHCR image pattern. Permit no exempt image. Retain the native repository/digest admission policy as an independent gate.</w:t>
      </w:r>
    </w:p>
    <w:p>
      <w:r>
        <w:rPr>
          <w:rFonts w:ascii="Calibri" w:hAnsi="Calibri"/>
          <w:b/>
          <w:color w:val="111827"/>
          <w:sz w:val="22"/>
        </w:rPr>
        <w:t>Rationale.</w:t>
      </w:r>
      <w:r>
        <w:rPr>
          <w:rFonts w:ascii="Calibri" w:hAnsi="Calibri"/>
          <w:color w:val="111827"/>
          <w:sz w:val="22"/>
        </w:rPr>
        <w:t xml:space="preserve"> Digest admission proves content identity but not who built that content. The release workflow already publishes OCI-attached GitHub/Sigstore provenance with </w:t>
      </w:r>
      <w:r>
        <w:rPr>
          <w:rFonts w:ascii="Consolas" w:hAnsi="Consolas"/>
          <w:color w:val="1F4D78"/>
          <w:sz w:val="19"/>
        </w:rPr>
        <w:t>push-to-registry: true</w:t>
      </w:r>
      <w:r>
        <w:rPr>
          <w:rFonts w:ascii="Calibri" w:hAnsi="Calibri"/>
          <w:color w:val="111827"/>
          <w:sz w:val="22"/>
        </w:rPr>
        <w:t>, so the official controller can cryptographically evaluate the same evidence inside Kubernetes. An exact certificate-subject regular expression is narrower than trusting every repository owned by the account and supports the current personal repository owner.</w:t>
      </w:r>
    </w:p>
    <w:p>
      <w:r>
        <w:rPr>
          <w:rFonts w:ascii="Calibri" w:hAnsi="Calibri"/>
          <w:b/>
          <w:color w:val="111827"/>
          <w:sz w:val="22"/>
        </w:rPr>
        <w:t>Consequences.</w:t>
      </w:r>
      <w:r>
        <w:rPr>
          <w:rFonts w:ascii="Calibri" w:hAnsi="Calibri"/>
          <w:color w:val="111827"/>
          <w:sz w:val="22"/>
        </w:rPr>
        <w:t xml:space="preserve"> Repository configuration alone does not deploy the controller. Operators must approve immutable OCI chart digests, install the reviewed Sigstore controller and GitHub trust policy, validate trust-root and policy status, and retain positive/negative admission evidence. Removing namespace opt-in, broadening the subject/image pattern, adding exemptions, or falling back to an unattested digest is a security-policy change requiring review. Kubernetes 1.30 remains the effective platform minimum because of the native policy.</w:t>
      </w:r>
    </w:p>
    <w:p>
      <w:pPr>
        <w:pStyle w:val="Heading2"/>
        <w:keepNext/>
        <w:keepLines/>
      </w:pPr>
      <w:r>
        <w:t>ADR-029 — Isolate Release Construction and Signing behind a Reusable Workflow</w:t>
      </w:r>
    </w:p>
    <w:p>
      <w:r>
        <w:rPr>
          <w:rFonts w:ascii="Calibri" w:hAnsi="Calibri"/>
          <w:b/>
          <w:color w:val="111827"/>
          <w:sz w:val="22"/>
        </w:rPr>
        <w:t>Decision.</w:t>
      </w:r>
      <w:r>
        <w:rPr>
          <w:rFonts w:ascii="Calibri" w:hAnsi="Calibri"/>
          <w:color w:val="111827"/>
          <w:sz w:val="22"/>
        </w:rPr>
        <w:t xml:space="preserve"> Keep environment approval and fail-closed enablement in the manual </w:t>
      </w:r>
      <w:r>
        <w:rPr>
          <w:rFonts w:ascii="Consolas" w:hAnsi="Consolas"/>
          <w:color w:val="1F4D78"/>
          <w:sz w:val="19"/>
        </w:rPr>
        <w:t>release.yml</w:t>
      </w:r>
      <w:r>
        <w:rPr>
          <w:rFonts w:ascii="Calibri" w:hAnsi="Calibri"/>
          <w:color w:val="111827"/>
          <w:sz w:val="22"/>
        </w:rPr>
        <w:t xml:space="preserve"> caller, then delegate construction, publication, SBOM generation, and both attestations to </w:t>
      </w:r>
      <w:r>
        <w:rPr>
          <w:rFonts w:ascii="Consolas" w:hAnsi="Consolas"/>
          <w:color w:val="1F4D78"/>
          <w:sz w:val="19"/>
        </w:rPr>
        <w:t>reusable-release-builder.yml</w:t>
      </w:r>
      <w:r>
        <w:rPr>
          <w:rFonts w:ascii="Calibri" w:hAnsi="Calibri"/>
          <w:color w:val="111827"/>
          <w:sz w:val="22"/>
        </w:rPr>
        <w:t xml:space="preserve">. Expose no workflow inputs or caller secrets. Grant write permissions only on the dependent call and require the called job's exact </w:t>
      </w:r>
      <w:r>
        <w:rPr>
          <w:rFonts w:ascii="Consolas" w:hAnsi="Consolas"/>
          <w:color w:val="1F4D78"/>
          <w:sz w:val="19"/>
        </w:rPr>
        <w:t>job.workflow_ref</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xml:space="preserve"> before registry authentication.</w:t>
      </w:r>
    </w:p>
    <w:p>
      <w:r>
        <w:rPr>
          <w:rFonts w:ascii="Calibri" w:hAnsi="Calibri"/>
          <w:b/>
          <w:color w:val="111827"/>
          <w:sz w:val="22"/>
        </w:rPr>
        <w:t>Rationale.</w:t>
      </w:r>
      <w:r>
        <w:rPr>
          <w:rFonts w:ascii="Calibri" w:hAnsi="Calibri"/>
          <w:color w:val="111827"/>
          <w:sz w:val="22"/>
        </w:rPr>
        <w:t xml:space="preserve"> GitHub identifies the workflow containing </w:t>
      </w:r>
      <w:r>
        <w:rPr>
          <w:rFonts w:ascii="Consolas" w:hAnsi="Consolas"/>
          <w:color w:val="1F4D78"/>
          <w:sz w:val="19"/>
        </w:rPr>
        <w:t>actions/attest</w:t>
      </w:r>
      <w:r>
        <w:rPr>
          <w:rFonts w:ascii="Calibri" w:hAnsi="Calibri"/>
          <w:color w:val="111827"/>
          <w:sz w:val="22"/>
        </w:rPr>
        <w:t xml:space="preserve"> as the signer. Moving build and signing together behind a narrow reusable boundary therefore gives promotion and cluster admission one explicit builder identity while eliminating arbitrary caller-controlled image, ref, registry, command, and credential inputs. The approval job cannot publish and the builder cannot elevate the caller's token permissions.</w:t>
      </w:r>
    </w:p>
    <w:p>
      <w:r>
        <w:rPr>
          <w:rFonts w:ascii="Calibri" w:hAnsi="Calibri"/>
          <w:b/>
          <w:color w:val="111827"/>
          <w:sz w:val="22"/>
        </w:rPr>
        <w:t>Consequences.</w:t>
      </w:r>
      <w:r>
        <w:rPr>
          <w:rFonts w:ascii="Calibri" w:hAnsi="Calibri"/>
          <w:color w:val="111827"/>
          <w:sz w:val="22"/>
        </w:rPr>
        <w:t xml:space="preserve"> Promotion and Sigstore admission must trust the reusable workflow rather than its caller, and signer changes must update both gates atomically. Because caller and builder remain in the same repository and commit, this is not yet independently governed SLSA Build Level 3 isolation. A future builder repository must be protected separately and referenced by reviewed immutable SHA.</w:t>
      </w:r>
    </w:p>
    <w:p>
      <w:pPr>
        <w:pStyle w:val="Heading2"/>
        <w:keepNext/>
        <w:keepLines/>
      </w:pPr>
      <w:r>
        <w:t>ADR-030 — Preserve Portable Evidence before Exact-Digest Revocation</w:t>
      </w:r>
    </w:p>
    <w:p>
      <w:r>
        <w:rPr>
          <w:rFonts w:ascii="Calibri" w:hAnsi="Calibri"/>
          <w:b/>
          <w:color w:val="111827"/>
          <w:sz w:val="22"/>
        </w:rPr>
        <w:t>Decision.</w:t>
      </w:r>
      <w:r>
        <w:rPr>
          <w:rFonts w:ascii="Calibri" w:hAnsi="Calibri"/>
          <w:color w:val="111827"/>
          <w:sz w:val="22"/>
        </w:rPr>
        <w:t xml:space="preserve"> After online attestation creation, download the exact image digest's GitHub bundle and current trusted roots, verify the archived SLSA provenance against the same repository/signer/source/runner policy, and emit a schema </w:t>
      </w:r>
      <w:r>
        <w:rPr>
          <w:rFonts w:ascii="Consolas" w:hAnsi="Consolas"/>
          <w:color w:val="1F4D78"/>
          <w:sz w:val="19"/>
        </w:rPr>
        <w:t>1.0.0</w:t>
      </w:r>
      <w:r>
        <w:rPr>
          <w:rFonts w:ascii="Calibri" w:hAnsi="Calibri"/>
          <w:color w:val="111827"/>
          <w:sz w:val="22"/>
        </w:rPr>
        <w:t xml:space="preserve"> manifest that hashes and sizes the release report, CycloneDX SBOM, bundle, and roots. Treat the 90-day Actions artifact as a transfer package. Require a separate, dual-reviewed runbook to preserve evidence before deleting exact-digest attestations, package versions, or OCI referrers.</w:t>
      </w:r>
    </w:p>
    <w:p>
      <w:r>
        <w:rPr>
          <w:rFonts w:ascii="Calibri" w:hAnsi="Calibri"/>
          <w:b/>
          <w:color w:val="111827"/>
          <w:sz w:val="22"/>
        </w:rPr>
        <w:t>Rationale.</w:t>
      </w:r>
      <w:r>
        <w:rPr>
          <w:rFonts w:ascii="Calibri" w:hAnsi="Calibri"/>
          <w:color w:val="111827"/>
          <w:sz w:val="22"/>
        </w:rPr>
        <w:t xml:space="preserve"> GitHub lifecycle guidance recommends downloading attestations before deletion, and offline verification requires both the bundle and trusted roots. Binding all evidence files detects accidental substitution or truncation and enables later verification without relying on the Actions artifact. Separating archival from revocation prevents a destructive convenience workflow from erasing evidence or withdrawing the wrong digest.</w:t>
      </w:r>
    </w:p>
    <w:p>
      <w:r>
        <w:rPr>
          <w:rFonts w:ascii="Calibri" w:hAnsi="Calibri"/>
          <w:b/>
          <w:color w:val="111827"/>
          <w:sz w:val="22"/>
        </w:rPr>
        <w:t>Consequences.</w:t>
      </w:r>
      <w:r>
        <w:rPr>
          <w:rFonts w:ascii="Calibri" w:hAnsi="Calibri"/>
          <w:color w:val="111827"/>
          <w:sz w:val="22"/>
        </w:rPr>
        <w:t xml:space="preserve"> An archived signature remains historical cryptographic evidence and is not a current authorization decision; offline verifiers must consult current revocation state. GitHub's 90-day retention is not product-lifetime storage. Production still needs immutable provider retention, encryption and ownership controls, restore exercises, an external revocation catalogue, consumer notification, and live negative verification/admission evidence.</w:t>
      </w:r>
    </w:p>
    <w:p>
      <w:pPr>
        <w:pStyle w:val="Heading2"/>
        <w:keepNext/>
        <w:keepLines/>
      </w:pPr>
      <w:r>
        <w:t>ADR-031 — Seal One Deterministic Object and Prove Restore across a Fresh Job</w:t>
      </w:r>
    </w:p>
    <w:p>
      <w:r>
        <w:rPr>
          <w:rFonts w:ascii="Calibri" w:hAnsi="Calibri"/>
          <w:b/>
          <w:color w:val="111827"/>
          <w:sz w:val="22"/>
        </w:rPr>
        <w:t>Decision.</w:t>
      </w:r>
      <w:r>
        <w:rPr>
          <w:rFonts w:ascii="Calibri" w:hAnsi="Calibri"/>
          <w:color w:val="111827"/>
          <w:sz w:val="22"/>
        </w:rPr>
        <w:t xml:space="preserve"> Seal the manifest and its four evidence files into one deterministic, uncompressed ZIP with fixed entry order, timestamp, permissions, names, and bounded sizes. Emit a separate schema </w:t>
      </w:r>
      <w:r>
        <w:rPr>
          <w:rFonts w:ascii="Consolas" w:hAnsi="Consolas"/>
          <w:color w:val="1F4D78"/>
          <w:sz w:val="19"/>
        </w:rPr>
        <w:t>1.0.0</w:t>
      </w:r>
      <w:r>
        <w:rPr>
          <w:rFonts w:ascii="Calibri" w:hAnsi="Calibri"/>
          <w:color w:val="111827"/>
          <w:sz w:val="22"/>
        </w:rPr>
        <w:t xml:space="preserve"> receipt that binds source SHA, image digest, manifest SHA-256, archive SHA-256/size/count, creation time, and deterministic provider object key. Refuse replacement. After upload to the workflow artifact service, require a fresh read-only job to download, validate, and restore into an empty workspace. Define a vendor-neutral WORM provider contract without embedding cloud credentials or selecting a provider prematurely.</w:t>
      </w:r>
    </w:p>
    <w:p>
      <w:r>
        <w:rPr>
          <w:rFonts w:ascii="Calibri" w:hAnsi="Calibri"/>
          <w:b/>
          <w:color w:val="111827"/>
          <w:sz w:val="22"/>
        </w:rPr>
        <w:t>Rationale.</w:t>
      </w:r>
      <w:r>
        <w:rPr>
          <w:rFonts w:ascii="Calibri" w:hAnsi="Calibri"/>
          <w:color w:val="111827"/>
          <w:sz w:val="22"/>
        </w:rPr>
        <w:t xml:space="preserve"> A single deterministic object is easier to content-address, transfer, retain, and restore than five loose files. The separate receipt avoids a circular self-hash and lets an exporter compare a provider read-back with the local seal. A fresh job tests the real workflow transport boundary, while safe-basename, exact-entry, ZIP_STORED, size, hash, and empty-destination checks reduce traversal, zip-bomb, substitution, and partial-restore risks.</w:t>
      </w:r>
    </w:p>
    <w:p>
      <w:r>
        <w:rPr>
          <w:rFonts w:ascii="Calibri" w:hAnsi="Calibri"/>
          <w:b/>
          <w:color w:val="111827"/>
          <w:sz w:val="22"/>
        </w:rPr>
        <w:t>Consequences.</w:t>
      </w:r>
      <w:r>
        <w:rPr>
          <w:rFonts w:ascii="Calibri" w:hAnsi="Calibri"/>
          <w:color w:val="111827"/>
          <w:sz w:val="22"/>
        </w:rPr>
        <w:t xml:space="preserve"> GitHub artifact restoration proves packaging and transport only, not product-lifetime immutability. Production must select and configure locked WORM retention, object version identity, legal/event holds, independent keys/audit, non-deleting short-lived writer identity, strong checksum read-back, provider receipt retention, and scheduled clean-host restore. The deterministic key must never be overwritten even if a provider retains older versions.</w:t>
      </w:r>
    </w:p>
    <w:p>
      <w:pPr>
        <w:pStyle w:val="Heading2"/>
        <w:keepNext/>
        <w:keepLines/>
      </w:pPr>
      <w:r>
        <w:t>ADR-032 — Normalize Provider Evidence before Accepting an Immutable Export</w:t>
      </w:r>
    </w:p>
    <w:p>
      <w:r>
        <w:rPr>
          <w:rFonts w:ascii="Calibri" w:hAnsi="Calibri"/>
          <w:b/>
          <w:color w:val="111827"/>
          <w:sz w:val="22"/>
        </w:rPr>
        <w:t>Decision.</w:t>
      </w:r>
      <w:r>
        <w:rPr>
          <w:rFonts w:ascii="Calibri" w:hAnsi="Calibri"/>
          <w:color w:val="111827"/>
          <w:sz w:val="22"/>
        </w:rPr>
        <w:t xml:space="preserve"> Require each future provider adapter to translate its upload, retention-state, identity, audit, and read-back response into one exact non-sensitive JSON schema. Re-validate and fully restore the local seal, require the provider's exact deterministic key, immutable version, SHA-256 upload/read-back value, byte size, locked retention at or beyond an explicit minimum, approved encryption mode, bounded writer/audit identifiers, and chronological timestamps. Emit a separate normalized receipt that hashes both source evidence files and cannot replace an existing receipt.</w:t>
      </w:r>
    </w:p>
    <w:p>
      <w:r>
        <w:rPr>
          <w:rFonts w:ascii="Calibri" w:hAnsi="Calibri"/>
          <w:b/>
          <w:color w:val="111827"/>
          <w:sz w:val="22"/>
        </w:rPr>
        <w:t>Rationale.</w:t>
      </w:r>
      <w:r>
        <w:rPr>
          <w:rFonts w:ascii="Calibri" w:hAnsi="Calibri"/>
          <w:color w:val="111827"/>
          <w:sz w:val="22"/>
        </w:rPr>
        <w:t xml:space="preserve"> AWS, Azure, Google Cloud, and future providers expose different names and response shapes for equivalent controls. A narrow normalization boundary keeps provider credentials and raw response bodies out of retained evidence, gives policy and tests one stable contract, and prevents a nominal upload-success response from being confused with verified immutable retention and recoverability.</w:t>
      </w:r>
    </w:p>
    <w:p>
      <w:r>
        <w:rPr>
          <w:rFonts w:ascii="Calibri" w:hAnsi="Calibri"/>
          <w:b/>
          <w:color w:val="111827"/>
          <w:sz w:val="22"/>
        </w:rPr>
        <w:t>Consequences.</w:t>
      </w:r>
      <w:r>
        <w:rPr>
          <w:rFonts w:ascii="Calibri" w:hAnsi="Calibri"/>
          <w:color w:val="111827"/>
          <w:sz w:val="22"/>
        </w:rPr>
        <w:t xml:space="preserve"> The gate proves consistency of the evidence supplied by an adapter; it cannot independently prove that a provider API response is truthful or that account policy remains locked. Production still needs an approved adapter using short-lived identity, independently reviewed provisioning, real denial/audit/read-back evidence, retention monitoring, and scheduled clean-host restoration.</w:t>
      </w:r>
    </w:p>
    <w:p>
      <w:pPr>
        <w:pStyle w:val="Heading2"/>
        <w:keepNext/>
        <w:keepLines/>
      </w:pPr>
      <w:r>
        <w:t>ADR-033 — Implement the First Provider Adapter with S3 Object Lock Compliance Mode</w:t>
      </w:r>
    </w:p>
    <w:p>
      <w:r>
        <w:rPr>
          <w:rFonts w:ascii="Calibri" w:hAnsi="Calibri"/>
          <w:b/>
          <w:color w:val="111827"/>
          <w:sz w:val="22"/>
        </w:rPr>
        <w:t>Decision.</w:t>
      </w:r>
      <w:r>
        <w:rPr>
          <w:rFonts w:ascii="Calibri" w:hAnsi="Calibri"/>
          <w:color w:val="111827"/>
          <w:sz w:val="22"/>
        </w:rPr>
        <w:t xml:space="preserve"> Implement one AWS S3 adapter that validates and restores the local seal, requires an STS assumed-role session in the expected archive account, and uses one conditional </w:t>
      </w:r>
      <w:r>
        <w:rPr>
          <w:rFonts w:ascii="Consolas" w:hAnsi="Consolas"/>
          <w:color w:val="1F4D78"/>
          <w:sz w:val="19"/>
        </w:rPr>
        <w:t>PutObject</w:t>
      </w:r>
      <w:r>
        <w:rPr>
          <w:rFonts w:ascii="Calibri" w:hAnsi="Calibri"/>
          <w:color w:val="111827"/>
          <w:sz w:val="22"/>
        </w:rPr>
        <w:t xml:space="preserve"> with full-object SHA-256, </w:t>
      </w:r>
      <w:r>
        <w:rPr>
          <w:rFonts w:ascii="Consolas" w:hAnsi="Consolas"/>
          <w:color w:val="1F4D78"/>
          <w:sz w:val="19"/>
        </w:rPr>
        <w:t>If-None-Match: *</w:t>
      </w:r>
      <w:r>
        <w:rPr>
          <w:rFonts w:ascii="Calibri" w:hAnsi="Calibri"/>
          <w:color w:val="111827"/>
          <w:sz w:val="22"/>
        </w:rPr>
        <w:t xml:space="preserve">, explicit </w:t>
      </w:r>
      <w:r>
        <w:rPr>
          <w:rFonts w:ascii="Consolas" w:hAnsi="Consolas"/>
          <w:color w:val="1F4D78"/>
          <w:sz w:val="19"/>
        </w:rPr>
        <w:t>COMPLIANCE</w:t>
      </w:r>
      <w:r>
        <w:rPr>
          <w:rFonts w:ascii="Calibri" w:hAnsi="Calibri"/>
          <w:color w:val="111827"/>
          <w:sz w:val="22"/>
        </w:rPr>
        <w:t xml:space="preserve"> retention, exact customer-managed KMS key, and S3 Bucket Key. Treat the returned </w:t>
      </w:r>
      <w:r>
        <w:rPr>
          <w:rFonts w:ascii="Consolas" w:hAnsi="Consolas"/>
          <w:color w:val="1F4D78"/>
          <w:sz w:val="19"/>
        </w:rPr>
        <w:t>VersionId</w:t>
      </w:r>
      <w:r>
        <w:rPr>
          <w:rFonts w:ascii="Calibri" w:hAnsi="Calibri"/>
          <w:color w:val="111827"/>
          <w:sz w:val="22"/>
        </w:rPr>
        <w:t xml:space="preserve"> as the immutable provider identity; verify metadata and fully stream that exact version back before emitting provider evidence and the normalized export receipt. Do not provision AWS resources or activate the adapter in release CI in this slice.</w:t>
      </w:r>
    </w:p>
    <w:p>
      <w:r>
        <w:rPr>
          <w:rFonts w:ascii="Calibri" w:hAnsi="Calibri"/>
          <w:b/>
          <w:color w:val="111827"/>
          <w:sz w:val="22"/>
        </w:rPr>
        <w:t>Rationale.</w:t>
      </w:r>
      <w:r>
        <w:rPr>
          <w:rFonts w:ascii="Calibri" w:hAnsi="Calibri"/>
          <w:color w:val="111827"/>
          <w:sz w:val="22"/>
        </w:rPr>
        <w:t xml:space="preserve"> S3 Object Lock protects versions rather than key names, so retention alone does not prevent another version under the deterministic key. The conditional write is the atomic non-replacement boundary. Explicit compliance retention prevents governance bypass, while exact account, temporary role, KMS, version, checksum, and read-back checks make provider assumptions executable rather than documentary.</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COMPLIANCE</w:t>
      </w:r>
      <w:r>
        <w:rPr>
          <w:rFonts w:ascii="Calibri" w:hAnsi="Calibri"/>
          <w:color w:val="111827"/>
          <w:sz w:val="22"/>
        </w:rPr>
        <w:t xml:space="preserve"> retention cannot be shortened, so live testing requires a disposable object and approved duration. The adapter's fake client proves request/response policy, not AWS account truth. Production needs a versioned Object Lock bucket, policy conditions, separate KMS administration, OIDC trust, CloudTrail data events, IAM simulation, denial tests, monitoring, cost/account ownership, catalogue registration, and a clean-host restore.</w:t>
      </w:r>
    </w:p>
    <w:p>
      <w:pPr>
        <w:pStyle w:val="Heading2"/>
        <w:keepNext/>
        <w:keepLines/>
      </w:pPr>
      <w:r>
        <w:t>ADR-034 — Define the AWS Archive Foundation without Granting CI a Deployment Path</w:t>
      </w:r>
    </w:p>
    <w:p>
      <w:r>
        <w:rPr>
          <w:rFonts w:ascii="Calibri" w:hAnsi="Calibri"/>
          <w:b/>
          <w:color w:val="111827"/>
          <w:sz w:val="22"/>
        </w:rPr>
        <w:t>Decision.</w:t>
      </w:r>
      <w:r>
        <w:rPr>
          <w:rFonts w:ascii="Calibri" w:hAnsi="Calibri"/>
          <w:color w:val="111827"/>
          <w:sz w:val="22"/>
        </w:rPr>
        <w:t xml:space="preserve"> Define the archive bucket, customer-managed KMS key, bucket policy, separate writer and restore roles, and CloudTrail as a Terraform root module. Enable Object Lock when creating a non-destroyable versioned bucket; enforce default and minimum </w:t>
      </w:r>
      <w:r>
        <w:rPr>
          <w:rFonts w:ascii="Consolas" w:hAnsi="Consolas"/>
          <w:color w:val="1F4D78"/>
          <w:sz w:val="19"/>
        </w:rPr>
        <w:t>COMPLIANCE</w:t>
      </w:r>
      <w:r>
        <w:rPr>
          <w:rFonts w:ascii="Calibri" w:hAnsi="Calibri"/>
          <w:color w:val="111827"/>
          <w:sz w:val="22"/>
        </w:rPr>
        <w:t xml:space="preserve"> retention, KMS encryption, Bucket Key, private ownership, fixed prefix, TLS, and exact short-lived GitHub OIDC subjects. Deliver validated multi-Region management and archive-object data events to an externally governed bucket/key. Accept the account-wide OIDC provider, KMS administrator roles, audit destination, and remote state as external inputs. Routine CI may format, initialize without a backend, validate, and execute mocked plans only; it receives no AWS credential or </w:t>
      </w:r>
      <w:r>
        <w:rPr>
          <w:rFonts w:ascii="Consolas" w:hAnsi="Consolas"/>
          <w:color w:val="1F4D78"/>
          <w:sz w:val="19"/>
        </w:rPr>
        <w:t>apply</w:t>
      </w:r>
      <w:r>
        <w:rPr>
          <w:rFonts w:ascii="Calibri" w:hAnsi="Calibri"/>
          <w:color w:val="111827"/>
          <w:sz w:val="22"/>
        </w:rPr>
        <w:t xml:space="preserve"> path.</w:t>
      </w:r>
    </w:p>
    <w:p>
      <w:r>
        <w:rPr>
          <w:rFonts w:ascii="Calibri" w:hAnsi="Calibri"/>
          <w:b/>
          <w:color w:val="111827"/>
          <w:sz w:val="22"/>
        </w:rPr>
        <w:t>Rationale.</w:t>
      </w:r>
      <w:r>
        <w:rPr>
          <w:rFonts w:ascii="Calibri" w:hAnsi="Calibri"/>
          <w:color w:val="111827"/>
          <w:sz w:val="22"/>
        </w:rPr>
        <w:t xml:space="preserve"> Provider-adapter correctness cannot compensate for a weak bucket, broad role, mutable audit trail, or accidental destructive IaC. Declaring the controls makes review and drift intent reproducible, while keeping state, audit storage, key administration, and provisioning authority outside the data-plane roles reduces circular trust. Mocked positive and negative plans verify structure without creating retained objects or billable infrastructure.</w:t>
      </w:r>
    </w:p>
    <w:p>
      <w:r>
        <w:rPr>
          <w:rFonts w:ascii="Calibri" w:hAnsi="Calibri"/>
          <w:b/>
          <w:color w:val="111827"/>
          <w:sz w:val="22"/>
        </w:rPr>
        <w:t>Consequences.</w:t>
      </w:r>
      <w:r>
        <w:rPr>
          <w:rFonts w:ascii="Calibri" w:hAnsi="Calibri"/>
          <w:color w:val="111827"/>
          <w:sz w:val="22"/>
        </w:rPr>
        <w:t xml:space="preserve"> A mock provider cannot prove AWS account ownership, provider API behavior, external audit policies, actual OIDC claims, environment protection, IAM effective permissions, cost, or recoverability. The explicit root delegation in the KMS policy preserves account recovery and IAM authorization, so organizational root/IAM governance remains a trusted control. Live use still requires a protected two-reviewer plan/apply, exact-claim capture, IAM simulation, CloudTrail delivery proof, disposable retained upload, denial matrix, and clean-host restore.</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Boto3</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provider adapter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S3 Object Lock, checksum, retention, KMS, and STS APIs through the standard short-lived credential chain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Hash-locked dependency; live use requires an independently reviewed AWS foundation and never accepts command-line access keys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Terraform 1.15 / AWS provider 6.58</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archive infrastructure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Reviewable S3 Object Lock, KMS, IAM/OIDC, bucket-policy, and CloudTrail intent with native mocked plan tests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provider lock covers Linux/Windows; state and apply authority remain external, and CI has no cloud credential or apply path</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Environments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Ordered promotion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development/staging/production records, approval gates, variables, retention, and per-environment concurrency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settings live outside workflow YAML and must be independently reviewed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Artifact Attestations / Sigstore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Signed release and admission identity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SLSA provenance and CycloneDX predicates bind the GHCR digest to repository, workflow, source, and hosted runner context; the Policy Controller contract repeats exact provenance verification in-cluster</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code remains trusted; live release/admission evidence, retention, revocation, and trusted-builder separation remain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false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SPIFFE identity received from an approved mTLS proxy</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ATEP_WORKLOAD_IDENTITY_TRUST_DOMAIN</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atep.local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environment trust domain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ATEP_WORKLOAD_IDENTITY_TRUSTED_PROXY_CIDRS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Comma-separated direct-peer IPv4/IPv6 networks allowed to supply XFCC</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admission, migration, and workload targets shall render independently so cluster policy precedes migration and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 K8S-006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registered module shall authenticate protected workload operations with one canonical SPIFFE ID forwarded by an approved mTLS proxy while capability authorization remains enforced.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 identity parser/dependency and module authentication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WID-001 through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repository shall exercise a bounded PostgreSQL logical backup and isolated restore and validate archive, migration, schema, and table-count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Restore-drill tool and CI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DR-001 through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recovery evidence shall be versioned and aggregate-only, excluding credentials, archives, table names, identifiers, and domain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JSON report and retention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DR-007, 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 SHA and image digest shall traverse fixed development, staging, and production validation in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environment shall retain source/digest-bound foundation/admission/migration/workload fingerprints and timestamps.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Promotion evidence schema </w:t>
            </w:r>
            <w:r>
              <w:rPr>
                <w:rFonts w:ascii="Calibri" w:hAnsi="Calibri"/>
                <w:b w:val="0"/>
                <w:color w:val="111827"/>
                <w:sz w:val="16"/>
              </w:rPr>
              <w:t>1.1.0</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reject literal Secrets, unexpected registries, mutable/zero identifiers, and non-main source commits.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Negative promotion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protected main-only workflow shall publish one non-replaceable GHCR commit tag.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PROV-001 through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image digest shall receive signed SLSA provenance and CycloneDX SBOM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GitHub/Sigstore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PROV-005, PROV-006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verify repository, signer workflow, source SHA/ref, and hosted runner before development.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 attestation verify</w:t>
            </w:r>
            <w:r>
              <w:rPr>
                <w:rFonts w:ascii="Calibri" w:hAnsi="Calibri"/>
                <w:b w:val="0"/>
                <w:color w:val="111827"/>
                <w:sz w:val="16"/>
              </w:rPr>
              <w:t xml:space="preserve">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release evidence shall bind source, immutable tag, digest/reference, and both attestation URLs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shall deny ATEP Deployment and Job creation/update when any application or init-container image is mutable, foreign, malformed, or uses the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admission policy and binding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ATEP namespace shall enforce SLSA v1 provenance for the exact image, repository, reusable signer workflow, and </w:t>
            </w:r>
            <w:r>
              <w:rPr>
                <w:rFonts w:ascii="Calibri" w:hAnsi="Calibri"/>
                <w:b w:val="0"/>
                <w:color w:val="111827"/>
                <w:sz w:val="16"/>
              </w:rPr>
              <w:t>main</w:t>
            </w:r>
            <w:r>
              <w:rPr>
                <w:rFonts w:ascii="Calibri" w:hAnsi="Calibri"/>
                <w:b w:val="0"/>
                <w:color w:val="111827"/>
                <w:sz w:val="16"/>
              </w:rPr>
              <w:t xml:space="preserve"> ref through the GitHub/Sigstore Policy Controller without exemptions.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Trust-policy values and namespace opt-in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approval shall delegate build, publication, SBOM, and signing to an input-free reusable workflow with exact identity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Caller/builder workflow boundary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successful release shall verify and manifest-bind its report, CycloneDX SBOM, attestation bundle, and current trusted roots for portable offline 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manifest and reusable builder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revocation shall preserve evidence first and prove withdrawal through online verification, promotion, and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Manifest-bound evidence shall be sealed deterministically with a separate content-addressed receipt and no 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tool and receipt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fresh read-only job shall download and restore the sealed workflow artifact before release success.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 workflow restore job</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exact bounded provider evidence shall bind an immutable version, key, checksum/read-back, size, retention, encryption, writer identity, audit event, and timestamps to the local seal.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export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through PROV-028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acceptance shall fully restore the local seal and emit a normalized non-replacing receipt hashing both source evidence 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export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and PROV-029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AWS adapter shall pre-restore the seal and atomically upload the deterministic key with full SHA-256, </w:t>
            </w:r>
            <w:r>
              <w:rPr>
                <w:rFonts w:ascii="Calibri" w:hAnsi="Calibri"/>
                <w:b w:val="0"/>
                <w:color w:val="111827"/>
                <w:sz w:val="16"/>
              </w:rPr>
              <w:t>COMPLIANCE</w:t>
            </w:r>
            <w:r>
              <w:rPr>
                <w:rFonts w:ascii="Calibri" w:hAnsi="Calibri"/>
                <w:b w:val="0"/>
                <w:color w:val="111827"/>
                <w:sz w:val="16"/>
              </w:rPr>
              <w:t xml:space="preserve"> retention, exact KMS key, and expected account.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through PROV-032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AWS adapter shall verify retention-aware metadata and fully read back the exact returned version before normalized receipt emission.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PROV-033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an STS assumed-role session in the expected archive account may act as the AWS writer.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AWS foundation shall declare a new non-destroyable private versioned bucket with Object Lock at creation, default </w:t>
            </w:r>
            <w:r>
              <w:rPr>
                <w:rFonts w:ascii="Calibri" w:hAnsi="Calibri"/>
                <w:b w:val="0"/>
                <w:color w:val="111827"/>
                <w:sz w:val="16"/>
              </w:rPr>
              <w:t>COMPLIANCE</w:t>
            </w:r>
            <w:r>
              <w:rPr>
                <w:rFonts w:ascii="Calibri" w:hAnsi="Calibri"/>
                <w:b w:val="0"/>
                <w:color w:val="111827"/>
                <w:sz w:val="16"/>
              </w:rPr>
              <w:t xml:space="preserve"> retention, exact SSE-KMS, Bucket Key, and fixed archive prefix.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PROV-036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Distinct short-lived writer and restore roles shall trust exact wildcard-free GitHub OIDC subjects and grant only required S3/KMS data-plane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PROV-037, PROV-038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Validated multi-Region CloudTrail shall record management and archive-object data events into externally governed audit storage and encryption.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PROV-039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Routine CI shall validate only backend-free mocked Terraform plans without AWS credentials, OIDC token issuance, or apply.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PROV-040</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Forwarded identity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XFCC is trusted only from configured direct peers, contains exactly one canonical SPIFFE module URI, and fails without token downgrade when invalid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WID-002 through WID-006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Workload-identity migration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by default; token migration works only without XFCC; production requires proxy sanitization, mTLS validation, and direct-path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WID-007,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remain in the PostgreSQL environment and are absent from arguments, reports, logs, and CI artifacts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Non-empty SHA-256 archive; first-error restore; equal revision, schema, and all table 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DR-002 through DR-007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Random </w:t>
            </w:r>
            <w:r>
              <w:rPr>
                <w:rFonts w:ascii="Calibri" w:hAnsi="Calibri"/>
                <w:b w:val="0"/>
                <w:color w:val="111827"/>
                <w:sz w:val="16"/>
              </w:rPr>
              <w:t>template0</w:t>
            </w:r>
            <w:r>
              <w:rPr>
                <w:rFonts w:ascii="Calibri" w:hAnsi="Calibri"/>
                <w:b w:val="0"/>
                <w:color w:val="111827"/>
                <w:sz w:val="16"/>
              </w:rPr>
              <w:t xml:space="preserve"> database, quiesced comparison, and cleanup on success/failure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DR-004, DR-009,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objectives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database RPO 24 hours and RTO 4 hours remain targets until provider exercises establish approved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DR-011, DR-012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exact environment enablement prevents promotion evidence generation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separation of duties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production environment supports required reviewers, self-review prevention, branch policy, and bypass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source/digest pair and per-environment concurrency apply across the ordered chain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REL-005, REL-008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contents; package/OIDC/attestation writes only in release; short-lived registry token removed after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PROV-002,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Serialized workflow rejects an existing commit tag and never publishes a floating tag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PROV-003,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Provenance trust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signer workflow, source SHA/ref, SLSA predicate, and hosted signing runner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Digests, source identity, public attestation URLs, and timestamps only; no credentials or image 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Cluster image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Fail-closed CEL evaluation, explicit namespace scope, denial plus audit, exact GHCR repository, and non-zero lowercase SHA-256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admission trust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Actions issuer, exact workflow subject, SLSA v1 predicate, GitHub/Sigstore roots, no exemptions, reviewed chart versions/digests, and promotion-identical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Reusable-builder input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inputs or caller secrets; exact reusable workflow ref; reviewed main SHA; no permission elevation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Portable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distinct filenames, structured JSON/JSONL, source/image consistency, regular non-empty files, SHA-256, byte size, and no secrets/layers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digest, preserved evidence, incident authority, independent review, known-good replacement, and negative evidence before re-enablement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restoration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 destination, exact uncompressed entries, safe basenames, bounded sizes, receipt/manifest hashes, atomic output, and rejection of replacement/traversal/tampering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provider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WORM retention, version identity, strong checksum/read-back, deterministic non-replacing key, short-lived separated identities, independent keys/audit, and scheduled restore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evidence minimization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bounded identifiers only; unknown fields, credentials, URLs with queries, and raw provider bodies are rejected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validation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Full local restore, exact provider binding, adequate locked retention, ordered UTC times, and no receipt replacement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through PROV-029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Exact-prefix history rejects versions/delete markers; mandatory </w:t>
            </w:r>
            <w:r>
              <w:rPr>
                <w:rFonts w:ascii="Calibri" w:hAnsi="Calibri"/>
                <w:b w:val="0"/>
                <w:color w:val="111827"/>
                <w:sz w:val="16"/>
              </w:rPr>
              <w:t>If-None-Match: *</w:t>
            </w:r>
            <w:r>
              <w:rPr>
                <w:rFonts w:ascii="Calibri" w:hAnsi="Calibri"/>
                <w:b w:val="0"/>
                <w:color w:val="111827"/>
                <w:sz w:val="16"/>
              </w:rPr>
              <w:t xml:space="preserve"> rejects races without alternate key/version retry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Short-lived writer without delete, bypass, hold, lifecycle, bucket/KMS/IAM/audit administration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PROV-034 and live IAM simulation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bounded verification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Streaming size-bounded local restore and exact-version read-back with no credential/raw-response retention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through PROV-033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IaC destruction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prevent_destroy</w:t>
            </w:r>
            <w:r>
              <w:rPr>
                <w:rFonts w:ascii="Calibri" w:hAnsi="Calibri"/>
                <w:b w:val="0"/>
                <w:color w:val="111827"/>
                <w:sz w:val="16"/>
              </w:rPr>
              <w:t xml:space="preserve"> on bucket/key, no </w:t>
            </w:r>
            <w:r>
              <w:rPr>
                <w:rFonts w:ascii="Calibri" w:hAnsi="Calibri"/>
                <w:b w:val="0"/>
                <w:color w:val="111827"/>
                <w:sz w:val="16"/>
              </w:rPr>
              <w:t>force_destroy</w:t>
            </w:r>
            <w:r>
              <w:rPr>
                <w:rFonts w:ascii="Calibri" w:hAnsi="Calibri"/>
                <w:b w:val="0"/>
                <w:color w:val="111827"/>
                <w:sz w:val="16"/>
              </w:rPr>
              <w:t>, Object Lock at creation, and no routine apply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PROV-036, PROV-040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administrative separation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Writer, restore, key administration, audit storage/encryption, state, and provisioning remain separate; data roles have no destructive or administrative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PROV-037 through PROV-039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Terraform/provider, Linux/Windows provider checksums, formatting, validation, and mocked positive/negative plans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PROV-040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independence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Log-file validation plus management/object coverage, with audit destination and key outside the archive stack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PROV-039</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123 tests passed locally; one Docker-marked scenario deselected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SPIFFE/XFCC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identity, ambiguity rejection, trusted-peer enforcement, disabled mode, token migration, no downgrade, capability preservation, and OpenAPI headers passed; live proxy mTLS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Disaster-recovery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boundaries, deterministic fingerprints, streamed archive hash/size, secret-free Compose arguments, and CI evidence policy passed; live disposable restore delegated to remote CI</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admission,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four targets render independently; cluster-scoped admission resources have no namespace; every reference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image policy, binding, namespace selector, matched operations/resources, failure mode, and validation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fail-closed policy covers Deployment and Job create/update, including init containers; one binding selects only labelled namespaces and uses Deny plus Audit.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approved digest, mutable tag, foreign repository, uppercase/malformed digest, and zero-digest workloads to a Kubernetes 1.30+ test cluster.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approved repository with a non-zero lowercase SHA-256 digest is admitted; every rejection is visible in the API result and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negative matrix passed; live cluster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opt-in and GitHub trust-policy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Enforcement is enabled; SLSA v1, exact repository/workflow/main-ref subject, exact ATEP image pattern, GitHub/Sigstore trust, and an empty exemption list are present; release publishes registry attestations.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Install reviewed controller/chart digests and submit attested plus unsigned, wrong-repository, wrong-workflow, wrong-ref, and revoked subjects.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valid provenance is admitted; all negative samples fail closed and retain controller plus Kubernetes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Runbook/configuration implemented; live cluster exercise pending / P0</w:t>
            </w:r>
          </w:p>
        </w:tc>
      </w:tr>
    </w:tbl>
    <w:p>
      <w:pPr>
        <w:spacing w:after="60"/>
      </w:pPr>
    </w:p>
    <w:p>
      <w:pPr>
        <w:pStyle w:val="Heading2"/>
        <w:keepNext/>
        <w:keepLines/>
      </w:pPr>
      <w:r>
        <w:t>11.14 Workload Identity and mTLS Boundary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one canonical module SPIFFE ID from a trusted direct peer.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registered module authenticates and the protected operation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trust domain or module path.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w:t>
            </w:r>
            <w:r>
              <w:rPr>
                <w:rFonts w:ascii="Calibri" w:hAnsi="Calibri"/>
                <w:b w:val="0"/>
                <w:color w:val="111827"/>
                <w:sz w:val="16"/>
              </w:rPr>
              <w:t>invalid_module_credential</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multiple XFCC elements or URI fields, percent encoding, query, fragment, non-ASCII, or alternate syntax.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ambiguous or non-canonical identity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from a peer outside trusted CIDRs.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before registry authentication.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while the feature is disabled.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disabled mode does not trust the header.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mismatched SPIFFE ID together with a valid legacy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rejected without credential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XFCC and present the existing valid module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migration path remains functional.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unit/regression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 module identity lacking the required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HTTP/domain authorization remains denied with the stable capability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real proxy mTLS, XFCC replacement, certificate rotation/revocation, and direct-path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currently trusted certificate reaches ATEP with one sanitized identity.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deployment evidence / P0</w:t>
            </w:r>
          </w:p>
        </w:tc>
      </w:tr>
    </w:tbl>
    <w:p>
      <w:pPr>
        <w:spacing w:after="60"/>
      </w:pPr>
    </w:p>
    <w:p>
      <w:pPr>
        <w:pStyle w:val="Heading2"/>
        <w:keepNext/>
        <w:keepLines/>
      </w:pPr>
      <w:r>
        <w:t>11.15 PostgreSQL Backup and Disaster Recovery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every database, Compose, service, and table identifier used in commands.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Unsafe case, punctuation, length, or command syntax is rejected before subprocess execution.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custom-format logical backup without owners or privileges.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is non-empty, bounded-hashable, and portable to the restore operator.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Inspect the archive with </w:t>
            </w:r>
            <w:r>
              <w:rPr>
                <w:rFonts w:ascii="Calibri" w:hAnsi="Calibri"/>
                <w:b w:val="0"/>
                <w:color w:val="111827"/>
                <w:sz w:val="16"/>
              </w:rPr>
              <w:t>pg_restore --list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Unreadable or malformed archive fails before database creation or 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random database from </w:t>
            </w:r>
            <w:r>
              <w:rPr>
                <w:rFonts w:ascii="Calibri" w:hAnsi="Calibri"/>
                <w:b w:val="0"/>
                <w:color w:val="111827"/>
                <w:sz w:val="16"/>
              </w:rPr>
              <w:t>template0</w:t>
            </w:r>
            <w:r>
              <w:rPr>
                <w:rFonts w:ascii="Calibri" w:hAnsi="Calibri"/>
                <w:b w:val="0"/>
                <w:color w:val="111827"/>
                <w:sz w:val="16"/>
              </w:rPr>
              <w:t xml:space="preserve"> and restore with first-error failure.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completes only when every archive command succeeds in isolation.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source and restored Alembic revisions.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identical revision is present in both databases.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Parser unit evidence;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ordered public schema fingerprints.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Table/column metadata hashes and table catalogues match exactly.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Fingerprint implementation;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every public-table row 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counts match; report retains only table total, row total, and count-map SHA-256.</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fingerprint test;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commands, report, workflow, and artifacts for secrets or domain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stay in the container environment; no dump, table name, identifier, or row is retained.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Force success and failure cleanup paths.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 local/remote dump and random restore database are removed without hiding the primary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review; failure-injection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drill after quiescing API and outbox writers and retain the aggregate report.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CI uploads only </w:t>
            </w:r>
            <w:r>
              <w:rPr>
                <w:rFonts w:ascii="Calibri" w:hAnsi="Calibri"/>
                <w:b w:val="0"/>
                <w:color w:val="111827"/>
                <w:sz w:val="16"/>
              </w:rPr>
              <w:t>atep-dr-report.json</w:t>
            </w:r>
            <w:r>
              <w:rPr>
                <w:rFonts w:ascii="Calibri" w:hAnsi="Calibri"/>
                <w:b w:val="0"/>
                <w:color w:val="111827"/>
                <w:sz w:val="16"/>
              </w:rPr>
              <w:t xml:space="preserve"> for 14 days and always removes the disposable stack.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evidence; remote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provider base backup plus WAL to a selected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Verified recovery point meets approved RPO with encrypted immutable source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 exercise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post-recovery application smoke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authentication, outbox publication, audit search, and artifact consistency pass within approved RTO.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deployed exercise / P0</w:t>
            </w:r>
          </w:p>
        </w:tc>
      </w:tr>
    </w:tbl>
    <w:p>
      <w:pPr>
        <w:spacing w:after="60"/>
      </w:pPr>
    </w:p>
    <w:p>
      <w:pPr>
        <w:pStyle w:val="Heading2"/>
        <w:keepNext/>
        <w:keepLines/>
      </w:pPr>
      <w:r>
        <w:t>11.16 Release Promotion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and invalid target environments, image digests, and source SHAs.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environment names, a non-zero lowercase SHA-256 digest, and a full lowercase commit SHA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Supply a source SHA outside </w:t>
            </w:r>
            <w:r>
              <w:rPr>
                <w:rFonts w:ascii="Calibri" w:hAnsi="Calibri"/>
                <w:b w:val="0"/>
                <w:color w:val="111827"/>
                <w:sz w:val="16"/>
              </w:rPr>
              <w:t>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stops before an environment job begins.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ancestry gate and policy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rendered migration and workload manifest.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reviewed ATEP zero-digest image is replaced; every image uses the same immutable repository and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a literal Secret, unexpected repository, absent placeholder, or remaining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generation fails and no successful report is emitted.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staging or production.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Staging requires successful development; production requires successful staging; fixed environments cannot be bypassed by an input name.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ATEP_PROMOTION_ENABLED</w:t>
            </w:r>
            <w:r>
              <w:rPr>
                <w:rFonts w:ascii="Calibri" w:hAnsi="Calibri"/>
                <w:b w:val="0"/>
                <w:color w:val="111827"/>
                <w:sz w:val="16"/>
              </w:rPr>
              <w:t xml:space="preserve"> absent or different from lowercase </w:t>
            </w:r>
            <w:r>
              <w:rPr>
                <w:rFonts w:ascii="Calibri" w:hAnsi="Calibri"/>
                <w:b w:val="0"/>
                <w:color w:val="111827"/>
                <w:sz w:val="16"/>
              </w:rPr>
              <w:t>true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referenced environment job fails closed before evidence generation.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environment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environment artifact.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Four secret-free manifests and schema </w:t>
            </w:r>
            <w:r>
              <w:rPr>
                <w:rFonts w:ascii="Calibri" w:hAnsi="Calibri"/>
                <w:b w:val="0"/>
                <w:color w:val="111827"/>
                <w:sz w:val="16"/>
              </w:rPr>
              <w:t>1.1.0</w:t>
            </w:r>
            <w:r>
              <w:rPr>
                <w:rFonts w:ascii="Calibri" w:hAnsi="Calibri"/>
                <w:b w:val="0"/>
                <w:color w:val="111827"/>
                <w:sz w:val="16"/>
              </w:rPr>
              <w:t xml:space="preserve"> JSON bind environment, source, digest, timestamps, resource counts, and render hashes.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report-contract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overlapping validations for the same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Per-environment concurrency permits at most one active validation for that environment.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review; live concurrency exercise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production as the initiating operator.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prevents self-approval and requires an independent reviewer when repository protection is configured.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repository-settings and deployment-review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find or execute cluster apply, package publication, OIDC issuance, or 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validation workflow has read-only contents permission and performs no deployment.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workflow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image signature and source provenance before a real development deployment.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Trusted identity binds the digest to the reviewed source/build and rejects substitution.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 gate; first 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migration, workload rollout, smoke checks, and rollback using retained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verified digest reaches each environment; migration and rollback evidence is preserved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live-cluster exercise / P0</w:t>
            </w:r>
          </w:p>
        </w:tc>
      </w:tr>
    </w:tbl>
    <w:p>
      <w:pPr>
        <w:spacing w:after="60"/>
      </w:pPr>
    </w:p>
    <w:p>
      <w:pPr>
        <w:pStyle w:val="Heading2"/>
        <w:keepNext/>
        <w:keepLines/>
      </w:pPr>
      <w:r>
        <w:t>11.17 Signed Image Provenance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Dispatch release from a ref other than </w:t>
            </w:r>
            <w:r>
              <w:rPr>
                <w:rFonts w:ascii="Calibri" w:hAnsi="Calibri"/>
                <w:b w:val="0"/>
                <w:color w:val="111827"/>
                <w:sz w:val="16"/>
              </w:rPr>
              <w:t>main</w:t>
            </w:r>
            <w:r>
              <w:rPr>
                <w:rFonts w:ascii="Calibri" w:hAnsi="Calibri"/>
                <w:b w:val="0"/>
                <w:color w:val="111827"/>
                <w:sz w:val="16"/>
              </w:rPr>
              <w:t xml:space="preserve"> or with a checkout different from </w:t>
            </w:r>
            <w:r>
              <w:rPr>
                <w:rFonts w:ascii="Calibri" w:hAnsi="Calibri"/>
                <w:b w:val="0"/>
                <w:color w:val="111827"/>
                <w:sz w:val="16"/>
              </w:rPr>
              <w:t>github.sha</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stops before registry authentication or build.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ATEP_RELEASE_ENABLED</w:t>
            </w:r>
            <w:r>
              <w:rPr>
                <w:rFonts w:ascii="Calibri" w:hAnsi="Calibri"/>
                <w:b w:val="0"/>
                <w:color w:val="111827"/>
                <w:sz w:val="16"/>
              </w:rPr>
              <w:t xml:space="preserve"> absent or inspect release job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fails closed; contents stay read-only and only the release job has package/OIDC/attestation writes.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the first </w:t>
            </w:r>
            <w:r>
              <w:rPr>
                <w:rFonts w:ascii="Calibri" w:hAnsi="Calibri"/>
                <w:b w:val="0"/>
                <w:color w:val="111827"/>
                <w:sz w:val="16"/>
              </w:rPr>
              <w:t>sha-&lt;commit&gt;</w:t>
            </w:r>
            <w:r>
              <w:rPr>
                <w:rFonts w:ascii="Calibri" w:hAnsi="Calibri"/>
                <w:b w:val="0"/>
                <w:color w:val="111827"/>
                <w:sz w:val="16"/>
              </w:rPr>
              <w:t xml:space="preserve"> tag and inspect image labels.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GHCR stores the exact commit tag with source, revision, and title labels; no floating tag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complete; first live publish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Re-run release for an already published commit.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tag is detected and replacement is refused.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missing, non-string, mutable, malformed, or zero Buildx digest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generation rejects it before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SLSA and CycloneDX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signed predicates identify the same fully qualified image and immutable manifest digest and are attached to GHCR.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workflow implemented; live GitHub/Sigstore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digest with no attestation or an invalid signature.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verification fails before development.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gate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provenance signed by another repository or workflow.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and signer-workflow policy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source SHA or source ref different from signed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Verification rejects the mismatch before environment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provenance produced by a self-hosted runner.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--deny-self-hosted-runners</w:t>
            </w:r>
            <w:r>
              <w:rPr>
                <w:rFonts w:ascii="Calibri" w:hAnsi="Calibri"/>
                <w:b w:val="0"/>
                <w:color w:val="111827"/>
                <w:sz w:val="16"/>
              </w:rPr>
              <w:t xml:space="preserve">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release evidence schema, tag, reference, UTC timestamp, and attestation URLs.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deterministically binds only reviewed public release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report, workflow, artifacts, and cleanup for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token or environment value is retained; registry credentials are removed even after failure.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test and implementation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manual release caller and reusable workflow interface.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Approval uses the protected </w:t>
            </w:r>
            <w:r>
              <w:rPr>
                <w:rFonts w:ascii="Calibri" w:hAnsi="Calibri"/>
                <w:b w:val="0"/>
                <w:color w:val="111827"/>
                <w:sz w:val="16"/>
              </w:rPr>
              <w:t>release</w:t>
            </w:r>
            <w:r>
              <w:rPr>
                <w:rFonts w:ascii="Calibri" w:hAnsi="Calibri"/>
                <w:b w:val="0"/>
                <w:color w:val="111827"/>
                <w:sz w:val="16"/>
              </w:rPr>
              <w:t xml:space="preserve"> environment; the builder runs only after approval and declares no workflow inputs or caller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Invoke or alter the builder identity/ref away from the exact workflow on </w:t>
            </w:r>
            <w:r>
              <w:rPr>
                <w:rFonts w:ascii="Calibri" w:hAnsi="Calibri"/>
                <w:b w:val="0"/>
                <w:color w:val="111827"/>
                <w:sz w:val="16"/>
              </w:rPr>
              <w:t>refs/heads/main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builder fails before registry authentication, publication, or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static contract; live negative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an image attested by the caller or another workflow while promotion and admission expect the reusable builder.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exact signer gates reject the mismatched provenance; the reusable signer is accepted only with the required source SHA/ref and hosted runner.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cross-policy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a release archive manifest from matching report, CycloneDX SBOM, attestation JSONL, and trusted-root JSONL.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binds source/ref, image digest/reference, signer, timestamp, fixed roles/names, byte sizes, and SHA-256 values.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malformed JSON/JSONL, empty, symlinked, duplicate, renamed, or source/image-mismatched archive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generation fails closed without producing trusted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malformed, empty, mismatch, duplicate, and rename coverage; symlink check implemented with platform-specific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reusable builder's download and verification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bundle and current roots are non-empty; archived SLSA provenance passes exact signer/source/runner policy before upload.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workflow-policy test; live GitHub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Alter one byte in each archived file and restore the package on a clean verifier.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comparison detects every mutation; intact evidence verifies offline with the retained roots.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hashing implemented; live mutation/restore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Revoke a disposable exact digest after preserving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Attestation and package/referrers are withdrawn under dual review; online verification, promotion, and admission reject it while another digest remains 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 implemented; live destructive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the same manifest and evidence twice in clean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ZIP and receipt bytes are identical; fixed object key, entry count, source/image identity, manifest hash, archive hash, and size match.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deterministic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valid sealed archive and receipt into an empty directory.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exact manifest entry is extracted, re-hashed, re-sized, and bound to the receipt without partial output.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round-trip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with the ZIP or receipt; add traversal, duplicate, extra, compressed, empty, or oversized entries; or target an existing output.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fails closed before trusted output replaces any existing path.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traversal/extra, and existing-output coverage implemented; remaining negative matrix structurally enforced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the seal and receipt, then download them in a fresh read-only job.</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separate job restores successfully before the reusable release workflow completes.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contract implemented; first hosted release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selected immutable provider with existing-key, retention, identity, integrity, read-back, audit, and clean-host restore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non-replacing, checksum-matching object under locked adequate retention is catalogued; negative permissions and policy tests fail 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Provider-neutral contract implemented; provider selection/live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 complete normalized provider response against a valid local seal and approved minimum retention date.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archive fully restores and one receipt binds the exact source/image, key/version, checksums, size, locked retention, encryption, identity, audit event, and ordered times.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deterministic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object key, upload checksum, read-back checksum, size, retention mode, encryption mode, or immutable-until date.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validation fails closed and emits no trusted receipt.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negative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an unknown credential-like field or provide unsafe, unbounded, non-canonical provider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exact schema and identifier policy reject the response before evidence retention.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schema/identifier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Reverse upload/read-back/validation chronology or target an existing export receipt.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time reversal and never replaces retained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chronology/replacement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a valid seal through the S3 fake client and inspect every upload, metadata, read-back, provider-evidence, and normalized-receipt field.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Conditional full-SHA-256 upload uses </w:t>
            </w:r>
            <w:r>
              <w:rPr>
                <w:rFonts w:ascii="Calibri" w:hAnsi="Calibri"/>
                <w:b w:val="0"/>
                <w:color w:val="111827"/>
                <w:sz w:val="16"/>
              </w:rPr>
              <w:t>COMPLIANCE</w:t>
            </w:r>
            <w:r>
              <w:rPr>
                <w:rFonts w:ascii="Calibri" w:hAnsi="Calibri"/>
                <w:b w:val="0"/>
                <w:color w:val="111827"/>
                <w:sz w:val="16"/>
              </w:rPr>
              <w:t>, exact KMS/account/key, one immutable version, complete matching read-back, and both receipts.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Make the key/version or delete marker exist before upload, or introduce a concurrent </w:t>
            </w:r>
            <w:r>
              <w:rPr>
                <w:rFonts w:ascii="Calibri" w:hAnsi="Calibri"/>
                <w:b w:val="0"/>
                <w:color w:val="111827"/>
                <w:sz w:val="16"/>
              </w:rPr>
              <w:t>412 PreconditionFailed</w:t>
            </w:r>
            <w:r>
              <w:rPr>
                <w:rFonts w:ascii="Calibri" w:hAnsi="Calibri"/>
                <w:b w:val="0"/>
                <w:color w:val="111827"/>
                <w:sz w:val="16"/>
              </w:rPr>
              <w:t xml:space="preserve"> at the conditional write.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replacement or alternate version/key is attempted; export fails 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history/delete-marker/concurrency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retention mode/date, provider checksum/version, encryption algorithm/key, or Bucket Key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Metadata validation rejects every weak or inconsistent provider response before trusted receipt emission.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seven-case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Return different bytes for the exact versioned read-back.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Streamed SHA-256/size comparison rejects the object and closes the response body.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tamper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a permanent IAM-user ARN or ambiguous bucket/account/KMS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Identity/configuration validation fails before upload; only an assumed role in the exact archive account is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identity/configuration evidence; live OIDC/IAM simulation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Format and validate the root module, initialize without a backend, and run the mock-provider test suite.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1.15.8 accepts the AWS provider 6.58.0 schema and all five plan-only runs pass without AWS credentials or resources.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Terraform validation/mocked-plan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planned bucket, versioning, retention, encryption, public-access, and lifecycle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Object Lock is enabled at creation, versioning and </w:t>
            </w:r>
            <w:r>
              <w:rPr>
                <w:rFonts w:ascii="Calibri" w:hAnsi="Calibri"/>
                <w:b w:val="0"/>
                <w:color w:val="111827"/>
                <w:sz w:val="16"/>
              </w:rPr>
              <w:t>COMPLIANCE</w:t>
            </w:r>
            <w:r>
              <w:rPr>
                <w:rFonts w:ascii="Calibri" w:hAnsi="Calibri"/>
                <w:b w:val="0"/>
                <w:color w:val="111827"/>
                <w:sz w:val="16"/>
              </w:rPr>
              <w:t xml:space="preserve"> are enabled, KMS/Bucket Key are exact, destruction is prevented, and </w:t>
            </w:r>
            <w:r>
              <w:rPr>
                <w:rFonts w:ascii="Calibri" w:hAnsi="Calibri"/>
                <w:b w:val="0"/>
                <w:color w:val="111827"/>
                <w:sz w:val="16"/>
              </w:rPr>
              <w:t>force_destroy</w:t>
            </w:r>
            <w:r>
              <w:rPr>
                <w:rFonts w:ascii="Calibri" w:hAnsi="Calibri"/>
                <w:b w:val="0"/>
                <w:color w:val="111827"/>
                <w:sz w:val="16"/>
              </w:rPr>
              <w:t xml:space="preserve"> is false.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mocked plan and static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writer/restore trust and identity policies for session duration, audience, subjects, prefix, data actions, and forbidden authorities.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distinct short-lived roles have only required S3/KMS data-plane actions; delete, bypass, hold, IAM, KMS administration, and audit administration are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static least-privilege evidence; live IAM simulation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wildcard writer subject or reuse the writer subject for restore.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Variable validation rejects ambiguous or shared OIDC trust before a plan can succeed.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mocked-plan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the archive bucket as the audit destination or inspect CloudTrail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separation check rejects circular audit storage; the valid plan enables log-file validation, global/multi-Region management events, and archive-object data events to an external bucket/key.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positive/negative mocked-plan evidence; live delivery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routine IaC CI for backend, credential, OIDC, and execution authority.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job has read-only repository access, no AWS credential or </w:t>
            </w:r>
            <w:r>
              <w:rPr>
                <w:rFonts w:ascii="Calibri" w:hAnsi="Calibri"/>
                <w:b w:val="0"/>
                <w:color w:val="111827"/>
                <w:sz w:val="16"/>
              </w:rPr>
              <w:t>id-token</w:t>
            </w:r>
            <w:r>
              <w:rPr>
                <w:rFonts w:ascii="Calibri" w:hAnsi="Calibri"/>
                <w:b w:val="0"/>
                <w:color w:val="111827"/>
                <w:sz w:val="16"/>
              </w:rPr>
              <w:t xml:space="preserve">, uses the locked provider, and runs only format/init-without-backend/validate/test with no </w:t>
            </w:r>
            <w:r>
              <w:rPr>
                <w:rFonts w:ascii="Calibri" w:hAnsi="Calibri"/>
                <w:b w:val="0"/>
                <w:color w:val="111827"/>
                <w:sz w:val="16"/>
              </w:rPr>
              <w:t>apply</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workflow-policy evidence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 and release:</w:t>
      </w:r>
      <w:r>
        <w:rPr>
          <w:rFonts w:ascii="Calibri" w:hAnsi="Calibri"/>
          <w:color w:val="111827"/>
          <w:sz w:val="22"/>
        </w:rPr>
        <w:t xml:space="preserve"> immutable commit-tagged image, labels, SBOM, vulnerability scan, signed SLSA/SBOM attestations, and aggregate release evidence.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Promotion validation:</w:t>
      </w:r>
      <w:r>
        <w:rPr>
          <w:rFonts w:ascii="Calibri" w:hAnsi="Calibri"/>
          <w:color w:val="111827"/>
          <w:sz w:val="22"/>
        </w:rPr>
        <w:t xml:space="preserve"> verify exact signed provenance, then bind source SHA and image digest and render/fingerprint development evidence.</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short-lived identity and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Ordered promotion:</w:t>
      </w:r>
      <w:r>
        <w:rPr>
          <w:rFonts w:ascii="Calibri" w:hAnsi="Calibri"/>
          <w:color w:val="111827"/>
          <w:sz w:val="22"/>
        </w:rPr>
        <w:t xml:space="preserve"> staging and production gates reuse the verified digest and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graphs, immutable inputs, scanning, input-free reusable release builder, signed provenance/SBOM, pre-promotion verification, and exact in-cluster attestation policy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independently governed builder hosting, long-term evidence, live controller enforcement,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scanning, and an input-free exact-identity reusable builder are implemented, but caller and builder remain in the same repository and commit.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 of reviewed workflow code or its hosted execution context could still produce valid provenance for malicious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Move the builder to a separately governed repository, reference a reviewed immutable SHA, enforce independent branch protection, and retain external verification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logical PostgreSQL restore drill and initial RPO/RTO targets are implemented, but provider-native backup, immutable retention, WAL/PITR, artifact-object coordination, and deployed recovery exercises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proves portable logical restore only; regional failure, point-in-time loss, key access, and full platform recovery remain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encrypted independent backups and WAL, align artifact snapshots, alert on age/failure, and retain quarterly restore plus annual disaster evidence against approved objectives.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 application-side SPIFFE boundary, and reconciliation are implemented, but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retained token can still be stolen during migration, and behavior under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 token retirement after live mTLS evidence, add instance leases and reconciliation metrics, and define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 validates forwarded SPIFFE identity, but the repository does not yet deploy the certificate authority, certificate lifecycle, or validating proxy.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Misconfigured XFCC forwarding or a direct application path could permit identity spoofing despite correct application parsing.</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 proxy-side certificate validation and XFCC replacement, exact CIDRs, network-policy direct-path denial, separated trust domains, rotation/revocation drills, and retained live evidence before enablement.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now verifies signed source-to-image provenance, but GitHub environment protections and the first live release/promotion evidence cannot be encoded or proven by workflow YAML alone.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 repository settings could permit an unauthorized release or bypass separation of duties despite correct workflow logic.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audit release and promotion environments, require reviewers with self-review/bypass disabled, and retain the settings plus first live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deterministic seal, restore gate, normalized receipt, AWS adapter, and Terraform archive foundation exist, but Actions retains evidence for only 90 days and no protected AWS apply, live archive acceptance, or admission/revocation exercise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Mock/static evidence cannot prove real account ownership, external audit policies, OIDC claims, effective IAM/KMS controls, retained object behavior, cost, or clean-host recovery.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review the account and external controls, protect two-reviewer plan/apply, simulate IAM denials, then retain live upload/repeat-write/delete/shorten/bypass/CloudTrail/restore evidence before production use.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R-020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GitHub repository currently has one direct collaborator, so required independent review with self-review prevention would deadlock the first protected release.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Weakening the rule would invalidate the documented separation-of-duties control; enabling it with only the initiator would make release impossible.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 a trusted read-or-higher collaborator as release reviewer, configure the protected </w:t>
            </w:r>
            <w:r>
              <w:rPr>
                <w:rFonts w:ascii="Calibri" w:hAnsi="Calibri"/>
                <w:b w:val="0"/>
                <w:color w:val="111827"/>
                <w:sz w:val="16"/>
              </w:rPr>
              <w:t>release</w:t>
            </w:r>
            <w:r>
              <w:rPr>
                <w:rFonts w:ascii="Calibri" w:hAnsi="Calibri"/>
                <w:b w:val="0"/>
                <w:color w:val="111827"/>
                <w:sz w:val="16"/>
              </w:rPr>
              <w:t xml:space="preserve"> environment, retain settings evidence, and only then execute the first publish.</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native namespace-scoped Kubernetes repository/digest admission - implemented initial slice;</w:t>
      </w:r>
    </w:p>
    <w:p>
      <w:r>
        <w:rPr>
          <w:rFonts w:ascii="Calibri" w:hAnsi="Calibri"/>
          <w:color w:val="111827"/>
          <w:sz w:val="22"/>
        </w:rPr>
        <w:t>live CEL type-checking and denial/audit evidence remain;</w:t>
      </w:r>
    </w:p>
    <w:p>
      <w:pPr>
        <w:pStyle w:val="ListBullet"/>
        <w:numPr>
          <w:ilvl w:val="0"/>
          <w:numId w:val="33"/>
        </w:numPr>
      </w:pPr>
      <w:r>
        <w:rPr>
          <w:rFonts w:ascii="Calibri" w:hAnsi="Calibri"/>
          <w:color w:val="111827"/>
          <w:sz w:val="22"/>
        </w:rPr>
        <w:t>exact GitHub/Sigstore artifact-attestation admission configuration - implemented initial slice;</w:t>
      </w:r>
    </w:p>
    <w:p>
      <w:r>
        <w:rPr>
          <w:rFonts w:ascii="Calibri" w:hAnsi="Calibri"/>
          <w:color w:val="111827"/>
          <w:sz w:val="22"/>
        </w:rPr>
        <w:t>immutable chart approval, controller installation, trust status, and live positive/negative evidence remain;</w:t>
      </w:r>
    </w:p>
    <w:p>
      <w:pPr>
        <w:pStyle w:val="ListBullet"/>
        <w:numPr>
          <w:ilvl w:val="0"/>
          <w:numId w:val="34"/>
        </w:numPr>
      </w:pPr>
      <w:r>
        <w:rPr>
          <w:rFonts w:ascii="Calibri" w:hAnsi="Calibri"/>
          <w:color w:val="111827"/>
          <w:sz w:val="22"/>
        </w:rPr>
        <w:t>validating mTLS proxy, certificate lifecycle, direct-path denial, and live identity evidence;</w:t>
      </w:r>
    </w:p>
    <w:p>
      <w:pPr>
        <w:pStyle w:val="ListBullet"/>
        <w:numPr>
          <w:ilvl w:val="0"/>
          <w:numId w:val="34"/>
        </w:numPr>
      </w:pPr>
      <w:r>
        <w:rPr>
          <w:rFonts w:ascii="Calibri" w:hAnsi="Calibri"/>
          <w:color w:val="111827"/>
          <w:sz w:val="22"/>
        </w:rPr>
        <w:t>logical PostgreSQL restore drill and aggregate CI evidence - implemented initial slice;</w:t>
      </w:r>
    </w:p>
    <w:p>
      <w:pPr>
        <w:pStyle w:val="ListBullet"/>
        <w:numPr>
          <w:ilvl w:val="0"/>
          <w:numId w:val="34"/>
        </w:numPr>
      </w:pPr>
      <w:r>
        <w:rPr>
          <w:rFonts w:ascii="Calibri" w:hAnsi="Calibri"/>
          <w:color w:val="111827"/>
          <w:sz w:val="22"/>
        </w:rPr>
        <w:t>provider-native encrypted backup, immutable retention, artifact coordination, PITR/WAL, and deployed disaster exercises - production hardening;</w:t>
      </w:r>
    </w:p>
    <w:p>
      <w:pPr>
        <w:pStyle w:val="ListBullet"/>
        <w:numPr>
          <w:ilvl w:val="0"/>
          <w:numId w:val="34"/>
        </w:numPr>
      </w:pPr>
      <w:r>
        <w:rPr>
          <w:rFonts w:ascii="Calibri" w:hAnsi="Calibri"/>
          <w:color w:val="111827"/>
          <w:sz w:val="22"/>
        </w:rPr>
        <w:t>performance, resilience, and security-policy calibration;</w:t>
      </w:r>
    </w:p>
    <w:p>
      <w:pPr>
        <w:pStyle w:val="ListBullet"/>
        <w:numPr>
          <w:ilvl w:val="0"/>
          <w:numId w:val="34"/>
        </w:numPr>
      </w:pPr>
      <w:r>
        <w:rPr>
          <w:rFonts w:ascii="Calibri" w:hAnsi="Calibri"/>
          <w:color w:val="111827"/>
          <w:sz w:val="22"/>
        </w:rPr>
        <w:t>ordered development/staging/production promotion validation and retained render evidence â€” implemented initial slice;</w:t>
      </w:r>
    </w:p>
    <w:p>
      <w:pPr>
        <w:pStyle w:val="ListBullet"/>
        <w:numPr>
          <w:ilvl w:val="0"/>
          <w:numId w:val="34"/>
        </w:numPr>
      </w:pPr>
      <w:r>
        <w:rPr>
          <w:rFonts w:ascii="Calibri" w:hAnsi="Calibri"/>
          <w:color w:val="111827"/>
          <w:sz w:val="22"/>
        </w:rPr>
        <w:t>protected GHCR release, input-free reusable builder, signed SLSA/CycloneDX attestations, and exact pre-promotion verification - implemented initial same-repository builder slice;</w:t>
      </w:r>
    </w:p>
    <w:p>
      <w:pPr>
        <w:pStyle w:val="ListBullet"/>
        <w:numPr>
          <w:ilvl w:val="0"/>
          <w:numId w:val="34"/>
        </w:numPr>
      </w:pPr>
      <w:r>
        <w:rPr>
          <w:rFonts w:ascii="Calibri" w:hAnsi="Calibri"/>
          <w:color w:val="111827"/>
          <w:sz w:val="22"/>
        </w:rPr>
        <w:t>independently governed trusted builder, product-lifetime immutable evidence provider, live attestation-admission/revocation evidence, and real provider deployment across protected environments - production hardening.</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5"/>
        </w:numPr>
      </w:pPr>
      <w:r>
        <w:rPr>
          <w:rFonts w:ascii="Calibri" w:hAnsi="Calibri"/>
          <w:color w:val="111827"/>
          <w:sz w:val="22"/>
        </w:rPr>
        <w:t>Provide environment-specific URLs and secrets.</w:t>
      </w:r>
    </w:p>
    <w:p>
      <w:pPr>
        <w:pStyle w:val="ListNumber"/>
        <w:numPr>
          <w:ilvl w:val="0"/>
          <w:numId w:val="35"/>
        </w:numPr>
      </w:pPr>
      <w:r>
        <w:rPr>
          <w:rFonts w:ascii="Calibri" w:hAnsi="Calibri"/>
          <w:color w:val="111827"/>
          <w:sz w:val="22"/>
        </w:rPr>
        <w:t>Start PostgreSQL, Redis, and RabbitMQ and wait for health.</w:t>
      </w:r>
    </w:p>
    <w:p>
      <w:pPr>
        <w:pStyle w:val="ListNumber"/>
        <w:numPr>
          <w:ilvl w:val="0"/>
          <w:numId w:val="35"/>
        </w:numPr>
      </w:pPr>
      <w:r>
        <w:rPr>
          <w:rFonts w:ascii="Calibri" w:hAnsi="Calibri"/>
          <w:color w:val="111827"/>
          <w:sz w:val="22"/>
        </w:rPr>
        <w:t>Apply Alembic migrations exactly once per release.</w:t>
      </w:r>
    </w:p>
    <w:p>
      <w:pPr>
        <w:pStyle w:val="ListNumber"/>
        <w:numPr>
          <w:ilvl w:val="0"/>
          <w:numId w:val="35"/>
        </w:numPr>
      </w:pPr>
      <w:r>
        <w:rPr>
          <w:rFonts w:ascii="Calibri" w:hAnsi="Calibri"/>
          <w:color w:val="111827"/>
          <w:sz w:val="22"/>
        </w:rPr>
        <w:t>Start the API and outbox worker from the same immutable image.</w:t>
      </w:r>
    </w:p>
    <w:p>
      <w:pPr>
        <w:pStyle w:val="ListNumber"/>
        <w:numPr>
          <w:ilvl w:val="0"/>
          <w:numId w:val="35"/>
        </w:numPr>
      </w:pPr>
      <w:r>
        <w:rPr>
          <w:rFonts w:ascii="Calibri" w:hAnsi="Calibri"/>
          <w:color w:val="111827"/>
          <w:sz w:val="22"/>
        </w:rPr>
        <w:t>Verify liveness and readiness.</w:t>
      </w:r>
    </w:p>
    <w:p>
      <w:pPr>
        <w:pStyle w:val="ListNumber"/>
        <w:numPr>
          <w:ilvl w:val="0"/>
          <w:numId w:val="35"/>
        </w:numPr>
      </w:pPr>
      <w:r>
        <w:rPr>
          <w:rFonts w:ascii="Calibri" w:hAnsi="Calibri"/>
          <w:color w:val="111827"/>
          <w:sz w:val="22"/>
        </w:rPr>
        <w:t>Authenticate a controlled test account and publish one smoke-test event.</w:t>
      </w:r>
    </w:p>
    <w:p>
      <w:pPr>
        <w:pStyle w:val="ListNumber"/>
        <w:numPr>
          <w:ilvl w:val="0"/>
          <w:numId w:val="35"/>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6"/>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6"/>
        </w:numPr>
      </w:pPr>
      <w:r>
        <w:rPr>
          <w:rFonts w:ascii="Calibri" w:hAnsi="Calibri"/>
          <w:color w:val="111827"/>
          <w:sz w:val="22"/>
        </w:rPr>
        <w:t>search structured logs by correlation ID and timestamp;</w:t>
      </w:r>
    </w:p>
    <w:p>
      <w:pPr>
        <w:pStyle w:val="ListBullet"/>
        <w:numPr>
          <w:ilvl w:val="0"/>
          <w:numId w:val="36"/>
        </w:numPr>
      </w:pPr>
      <w:r>
        <w:rPr>
          <w:rFonts w:ascii="Calibri" w:hAnsi="Calibri"/>
          <w:color w:val="111827"/>
          <w:sz w:val="22"/>
        </w:rPr>
        <w:t>inspect database pool, Redis availability, or RabbitMQ connection/channel state;</w:t>
      </w:r>
    </w:p>
    <w:p>
      <w:pPr>
        <w:pStyle w:val="ListBullet"/>
        <w:numPr>
          <w:ilvl w:val="0"/>
          <w:numId w:val="36"/>
        </w:numPr>
      </w:pPr>
      <w:r>
        <w:rPr>
          <w:rFonts w:ascii="Calibri" w:hAnsi="Calibri"/>
          <w:color w:val="111827"/>
          <w:sz w:val="22"/>
        </w:rPr>
        <w:t>avoid deleting outbox rows to resolve a broker outage;</w:t>
      </w:r>
    </w:p>
    <w:p>
      <w:pPr>
        <w:pStyle w:val="ListBullet"/>
        <w:numPr>
          <w:ilvl w:val="0"/>
          <w:numId w:val="36"/>
        </w:numPr>
      </w:pPr>
      <w:r>
        <w:rPr>
          <w:rFonts w:ascii="Calibri" w:hAnsi="Calibri"/>
          <w:color w:val="111827"/>
          <w:sz w:val="22"/>
        </w:rPr>
        <w:t>restore the dependency, verify automatic recovery, and review backlog age;</w:t>
      </w:r>
    </w:p>
    <w:p>
      <w:pPr>
        <w:pStyle w:val="ListBullet"/>
        <w:numPr>
          <w:ilvl w:val="0"/>
          <w:numId w:val="36"/>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0012_test_artifacts.py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.github/workflows/promotion.yml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SPIFFE/XFCC workload 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src/atep/registry/workload_identity.py</w:t>
            </w:r>
            <w:r>
              <w:rPr>
                <w:rFonts w:ascii="Calibri" w:hAnsi="Calibri"/>
                <w:b w:val="0"/>
                <w:color w:val="111827"/>
                <w:sz w:val="17"/>
              </w:rPr>
              <w:t xml:space="preserve">, </w:t>
            </w:r>
            <w:r>
              <w:rPr>
                <w:rFonts w:ascii="Calibri" w:hAnsi="Calibri"/>
                <w:b w:val="0"/>
                <w:color w:val="111827"/>
                <w:sz w:val="17"/>
              </w:rPr>
              <w:t>tests/test_workload_identity.py</w:t>
            </w:r>
            <w:r>
              <w:rPr>
                <w:rFonts w:ascii="Calibri" w:hAnsi="Calibri"/>
                <w:b w:val="0"/>
                <w:color w:val="111827"/>
                <w:sz w:val="17"/>
              </w:rPr>
              <w:t xml:space="preserve">, </w:t>
            </w:r>
            <w:r>
              <w:rPr>
                <w:rFonts w:ascii="Calibri" w:hAnsi="Calibri"/>
                <w:b w:val="0"/>
                <w:color w:val="111827"/>
                <w:sz w:val="17"/>
              </w:rPr>
              <w:t>docs/workload-identity.md</w:t>
            </w:r>
            <w:r>
              <w:rPr>
                <w:rFonts w:ascii="Calibri" w:hAnsi="Calibri"/>
                <w:b w:val="0"/>
                <w:color w:val="111827"/>
                <w:sz w:val="17"/>
              </w:rPr>
              <w:t>, configuration examples, and OpenAPI contract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backup and restore drill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tools/run_postgres_restore_drill.py</w:t>
            </w:r>
            <w:r>
              <w:rPr>
                <w:rFonts w:ascii="Calibri" w:hAnsi="Calibri"/>
                <w:b w:val="0"/>
                <w:color w:val="111827"/>
                <w:sz w:val="17"/>
              </w:rPr>
              <w:t xml:space="preserve">, </w:t>
            </w:r>
            <w:r>
              <w:rPr>
                <w:rFonts w:ascii="Calibri" w:hAnsi="Calibri"/>
                <w:b w:val="0"/>
                <w:color w:val="111827"/>
                <w:sz w:val="17"/>
              </w:rPr>
              <w:t>tests/test_disaster_recovery.py</w:t>
            </w:r>
            <w:r>
              <w:rPr>
                <w:rFonts w:ascii="Calibri" w:hAnsi="Calibri"/>
                <w:b w:val="0"/>
                <w:color w:val="111827"/>
                <w:sz w:val="17"/>
              </w:rPr>
              <w:t xml:space="preserve">, </w:t>
            </w: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docs/disaster-recovery.md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promotion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tools/build_promotion_evidence.py</w:t>
            </w:r>
            <w:r>
              <w:rPr>
                <w:rFonts w:ascii="Calibri" w:hAnsi="Calibri"/>
                <w:b w:val="0"/>
                <w:color w:val="111827"/>
                <w:sz w:val="17"/>
              </w:rPr>
              <w:t xml:space="preserve">, </w:t>
            </w:r>
            <w:r>
              <w:rPr>
                <w:rFonts w:ascii="Calibri" w:hAnsi="Calibri"/>
                <w:b w:val="0"/>
                <w:color w:val="111827"/>
                <w:sz w:val="17"/>
              </w:rPr>
              <w:t>tests/test_release_promotion.py</w:t>
            </w:r>
            <w:r>
              <w:rPr>
                <w:rFonts w:ascii="Calibri" w:hAnsi="Calibri"/>
                <w:b w:val="0"/>
                <w:color w:val="111827"/>
                <w:sz w:val="17"/>
              </w:rPr>
              <w:t xml:space="preserve">, </w:t>
            </w:r>
            <w:r>
              <w:rPr>
                <w:rFonts w:ascii="Calibri" w:hAnsi="Calibri"/>
                <w:b w:val="0"/>
                <w:color w:val="111827"/>
                <w:sz w:val="17"/>
              </w:rPr>
              <w:t>.github/workflows/promotion.yml</w:t>
            </w:r>
            <w:r>
              <w:rPr>
                <w:rFonts w:ascii="Calibri" w:hAnsi="Calibri"/>
                <w:b w:val="0"/>
                <w:color w:val="111827"/>
                <w:sz w:val="17"/>
              </w:rPr>
              <w:t xml:space="preserve">, and </w:t>
            </w:r>
            <w:r>
              <w:rPr>
                <w:rFonts w:ascii="Calibri" w:hAnsi="Calibri"/>
                <w:b w:val="0"/>
                <w:color w:val="111827"/>
                <w:sz w:val="17"/>
              </w:rPr>
              <w:t>docs/release-promotion.md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release provenance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tools/build_release_evidence.py</w:t>
            </w:r>
            <w:r>
              <w:rPr>
                <w:rFonts w:ascii="Calibri" w:hAnsi="Calibri"/>
                <w:b w:val="0"/>
                <w:color w:val="111827"/>
                <w:sz w:val="17"/>
              </w:rPr>
              <w:t xml:space="preserve">, </w:t>
            </w:r>
            <w:r>
              <w:rPr>
                <w:rFonts w:ascii="Calibri" w:hAnsi="Calibri"/>
                <w:b w:val="0"/>
                <w:color w:val="111827"/>
                <w:sz w:val="17"/>
              </w:rPr>
              <w:t>tests/test_release_provenance.py</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and </w:t>
            </w:r>
            <w:r>
              <w:rPr>
                <w:rFonts w:ascii="Calibri" w:hAnsi="Calibri"/>
                <w:b w:val="0"/>
                <w:color w:val="111827"/>
                <w:sz w:val="17"/>
              </w:rPr>
              <w:t>docs/release-provenance.md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evidence lifecycle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tools/build_release_archive_manifest.py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docs/release-evidence-lifecycle.md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Sealed archive and provider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tools/seal_release_archive.py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docs/release-archive-provider-contract.md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provider export gate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tools/validate_archive_export.py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and </w:t>
            </w:r>
            <w:r>
              <w:rPr>
                <w:rFonts w:ascii="Calibri" w:hAnsi="Calibri"/>
                <w:b w:val="0"/>
                <w:color w:val="111827"/>
                <w:sz w:val="17"/>
              </w:rPr>
              <w:t>docs/release-archive-provider-contract.md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S3 Object Lock adapter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tools/export_archive_to_s3.py</w:t>
            </w:r>
            <w:r>
              <w:rPr>
                <w:rFonts w:ascii="Calibri" w:hAnsi="Calibri"/>
                <w:b w:val="0"/>
                <w:color w:val="111827"/>
                <w:sz w:val="17"/>
              </w:rPr>
              <w:t xml:space="preserve">, </w:t>
            </w:r>
            <w:r>
              <w:rPr>
                <w:rFonts w:ascii="Calibri" w:hAnsi="Calibri"/>
                <w:b w:val="0"/>
                <w:color w:val="111827"/>
                <w:sz w:val="17"/>
              </w:rPr>
              <w:t>tests/test_s3_archive_export.py</w:t>
            </w:r>
            <w:r>
              <w:rPr>
                <w:rFonts w:ascii="Calibri" w:hAnsi="Calibri"/>
                <w:b w:val="0"/>
                <w:color w:val="111827"/>
                <w:sz w:val="17"/>
              </w:rPr>
              <w:t xml:space="preserve">, </w:t>
            </w:r>
            <w:r>
              <w:rPr>
                <w:rFonts w:ascii="Calibri" w:hAnsi="Calibri"/>
                <w:b w:val="0"/>
                <w:color w:val="111827"/>
                <w:sz w:val="17"/>
              </w:rPr>
              <w:t>docs/aws-s3-object-lock-adapter.md</w:t>
            </w:r>
            <w:r>
              <w:rPr>
                <w:rFonts w:ascii="Calibri" w:hAnsi="Calibri"/>
                <w:b w:val="0"/>
                <w:color w:val="111827"/>
                <w:sz w:val="17"/>
              </w:rPr>
              <w:t>, and the hash-locked Boto3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archive Terraform foundation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deploy/terraform/aws-archive-foundation/</w:t>
            </w:r>
            <w:r>
              <w:rPr>
                <w:rFonts w:ascii="Calibri" w:hAnsi="Calibri"/>
                <w:b w:val="0"/>
                <w:color w:val="111827"/>
                <w:sz w:val="17"/>
              </w:rPr>
              <w:t xml:space="preserve">, </w:t>
            </w:r>
            <w:r>
              <w:rPr>
                <w:rFonts w:ascii="Calibri" w:hAnsi="Calibri"/>
                <w:b w:val="0"/>
                <w:color w:val="111827"/>
                <w:sz w:val="17"/>
              </w:rPr>
              <w:t>.terraform.lock.hcl</w:t>
            </w:r>
            <w:r>
              <w:rPr>
                <w:rFonts w:ascii="Calibri" w:hAnsi="Calibri"/>
                <w:b w:val="0"/>
                <w:color w:val="111827"/>
                <w:sz w:val="17"/>
              </w:rPr>
              <w:t xml:space="preserve">, </w:t>
            </w:r>
            <w:r>
              <w:rPr>
                <w:rFonts w:ascii="Calibri" w:hAnsi="Calibri"/>
                <w:b w:val="0"/>
                <w:color w:val="111827"/>
                <w:sz w:val="17"/>
              </w:rPr>
              <w:t>tests/test_terraform_archive_foundation.py</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and </w:t>
            </w:r>
            <w:r>
              <w:rPr>
                <w:rFonts w:ascii="Calibri" w:hAnsi="Calibri"/>
                <w:b w:val="0"/>
                <w:color w:val="111827"/>
                <w:sz w:val="17"/>
              </w:rPr>
              <w:t>.github/dependabot.yml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w:t>
            </w:r>
            <w:r>
              <w:rPr>
                <w:rFonts w:ascii="Calibri" w:hAnsi="Calibri"/>
                <w:b w:val="0"/>
                <w:color w:val="111827"/>
                <w:sz w:val="17"/>
              </w:rPr>
              <w:t>test_release_promotion.py</w:t>
            </w:r>
            <w:r>
              <w:rPr>
                <w:rFonts w:ascii="Calibri" w:hAnsi="Calibri"/>
                <w:b w:val="0"/>
                <w:color w:val="111827"/>
                <w:sz w:val="17"/>
              </w:rPr>
              <w:t xml:space="preserve">, </w:t>
            </w:r>
            <w:r>
              <w:rPr>
                <w:rFonts w:ascii="Calibri" w:hAnsi="Calibri"/>
                <w:b w:val="0"/>
                <w:color w:val="111827"/>
                <w:sz w:val="17"/>
              </w:rPr>
              <w:t>test_release_archive.py</w:t>
            </w:r>
            <w:r>
              <w:rPr>
                <w:rFonts w:ascii="Calibri" w:hAnsi="Calibri"/>
                <w:b w:val="0"/>
                <w:color w:val="111827"/>
                <w:sz w:val="17"/>
              </w:rPr>
              <w:t xml:space="preserve">, </w:t>
            </w:r>
            <w:r>
              <w:rPr>
                <w:rFonts w:ascii="Calibri" w:hAnsi="Calibri"/>
                <w:b w:val="0"/>
                <w:color w:val="111827"/>
                <w:sz w:val="17"/>
              </w:rPr>
              <w:t>test_s3_archive_export.py</w:t>
            </w:r>
            <w:r>
              <w:rPr>
                <w:rFonts w:ascii="Calibri" w:hAnsi="Calibri"/>
                <w:b w:val="0"/>
                <w:color w:val="111827"/>
                <w:sz w:val="17"/>
              </w:rPr>
              <w:t xml:space="preserve">, </w:t>
            </w:r>
            <w:r>
              <w:rPr>
                <w:rFonts w:ascii="Calibri" w:hAnsi="Calibri"/>
                <w:b w:val="0"/>
                <w:color w:val="111827"/>
                <w:sz w:val="17"/>
              </w:rPr>
              <w:t>test_terraform_archive_foundation.py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7"/>
        </w:numPr>
      </w:pPr>
      <w:r>
        <w:rPr>
          <w:rFonts w:ascii="Calibri" w:hAnsi="Calibri"/>
          <w:color w:val="111827"/>
          <w:sz w:val="22"/>
        </w:rPr>
        <w:t>update the document version and revision history;</w:t>
      </w:r>
    </w:p>
    <w:p>
      <w:pPr>
        <w:pStyle w:val="ListBullet"/>
        <w:numPr>
          <w:ilvl w:val="0"/>
          <w:numId w:val="37"/>
        </w:numPr>
      </w:pPr>
      <w:r>
        <w:rPr>
          <w:rFonts w:ascii="Calibri" w:hAnsi="Calibri"/>
          <w:color w:val="111827"/>
          <w:sz w:val="22"/>
        </w:rPr>
        <w:t>reconcile capability status against the repository;</w:t>
      </w:r>
    </w:p>
    <w:p>
      <w:pPr>
        <w:pStyle w:val="ListBullet"/>
        <w:numPr>
          <w:ilvl w:val="0"/>
          <w:numId w:val="37"/>
        </w:numPr>
      </w:pPr>
      <w:r>
        <w:rPr>
          <w:rFonts w:ascii="Calibri" w:hAnsi="Calibri"/>
          <w:color w:val="111827"/>
          <w:sz w:val="22"/>
        </w:rPr>
        <w:t>add or revise requirements and acceptance criteria;</w:t>
      </w:r>
    </w:p>
    <w:p>
      <w:pPr>
        <w:pStyle w:val="ListBullet"/>
        <w:numPr>
          <w:ilvl w:val="0"/>
          <w:numId w:val="37"/>
        </w:numPr>
      </w:pPr>
      <w:r>
        <w:rPr>
          <w:rFonts w:ascii="Calibri" w:hAnsi="Calibri"/>
          <w:color w:val="111827"/>
          <w:sz w:val="22"/>
        </w:rPr>
        <w:t>record architecture decisions and superseded decisions;</w:t>
      </w:r>
    </w:p>
    <w:p>
      <w:pPr>
        <w:pStyle w:val="ListBullet"/>
        <w:numPr>
          <w:ilvl w:val="0"/>
          <w:numId w:val="37"/>
        </w:numPr>
      </w:pPr>
      <w:r>
        <w:rPr>
          <w:rFonts w:ascii="Calibri" w:hAnsi="Calibri"/>
          <w:color w:val="111827"/>
          <w:sz w:val="22"/>
        </w:rPr>
        <w:t>update the test catalogue and executed evidence;</w:t>
      </w:r>
    </w:p>
    <w:p>
      <w:pPr>
        <w:pStyle w:val="ListBullet"/>
        <w:numPr>
          <w:ilvl w:val="0"/>
          <w:numId w:val="37"/>
        </w:numPr>
      </w:pPr>
      <w:r>
        <w:rPr>
          <w:rFonts w:ascii="Calibri" w:hAnsi="Calibri"/>
          <w:color w:val="111827"/>
          <w:sz w:val="22"/>
        </w:rPr>
        <w:t>review threat model, risk register, and technical debt;</w:t>
      </w:r>
    </w:p>
    <w:p>
      <w:pPr>
        <w:pStyle w:val="ListBullet"/>
        <w:numPr>
          <w:ilvl w:val="0"/>
          <w:numId w:val="37"/>
        </w:numPr>
      </w:pPr>
      <w:r>
        <w:rPr>
          <w:rFonts w:ascii="Calibri" w:hAnsi="Calibri"/>
          <w:color w:val="111827"/>
          <w:sz w:val="22"/>
        </w:rPr>
        <w:t>confirm roadmap priorities and Volume I exit criteria;</w:t>
      </w:r>
    </w:p>
    <w:p>
      <w:pPr>
        <w:pStyle w:val="ListBullet"/>
        <w:numPr>
          <w:ilvl w:val="0"/>
          <w:numId w:val="37"/>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0.40.0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10"/>
    <w:lvlOverride w:ilvl="0">
      <w:startOverride w:val="1"/>
    </w:lvlOverride>
  </w:num>
  <w:num w:numId="34">
    <w:abstractNumId w:val="10"/>
    <w:lvlOverride w:ilvl="0">
      <w:startOverride w:val="1"/>
    </w:lvlOverride>
  </w:num>
  <w:num w:numId="35">
    <w:abstractNumId w:val="9"/>
    <w:lvlOverride w:ilvl="0">
      <w:startOverride w:val="1"/>
    </w:lvlOverride>
  </w:num>
  <w:num w:numId="36">
    <w:abstractNumId w:val="10"/>
    <w:lvlOverride w:ilvl="0">
      <w:startOverride w:val="1"/>
    </w:lvlOverride>
  </w:num>
  <w:num w:numId="3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