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ATEP Volume X Dashboard Engineering Workbook</w:t>
      </w:r>
    </w:p>
    <w:p>
      <w:pPr>
        <w:jc w:val="center"/>
      </w:pPr>
      <w:r>
        <w:rPr>
          <w:b/>
        </w:rPr>
        <w:t>Version 0.2.0  Test Quality Trends</w:t>
      </w:r>
    </w:p>
    <w:p>
      <w:r>
        <w:t>This workbook records X-1 and X-2. The governed dashboard read model now consolidates platform KPIs, complete UTC test-quality trends, and a bounded failed-case drill-down without duplicating source data or introducing a paid service, model, or GPU.</w:t>
      </w:r>
    </w:p>
    <w:tbl>
      <w:tblPr>
        <w:tblStyle w:val="TableGrid"/>
        <w:tblW w:type="auto" w:w="0"/>
        <w:tblLook w:firstColumn="1" w:firstRow="1" w:lastColumn="0" w:lastRow="0" w:noHBand="0" w:noVBand="1" w:val="04A0"/>
      </w:tblPr>
      <w:tblGrid>
        <w:gridCol w:w="5040"/>
        <w:gridCol w:w="5040"/>
      </w:tblGrid>
      <w:tr>
        <w:trPr>
          <w:tblHeader w:val="true"/>
        </w:trPr>
        <w:tc>
          <w:tcPr>
            <w:tcW w:type="dxa" w:w="2376"/>
            <w:vAlign w:val="center"/>
            <w:shd w:fill="1F4E78"/>
          </w:tcPr>
          <w:p>
            <w:r>
              <w:rPr>
                <w:b/>
                <w:color w:val="FFFFFF"/>
              </w:rPr>
              <w:t>Field</w:t>
            </w:r>
          </w:p>
        </w:tc>
        <w:tc>
          <w:tcPr>
            <w:tcW w:type="dxa" w:w="7416"/>
            <w:vAlign w:val="center"/>
            <w:shd w:fill="1F4E78"/>
          </w:tcPr>
          <w:p>
            <w:r>
              <w:rPr>
                <w:b/>
                <w:color w:val="FFFFFF"/>
              </w:rPr>
              <w:t>Value</w:t>
            </w:r>
          </w:p>
        </w:tc>
      </w:tr>
      <w:tr>
        <w:trPr>
          <w:cantSplit/>
        </w:trPr>
        <w:tc>
          <w:tcPr>
            <w:tcW w:type="dxa" w:w="2376"/>
            <w:vAlign w:val="center"/>
          </w:tcPr>
          <w:p>
            <w:r>
              <w:t>Status</w:t>
            </w:r>
          </w:p>
        </w:tc>
        <w:tc>
          <w:tcPr>
            <w:tcW w:type="dxa" w:w="7416"/>
            <w:vAlign w:val="center"/>
          </w:tcPr>
          <w:p>
            <w:r>
              <w:t>X-1 and X-2 complete</w:t>
            </w:r>
          </w:p>
        </w:tc>
      </w:tr>
      <w:tr>
        <w:trPr>
          <w:cantSplit/>
        </w:trPr>
        <w:tc>
          <w:tcPr>
            <w:tcW w:type="dxa" w:w="2376"/>
            <w:vAlign w:val="center"/>
            <w:shd w:fill="EAF1F8"/>
          </w:tcPr>
          <w:p>
            <w:r>
              <w:t>Contract</w:t>
            </w:r>
          </w:p>
        </w:tc>
        <w:tc>
          <w:tcPr>
            <w:tcW w:type="dxa" w:w="7416"/>
            <w:vAlign w:val="center"/>
            <w:shd w:fill="EAF1F8"/>
          </w:tcPr>
          <w:p>
            <w:r>
              <w:t>dashboard-overview-v1</w:t>
            </w:r>
          </w:p>
        </w:tc>
      </w:tr>
      <w:tr>
        <w:trPr>
          <w:cantSplit/>
        </w:trPr>
        <w:tc>
          <w:tcPr>
            <w:tcW w:type="dxa" w:w="2376"/>
            <w:vAlign w:val="center"/>
          </w:tcPr>
          <w:p>
            <w:r>
              <w:t>Endpoint</w:t>
            </w:r>
          </w:p>
        </w:tc>
        <w:tc>
          <w:tcPr>
            <w:tcW w:type="dxa" w:w="7416"/>
            <w:vAlign w:val="center"/>
          </w:tcPr>
          <w:p>
            <w:r>
              <w:t>GET /api/v1/dashboard/overview</w:t>
            </w:r>
          </w:p>
        </w:tc>
      </w:tr>
      <w:tr>
        <w:trPr>
          <w:cantSplit/>
        </w:trPr>
        <w:tc>
          <w:tcPr>
            <w:tcW w:type="dxa" w:w="2376"/>
            <w:vAlign w:val="center"/>
            <w:shd w:fill="EAF1F8"/>
          </w:tcPr>
          <w:p>
            <w:r>
              <w:t>Authorization</w:t>
            </w:r>
          </w:p>
        </w:tc>
        <w:tc>
          <w:tcPr>
            <w:tcW w:type="dxa" w:w="7416"/>
            <w:vAlign w:val="center"/>
            <w:shd w:fill="EAF1F8"/>
          </w:tcPr>
          <w:p>
            <w:r>
              <w:t>dashboard:read</w:t>
            </w:r>
          </w:p>
        </w:tc>
      </w:tr>
      <w:tr>
        <w:trPr>
          <w:cantSplit/>
        </w:trPr>
        <w:tc>
          <w:tcPr>
            <w:tcW w:type="dxa" w:w="2376"/>
            <w:vAlign w:val="center"/>
          </w:tcPr>
          <w:p>
            <w:r>
              <w:t>Next</w:t>
            </w:r>
          </w:p>
        </w:tc>
        <w:tc>
          <w:tcPr>
            <w:tcW w:type="dxa" w:w="7416"/>
            <w:vAlign w:val="center"/>
          </w:tcPr>
          <w:p>
            <w:r>
              <w:t>X-3 vehicle ECU CAN and diagnostics views</w:t>
            </w:r>
          </w:p>
        </w:tc>
      </w:tr>
    </w:tbl>
    <w:p/>
    <w:p>
      <w:pPr>
        <w:pStyle w:val="Heading1"/>
      </w:pPr>
      <w:r>
        <w:t>1 Scope and Architecture</w:t>
      </w:r>
    </w:p>
    <w:p>
      <w:r>
        <w:t>The dashboard service is a read-only projection over authoritative ATEP tables. FastAPI validates bounded query parameters, SQLAlchemy executes aggregate queries in PostgreSQL, and Pydantic publishes a deterministic client contract. No dashboard table, event, audit mutation, or frontend framework is required for X-1.</w:t>
      </w:r>
    </w:p>
    <w:tbl>
      <w:tblPr>
        <w:tblStyle w:val="TableGrid"/>
        <w:tblW w:type="auto" w:w="0"/>
        <w:tblLook w:firstColumn="1" w:firstRow="1" w:lastColumn="0" w:lastRow="0" w:noHBand="0" w:noVBand="1" w:val="04A0"/>
      </w:tblPr>
      <w:tblGrid>
        <w:gridCol w:w="5040"/>
        <w:gridCol w:w="5040"/>
      </w:tblGrid>
      <w:tr>
        <w:trPr>
          <w:tblHeader w:val="true"/>
        </w:trPr>
        <w:tc>
          <w:tcPr>
            <w:tcW w:type="dxa" w:w="2304"/>
            <w:vAlign w:val="center"/>
            <w:shd w:fill="1F4E78"/>
          </w:tcPr>
          <w:p>
            <w:r>
              <w:rPr>
                <w:b/>
                <w:color w:val="FFFFFF"/>
              </w:rPr>
              <w:t>Layer</w:t>
            </w:r>
          </w:p>
        </w:tc>
        <w:tc>
          <w:tcPr>
            <w:tcW w:type="dxa" w:w="7488"/>
            <w:vAlign w:val="center"/>
            <w:shd w:fill="1F4E78"/>
          </w:tcPr>
          <w:p>
            <w:r>
              <w:rPr>
                <w:b/>
                <w:color w:val="FFFFFF"/>
              </w:rPr>
              <w:t>Responsibility</w:t>
            </w:r>
          </w:p>
        </w:tc>
      </w:tr>
      <w:tr>
        <w:trPr>
          <w:cantSplit/>
        </w:trPr>
        <w:tc>
          <w:tcPr>
            <w:tcW w:type="dxa" w:w="2304"/>
            <w:vAlign w:val="center"/>
          </w:tcPr>
          <w:p>
            <w:r>
              <w:t>API</w:t>
            </w:r>
          </w:p>
        </w:tc>
        <w:tc>
          <w:tcPr>
            <w:tcW w:type="dxa" w:w="7488"/>
            <w:vAlign w:val="center"/>
          </w:tcPr>
          <w:p>
            <w:r>
              <w:t>Authentication, dashboard RBAC, window limits, and response contract</w:t>
            </w:r>
          </w:p>
        </w:tc>
      </w:tr>
      <w:tr>
        <w:trPr>
          <w:cantSplit/>
        </w:trPr>
        <w:tc>
          <w:tcPr>
            <w:tcW w:type="dxa" w:w="2304"/>
            <w:vAlign w:val="center"/>
            <w:shd w:fill="EAF1F8"/>
          </w:tcPr>
          <w:p>
            <w:r>
              <w:t>Read service</w:t>
            </w:r>
          </w:p>
        </w:tc>
        <w:tc>
          <w:tcPr>
            <w:tcW w:type="dxa" w:w="7488"/>
            <w:vAlign w:val="center"/>
            <w:shd w:fill="EAF1F8"/>
          </w:tcPr>
          <w:p>
            <w:r>
              <w:t>Aggregate counts, percentages, score averages, and recent cards</w:t>
            </w:r>
          </w:p>
        </w:tc>
      </w:tr>
      <w:tr>
        <w:trPr>
          <w:cantSplit/>
        </w:trPr>
        <w:tc>
          <w:tcPr>
            <w:tcW w:type="dxa" w:w="2304"/>
            <w:vAlign w:val="center"/>
          </w:tcPr>
          <w:p>
            <w:r>
              <w:t>Source domains</w:t>
            </w:r>
          </w:p>
        </w:tc>
        <w:tc>
          <w:tcPr>
            <w:tcW w:type="dxa" w:w="7488"/>
            <w:vAlign w:val="center"/>
          </w:tcPr>
          <w:p>
            <w:r>
              <w:t>Remain authoritative for tests, quality, automation, and AI evidence</w:t>
            </w:r>
          </w:p>
        </w:tc>
      </w:tr>
      <w:tr>
        <w:trPr>
          <w:cantSplit/>
        </w:trPr>
        <w:tc>
          <w:tcPr>
            <w:tcW w:type="dxa" w:w="2304"/>
            <w:vAlign w:val="center"/>
            <w:shd w:fill="EAF1F8"/>
          </w:tcPr>
          <w:p>
            <w:r>
              <w:t>Client contract</w:t>
            </w:r>
          </w:p>
        </w:tc>
        <w:tc>
          <w:tcPr>
            <w:tcW w:type="dxa" w:w="7488"/>
            <w:vAlign w:val="center"/>
            <w:shd w:fill="EAF1F8"/>
          </w:tcPr>
          <w:p>
            <w:r>
              <w:t>Supply KPI, chart, heatmap, and evidence-list data</w:t>
            </w:r>
          </w:p>
        </w:tc>
      </w:tr>
    </w:tbl>
    <w:p/>
    <w:p>
      <w:pPr>
        <w:pStyle w:val="Heading1"/>
      </w:pPr>
      <w:r>
        <w:t>2 Contract and KPI Semantics</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1944"/>
            <w:vAlign w:val="center"/>
            <w:shd w:fill="1F4E78"/>
          </w:tcPr>
          <w:p>
            <w:r>
              <w:rPr>
                <w:b/>
                <w:color w:val="FFFFFF"/>
              </w:rPr>
              <w:t>Area</w:t>
            </w:r>
          </w:p>
        </w:tc>
        <w:tc>
          <w:tcPr>
            <w:tcW w:type="dxa" w:w="5040"/>
            <w:vAlign w:val="center"/>
            <w:shd w:fill="1F4E78"/>
          </w:tcPr>
          <w:p>
            <w:r>
              <w:rPr>
                <w:b/>
                <w:color w:val="FFFFFF"/>
              </w:rPr>
              <w:t>Measures</w:t>
            </w:r>
          </w:p>
        </w:tc>
        <w:tc>
          <w:tcPr>
            <w:tcW w:type="dxa" w:w="2808"/>
            <w:vAlign w:val="center"/>
            <w:shd w:fill="1F4E78"/>
          </w:tcPr>
          <w:p>
            <w:r>
              <w:rPr>
                <w:b/>
                <w:color w:val="FFFFFF"/>
              </w:rPr>
              <w:t>Time semantics</w:t>
            </w:r>
          </w:p>
        </w:tc>
      </w:tr>
      <w:tr>
        <w:trPr>
          <w:cantSplit/>
        </w:trPr>
        <w:tc>
          <w:tcPr>
            <w:tcW w:type="dxa" w:w="1944"/>
            <w:vAlign w:val="center"/>
          </w:tcPr>
          <w:p>
            <w:r>
              <w:t>Test execution</w:t>
            </w:r>
          </w:p>
        </w:tc>
        <w:tc>
          <w:tcPr>
            <w:tcW w:type="dxa" w:w="5040"/>
            <w:vAlign w:val="center"/>
          </w:tcPr>
          <w:p>
            <w:r>
              <w:t>Runs, active runs, case totals, passed, failed, pass rate</w:t>
            </w:r>
          </w:p>
        </w:tc>
        <w:tc>
          <w:tcPr>
            <w:tcW w:type="dxa" w:w="2808"/>
            <w:vAlign w:val="center"/>
          </w:tcPr>
          <w:p>
            <w:r>
              <w:t>Selected window</w:t>
            </w:r>
          </w:p>
        </w:tc>
      </w:tr>
      <w:tr>
        <w:trPr>
          <w:cantSplit/>
        </w:trPr>
        <w:tc>
          <w:tcPr>
            <w:tcW w:type="dxa" w:w="1944"/>
            <w:vAlign w:val="center"/>
            <w:shd w:fill="EAF1F8"/>
          </w:tcPr>
          <w:p>
            <w:r>
              <w:t>Requirements</w:t>
            </w:r>
          </w:p>
        </w:tc>
        <w:tc>
          <w:tcPr>
            <w:tcW w:type="dxa" w:w="5040"/>
            <w:vAlign w:val="center"/>
            <w:shd w:fill="EAF1F8"/>
          </w:tcPr>
          <w:p>
            <w:r>
              <w:t>Total, covered, coverage rate, status distribution</w:t>
            </w:r>
          </w:p>
        </w:tc>
        <w:tc>
          <w:tcPr>
            <w:tcW w:type="dxa" w:w="2808"/>
            <w:vAlign w:val="center"/>
            <w:shd w:fill="EAF1F8"/>
          </w:tcPr>
          <w:p>
            <w:r>
              <w:t>Current snapshot</w:t>
            </w:r>
          </w:p>
        </w:tc>
      </w:tr>
      <w:tr>
        <w:trPr>
          <w:cantSplit/>
        </w:trPr>
        <w:tc>
          <w:tcPr>
            <w:tcW w:type="dxa" w:w="1944"/>
            <w:vAlign w:val="center"/>
          </w:tcPr>
          <w:p>
            <w:r>
              <w:t>Mutation</w:t>
            </w:r>
          </w:p>
        </w:tc>
        <w:tc>
          <w:tcPr>
            <w:tcW w:type="dxa" w:w="5040"/>
            <w:vAlign w:val="center"/>
          </w:tcPr>
          <w:p>
            <w:r>
              <w:t>Execution count and average mutation score</w:t>
            </w:r>
          </w:p>
        </w:tc>
        <w:tc>
          <w:tcPr>
            <w:tcW w:type="dxa" w:w="2808"/>
            <w:vAlign w:val="center"/>
          </w:tcPr>
          <w:p>
            <w:r>
              <w:t>Selected window</w:t>
            </w:r>
          </w:p>
        </w:tc>
      </w:tr>
      <w:tr>
        <w:trPr>
          <w:cantSplit/>
        </w:trPr>
        <w:tc>
          <w:tcPr>
            <w:tcW w:type="dxa" w:w="1944"/>
            <w:vAlign w:val="center"/>
            <w:shd w:fill="EAF1F8"/>
          </w:tcPr>
          <w:p>
            <w:r>
              <w:t>Automation</w:t>
            </w:r>
          </w:p>
        </w:tc>
        <w:tc>
          <w:tcPr>
            <w:tcW w:type="dxa" w:w="5040"/>
            <w:vAlign w:val="center"/>
            <w:shd w:fill="EAF1F8"/>
          </w:tcPr>
          <w:p>
            <w:r>
              <w:t>Report count and outcome distribution</w:t>
            </w:r>
          </w:p>
        </w:tc>
        <w:tc>
          <w:tcPr>
            <w:tcW w:type="dxa" w:w="2808"/>
            <w:vAlign w:val="center"/>
            <w:shd w:fill="EAF1F8"/>
          </w:tcPr>
          <w:p>
            <w:r>
              <w:t>Selected window</w:t>
            </w:r>
          </w:p>
        </w:tc>
      </w:tr>
      <w:tr>
        <w:trPr>
          <w:cantSplit/>
        </w:trPr>
        <w:tc>
          <w:tcPr>
            <w:tcW w:type="dxa" w:w="1944"/>
            <w:vAlign w:val="center"/>
          </w:tcPr>
          <w:p>
            <w:r>
              <w:t>AI evidence</w:t>
            </w:r>
          </w:p>
        </w:tc>
        <w:tc>
          <w:tcPr>
            <w:tcW w:type="dxa" w:w="5040"/>
            <w:vAlign w:val="center"/>
          </w:tcPr>
          <w:p>
            <w:r>
              <w:t>Dashboard projection count, severity, and recent cited cards</w:t>
            </w:r>
          </w:p>
        </w:tc>
        <w:tc>
          <w:tcPr>
            <w:tcW w:type="dxa" w:w="2808"/>
            <w:vAlign w:val="center"/>
          </w:tcPr>
          <w:p>
            <w:r>
              <w:t>Selected window</w:t>
            </w:r>
          </w:p>
        </w:tc>
      </w:tr>
    </w:tbl>
    <w:p/>
    <w:p>
      <w:r>
        <w:t>Undefined rates are returned as null when no denominator exists. Counts and distributions are sorted deterministically; mutation scores and percentages are rounded to two decimals.</w:t>
      </w:r>
    </w:p>
    <w:p>
      <w:pPr>
        <w:pStyle w:val="Heading1"/>
      </w:pPr>
      <w:r>
        <w:t>3 Security Privacy and Bounds</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1944"/>
            <w:vAlign w:val="center"/>
            <w:shd w:fill="1F4E78"/>
          </w:tcPr>
          <w:p>
            <w:r>
              <w:rPr>
                <w:b/>
                <w:color w:val="FFFFFF"/>
              </w:rPr>
              <w:t>Control</w:t>
            </w:r>
          </w:p>
        </w:tc>
        <w:tc>
          <w:tcPr>
            <w:tcW w:type="dxa" w:w="3240"/>
            <w:vAlign w:val="center"/>
            <w:shd w:fill="1F4E78"/>
          </w:tcPr>
          <w:p>
            <w:r>
              <w:rPr>
                <w:b/>
                <w:color w:val="FFFFFF"/>
              </w:rPr>
              <w:t>Rule</w:t>
            </w:r>
          </w:p>
        </w:tc>
        <w:tc>
          <w:tcPr>
            <w:tcW w:type="dxa" w:w="4608"/>
            <w:vAlign w:val="center"/>
            <w:shd w:fill="1F4E78"/>
          </w:tcPr>
          <w:p>
            <w:r>
              <w:rPr>
                <w:b/>
                <w:color w:val="FFFFFF"/>
              </w:rPr>
              <w:t>Purpose</w:t>
            </w:r>
          </w:p>
        </w:tc>
      </w:tr>
      <w:tr>
        <w:trPr>
          <w:cantSplit/>
        </w:trPr>
        <w:tc>
          <w:tcPr>
            <w:tcW w:type="dxa" w:w="1944"/>
            <w:vAlign w:val="center"/>
          </w:tcPr>
          <w:p>
            <w:r>
              <w:t>RBAC</w:t>
            </w:r>
          </w:p>
        </w:tc>
        <w:tc>
          <w:tcPr>
            <w:tcW w:type="dxa" w:w="3240"/>
            <w:vAlign w:val="center"/>
          </w:tcPr>
          <w:p>
            <w:r>
              <w:t>dashboard:read</w:t>
            </w:r>
          </w:p>
        </w:tc>
        <w:tc>
          <w:tcPr>
            <w:tcW w:type="dxa" w:w="4608"/>
            <w:vAlign w:val="center"/>
          </w:tcPr>
          <w:p>
            <w:r>
              <w:t>Separate dashboard visibility from source management</w:t>
            </w:r>
          </w:p>
        </w:tc>
      </w:tr>
      <w:tr>
        <w:trPr>
          <w:cantSplit/>
        </w:trPr>
        <w:tc>
          <w:tcPr>
            <w:tcW w:type="dxa" w:w="1944"/>
            <w:vAlign w:val="center"/>
            <w:shd w:fill="EAF1F8"/>
          </w:tcPr>
          <w:p>
            <w:r>
              <w:t>Window</w:t>
            </w:r>
          </w:p>
        </w:tc>
        <w:tc>
          <w:tcPr>
            <w:tcW w:type="dxa" w:w="3240"/>
            <w:vAlign w:val="center"/>
            <w:shd w:fill="EAF1F8"/>
          </w:tcPr>
          <w:p>
            <w:r>
              <w:t>1 to 720 hours</w:t>
            </w:r>
          </w:p>
        </w:tc>
        <w:tc>
          <w:tcPr>
            <w:tcW w:type="dxa" w:w="4608"/>
            <w:vAlign w:val="center"/>
            <w:shd w:fill="EAF1F8"/>
          </w:tcPr>
          <w:p>
            <w:r>
              <w:t>Bound database work and interpretation range</w:t>
            </w:r>
          </w:p>
        </w:tc>
      </w:tr>
      <w:tr>
        <w:trPr>
          <w:cantSplit/>
        </w:trPr>
        <w:tc>
          <w:tcPr>
            <w:tcW w:type="dxa" w:w="1944"/>
            <w:vAlign w:val="center"/>
          </w:tcPr>
          <w:p>
            <w:r>
              <w:t>Evidence</w:t>
            </w:r>
          </w:p>
        </w:tc>
        <w:tc>
          <w:tcPr>
            <w:tcW w:type="dxa" w:w="3240"/>
            <w:vAlign w:val="center"/>
          </w:tcPr>
          <w:p>
            <w:r>
              <w:t>1 to 50 cards</w:t>
            </w:r>
          </w:p>
        </w:tc>
        <w:tc>
          <w:tcPr>
            <w:tcW w:type="dxa" w:w="4608"/>
            <w:vAlign w:val="center"/>
          </w:tcPr>
          <w:p>
            <w:r>
              <w:t>Bound payload, memory, and explanatory content</w:t>
            </w:r>
          </w:p>
        </w:tc>
      </w:tr>
      <w:tr>
        <w:trPr>
          <w:cantSplit/>
        </w:trPr>
        <w:tc>
          <w:tcPr>
            <w:tcW w:type="dxa" w:w="1944"/>
            <w:vAlign w:val="center"/>
            <w:shd w:fill="EAF1F8"/>
          </w:tcPr>
          <w:p>
            <w:r>
              <w:t>Minimization</w:t>
            </w:r>
          </w:p>
        </w:tc>
        <w:tc>
          <w:tcPr>
            <w:tcW w:type="dxa" w:w="3240"/>
            <w:vAlign w:val="center"/>
            <w:shd w:fill="EAF1F8"/>
          </w:tcPr>
          <w:p>
            <w:r>
              <w:t>Governed projection fields only</w:t>
            </w:r>
          </w:p>
        </w:tc>
        <w:tc>
          <w:tcPr>
            <w:tcW w:type="dxa" w:w="4608"/>
            <w:vAlign w:val="center"/>
            <w:shd w:fill="EAF1F8"/>
          </w:tcPr>
          <w:p>
            <w:r>
              <w:t>Exclude prompts, raw logs, and context</w:t>
            </w:r>
          </w:p>
        </w:tc>
      </w:tr>
      <w:tr>
        <w:trPr>
          <w:cantSplit/>
        </w:trPr>
        <w:tc>
          <w:tcPr>
            <w:tcW w:type="dxa" w:w="1944"/>
            <w:vAlign w:val="center"/>
          </w:tcPr>
          <w:p>
            <w:r>
              <w:t>Authority</w:t>
            </w:r>
          </w:p>
        </w:tc>
        <w:tc>
          <w:tcPr>
            <w:tcW w:type="dxa" w:w="3240"/>
            <w:vAlign w:val="center"/>
          </w:tcPr>
          <w:p>
            <w:r>
              <w:t>Read only</w:t>
            </w:r>
          </w:p>
        </w:tc>
        <w:tc>
          <w:tcPr>
            <w:tcW w:type="dxa" w:w="4608"/>
            <w:vAlign w:val="center"/>
          </w:tcPr>
          <w:p>
            <w:r>
              <w:t>Prevent dashboard requests from changing operations</w:t>
            </w:r>
          </w:p>
        </w:tc>
      </w:tr>
    </w:tbl>
    <w:p/>
    <w:p>
      <w:pPr>
        <w:pStyle w:val="Heading1"/>
      </w:pPr>
      <w:r>
        <w:t>4 Requirements Traceability</w:t>
      </w:r>
    </w:p>
    <w:tbl>
      <w:tblPr>
        <w:tblStyle w:val="TableGrid"/>
        <w:tblW w:type="auto" w:w="0"/>
        <w:tblLook w:firstColumn="1" w:firstRow="1" w:lastColumn="0" w:lastRow="0" w:noHBand="0" w:noVBand="1" w:val="04A0"/>
      </w:tblPr>
      <w:tblGrid>
        <w:gridCol w:w="5040"/>
        <w:gridCol w:w="5040"/>
      </w:tblGrid>
      <w:tr>
        <w:trPr>
          <w:tblHeader w:val="true"/>
        </w:trPr>
        <w:tc>
          <w:tcPr>
            <w:tcW w:type="dxa" w:w="2880"/>
            <w:vAlign w:val="center"/>
            <w:shd w:fill="1F4E78"/>
          </w:tcPr>
          <w:p>
            <w:r>
              <w:rPr>
                <w:b/>
                <w:color w:val="FFFFFF"/>
              </w:rPr>
              <w:t>Requirement group</w:t>
            </w:r>
          </w:p>
        </w:tc>
        <w:tc>
          <w:tcPr>
            <w:tcW w:type="dxa" w:w="6912"/>
            <w:vAlign w:val="center"/>
            <w:shd w:fill="1F4E78"/>
          </w:tcPr>
          <w:p>
            <w:r>
              <w:rPr>
                <w:b/>
                <w:color w:val="FFFFFF"/>
              </w:rPr>
              <w:t>Implemented evidence</w:t>
            </w:r>
          </w:p>
        </w:tc>
      </w:tr>
      <w:tr>
        <w:trPr>
          <w:cantSplit/>
        </w:trPr>
        <w:tc>
          <w:tcPr>
            <w:tcW w:type="dxa" w:w="2880"/>
            <w:vAlign w:val="center"/>
          </w:tcPr>
          <w:p>
            <w:r>
              <w:t>DASH-F-001 to 003</w:t>
            </w:r>
          </w:p>
        </w:tc>
        <w:tc>
          <w:tcPr>
            <w:tcW w:type="dxa" w:w="6912"/>
            <w:vAlign w:val="center"/>
          </w:tcPr>
          <w:p>
            <w:r>
              <w:t>Authenticated endpoint, execution aggregation, and safe pass rate</w:t>
            </w:r>
          </w:p>
        </w:tc>
      </w:tr>
      <w:tr>
        <w:trPr>
          <w:cantSplit/>
        </w:trPr>
        <w:tc>
          <w:tcPr>
            <w:tcW w:type="dxa" w:w="2880"/>
            <w:vAlign w:val="center"/>
            <w:shd w:fill="EAF1F8"/>
          </w:tcPr>
          <w:p>
            <w:r>
              <w:t>DASH-F-004 to 006</w:t>
            </w:r>
          </w:p>
        </w:tc>
        <w:tc>
          <w:tcPr>
            <w:tcW w:type="dxa" w:w="6912"/>
            <w:vAlign w:val="center"/>
            <w:shd w:fill="EAF1F8"/>
          </w:tcPr>
          <w:p>
            <w:r>
              <w:t>Coverage, quality sources, and cited minimized AI cards</w:t>
            </w:r>
          </w:p>
        </w:tc>
      </w:tr>
      <w:tr>
        <w:trPr>
          <w:cantSplit/>
        </w:trPr>
        <w:tc>
          <w:tcPr>
            <w:tcW w:type="dxa" w:w="2880"/>
            <w:vAlign w:val="center"/>
          </w:tcPr>
          <w:p>
            <w:r>
              <w:t>DASH-NF-001 to 003</w:t>
            </w:r>
          </w:p>
        </w:tc>
        <w:tc>
          <w:tcPr>
            <w:tcW w:type="dxa" w:w="6912"/>
            <w:vAlign w:val="center"/>
          </w:tcPr>
          <w:p>
            <w:r>
              <w:t>Dedicated permission and strict window and payload limits</w:t>
            </w:r>
          </w:p>
        </w:tc>
      </w:tr>
      <w:tr>
        <w:trPr>
          <w:cantSplit/>
        </w:trPr>
        <w:tc>
          <w:tcPr>
            <w:tcW w:type="dxa" w:w="2880"/>
            <w:vAlign w:val="center"/>
            <w:shd w:fill="EAF1F8"/>
          </w:tcPr>
          <w:p>
            <w:r>
              <w:t>DASH-NF-004 to 006</w:t>
            </w:r>
          </w:p>
        </w:tc>
        <w:tc>
          <w:tcPr>
            <w:tcW w:type="dxa" w:w="6912"/>
            <w:vAlign w:val="center"/>
            <w:shd w:fill="EAF1F8"/>
          </w:tcPr>
          <w:p>
            <w:r>
              <w:t>Read-only design, deterministic output, and local resource profile</w:t>
            </w:r>
          </w:p>
        </w:tc>
      </w:tr>
    </w:tbl>
    <w:p/>
    <w:p>
      <w:pPr>
        <w:pStyle w:val="Heading1"/>
      </w:pPr>
      <w:r>
        <w:t>5 Test Quality Trends and Failure Drill Down</w:t>
      </w:r>
    </w:p>
    <w:p>
      <w:r>
        <w:t>The trends contract emits one point for every UTC day in the requested 1 to 90 day window, including zero-activity days. The failure contract exposes only failed case results, supports suite and time filtering, and keeps navigation tied to existing run, case, definition, and evidence identifiers.</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2088"/>
            <w:vAlign w:val="center"/>
            <w:shd w:fill="1F4E78"/>
          </w:tcPr>
          <w:p>
            <w:r>
              <w:rPr>
                <w:b/>
                <w:color w:val="FFFFFF"/>
              </w:rPr>
              <w:t>Control</w:t>
            </w:r>
          </w:p>
        </w:tc>
        <w:tc>
          <w:tcPr>
            <w:tcW w:type="dxa" w:w="2592"/>
            <w:vAlign w:val="center"/>
            <w:shd w:fill="1F4E78"/>
          </w:tcPr>
          <w:p>
            <w:r>
              <w:rPr>
                <w:b/>
                <w:color w:val="FFFFFF"/>
              </w:rPr>
              <w:t>Bound</w:t>
            </w:r>
          </w:p>
        </w:tc>
        <w:tc>
          <w:tcPr>
            <w:tcW w:type="dxa" w:w="5112"/>
            <w:vAlign w:val="center"/>
            <w:shd w:fill="1F4E78"/>
          </w:tcPr>
          <w:p>
            <w:r>
              <w:rPr>
                <w:b/>
                <w:color w:val="FFFFFF"/>
              </w:rPr>
              <w:t>Engineering purpose</w:t>
            </w:r>
          </w:p>
        </w:tc>
      </w:tr>
      <w:tr>
        <w:trPr>
          <w:cantSplit/>
        </w:trPr>
        <w:tc>
          <w:tcPr>
            <w:tcW w:type="dxa" w:w="2088"/>
            <w:vAlign w:val="center"/>
          </w:tcPr>
          <w:p>
            <w:r>
              <w:t>Trend window</w:t>
            </w:r>
          </w:p>
        </w:tc>
        <w:tc>
          <w:tcPr>
            <w:tcW w:type="dxa" w:w="2592"/>
            <w:vAlign w:val="center"/>
          </w:tcPr>
          <w:p>
            <w:r>
              <w:t>1 to 90 days</w:t>
            </w:r>
          </w:p>
        </w:tc>
        <w:tc>
          <w:tcPr>
            <w:tcW w:type="dxa" w:w="5112"/>
            <w:vAlign w:val="center"/>
          </w:tcPr>
          <w:p>
            <w:r>
              <w:t>Bound query work and chart density</w:t>
            </w:r>
          </w:p>
        </w:tc>
      </w:tr>
      <w:tr>
        <w:trPr>
          <w:cantSplit/>
        </w:trPr>
        <w:tc>
          <w:tcPr>
            <w:tcW w:type="dxa" w:w="2088"/>
            <w:vAlign w:val="center"/>
            <w:shd w:fill="EAF1F8"/>
          </w:tcPr>
          <w:p>
            <w:r>
              <w:t>Buckets</w:t>
            </w:r>
          </w:p>
        </w:tc>
        <w:tc>
          <w:tcPr>
            <w:tcW w:type="dxa" w:w="2592"/>
            <w:vAlign w:val="center"/>
            <w:shd w:fill="EAF1F8"/>
          </w:tcPr>
          <w:p>
            <w:r>
              <w:t>Complete UTC days</w:t>
            </w:r>
          </w:p>
        </w:tc>
        <w:tc>
          <w:tcPr>
            <w:tcW w:type="dxa" w:w="5112"/>
            <w:vAlign w:val="center"/>
            <w:shd w:fill="EAF1F8"/>
          </w:tcPr>
          <w:p>
            <w:r>
              <w:t>Prevent clients from inventing missing dates</w:t>
            </w:r>
          </w:p>
        </w:tc>
      </w:tr>
      <w:tr>
        <w:trPr>
          <w:cantSplit/>
        </w:trPr>
        <w:tc>
          <w:tcPr>
            <w:tcW w:type="dxa" w:w="2088"/>
            <w:vAlign w:val="center"/>
          </w:tcPr>
          <w:p>
            <w:r>
              <w:t>Failure window</w:t>
            </w:r>
          </w:p>
        </w:tc>
        <w:tc>
          <w:tcPr>
            <w:tcW w:type="dxa" w:w="2592"/>
            <w:vAlign w:val="center"/>
          </w:tcPr>
          <w:p>
            <w:r>
              <w:t>1 to 2160 hours</w:t>
            </w:r>
          </w:p>
        </w:tc>
        <w:tc>
          <w:tcPr>
            <w:tcW w:type="dxa" w:w="5112"/>
            <w:vAlign w:val="center"/>
          </w:tcPr>
          <w:p>
            <w:r>
              <w:t>Bound historical investigation</w:t>
            </w:r>
          </w:p>
        </w:tc>
      </w:tr>
      <w:tr>
        <w:trPr>
          <w:cantSplit/>
        </w:trPr>
        <w:tc>
          <w:tcPr>
            <w:tcW w:type="dxa" w:w="2088"/>
            <w:vAlign w:val="center"/>
            <w:shd w:fill="EAF1F8"/>
          </w:tcPr>
          <w:p>
            <w:r>
              <w:t>Page</w:t>
            </w:r>
          </w:p>
        </w:tc>
        <w:tc>
          <w:tcPr>
            <w:tcW w:type="dxa" w:w="2592"/>
            <w:vAlign w:val="center"/>
            <w:shd w:fill="EAF1F8"/>
          </w:tcPr>
          <w:p>
            <w:r>
              <w:t>1 to 100 records</w:t>
            </w:r>
          </w:p>
        </w:tc>
        <w:tc>
          <w:tcPr>
            <w:tcW w:type="dxa" w:w="5112"/>
            <w:vAlign w:val="center"/>
            <w:shd w:fill="EAF1F8"/>
          </w:tcPr>
          <w:p>
            <w:r>
              <w:t>Bound response size and rendering work</w:t>
            </w:r>
          </w:p>
        </w:tc>
      </w:tr>
      <w:tr>
        <w:trPr>
          <w:cantSplit/>
        </w:trPr>
        <w:tc>
          <w:tcPr>
            <w:tcW w:type="dxa" w:w="2088"/>
            <w:vAlign w:val="center"/>
          </w:tcPr>
          <w:p>
            <w:r>
              <w:t>Observation</w:t>
            </w:r>
          </w:p>
        </w:tc>
        <w:tc>
          <w:tcPr>
            <w:tcW w:type="dxa" w:w="2592"/>
            <w:vAlign w:val="center"/>
          </w:tcPr>
          <w:p>
            <w:r>
              <w:t>500 characters</w:t>
            </w:r>
          </w:p>
        </w:tc>
        <w:tc>
          <w:tcPr>
            <w:tcW w:type="dxa" w:w="5112"/>
            <w:vAlign w:val="center"/>
          </w:tcPr>
          <w:p>
            <w:r>
              <w:t>Minimize explanatory content exposure</w:t>
            </w:r>
          </w:p>
        </w:tc>
      </w:tr>
      <w:tr>
        <w:trPr>
          <w:cantSplit/>
        </w:trPr>
        <w:tc>
          <w:tcPr>
            <w:tcW w:type="dxa" w:w="2088"/>
            <w:vAlign w:val="center"/>
            <w:shd w:fill="EAF1F8"/>
          </w:tcPr>
          <w:p>
            <w:r>
              <w:t>Evidence</w:t>
            </w:r>
          </w:p>
        </w:tc>
        <w:tc>
          <w:tcPr>
            <w:tcW w:type="dxa" w:w="2592"/>
            <w:vAlign w:val="center"/>
            <w:shd w:fill="EAF1F8"/>
          </w:tcPr>
          <w:p>
            <w:r>
              <w:t>Stored references</w:t>
            </w:r>
          </w:p>
        </w:tc>
        <w:tc>
          <w:tcPr>
            <w:tcW w:type="dxa" w:w="5112"/>
            <w:vAlign w:val="center"/>
            <w:shd w:fill="EAF1F8"/>
          </w:tcPr>
          <w:p>
            <w:r>
              <w:t>Preserve drill-down traceability</w:t>
            </w:r>
          </w:p>
        </w:tc>
      </w:tr>
    </w:tbl>
    <w:p/>
    <w:p>
      <w:pPr>
        <w:pStyle w:val="Heading1"/>
      </w:pPr>
      <w:r>
        <w:t>6 Test Catalogue</w:t>
      </w:r>
    </w:p>
    <w:tbl>
      <w:tblPr>
        <w:tblStyle w:val="TableGrid"/>
        <w:tblW w:type="auto" w:w="0"/>
        <w:tblLook w:firstColumn="1" w:firstRow="1" w:lastColumn="0" w:lastRow="0" w:noHBand="0" w:noVBand="1" w:val="04A0"/>
      </w:tblPr>
      <w:tblGrid>
        <w:gridCol w:w="5040"/>
        <w:gridCol w:w="5040"/>
      </w:tblGrid>
      <w:tr>
        <w:trPr>
          <w:tblHeader w:val="true"/>
        </w:trPr>
        <w:tc>
          <w:tcPr>
            <w:tcW w:type="dxa" w:w="2880"/>
            <w:vAlign w:val="center"/>
            <w:shd w:fill="1F4E78"/>
          </w:tcPr>
          <w:p>
            <w:r>
              <w:rPr>
                <w:b/>
                <w:color w:val="FFFFFF"/>
              </w:rPr>
              <w:t>Test</w:t>
            </w:r>
          </w:p>
        </w:tc>
        <w:tc>
          <w:tcPr>
            <w:tcW w:type="dxa" w:w="6912"/>
            <w:vAlign w:val="center"/>
            <w:shd w:fill="1F4E78"/>
          </w:tcPr>
          <w:p>
            <w:r>
              <w:rPr>
                <w:b/>
                <w:color w:val="FFFFFF"/>
              </w:rPr>
              <w:t>Objective</w:t>
            </w:r>
          </w:p>
        </w:tc>
      </w:tr>
      <w:tr>
        <w:trPr>
          <w:cantSplit/>
        </w:trPr>
        <w:tc>
          <w:tcPr>
            <w:tcW w:type="dxa" w:w="2880"/>
            <w:vAlign w:val="center"/>
          </w:tcPr>
          <w:p>
            <w:r>
              <w:t>KPI calculation</w:t>
            </w:r>
          </w:p>
        </w:tc>
        <w:tc>
          <w:tcPr>
            <w:tcW w:type="dxa" w:w="6912"/>
            <w:vAlign w:val="center"/>
          </w:tcPr>
          <w:p>
            <w:r>
              <w:t>Verify totals, active states, rates, averages, and deterministic rounding</w:t>
            </w:r>
          </w:p>
        </w:tc>
      </w:tr>
      <w:tr>
        <w:trPr>
          <w:cantSplit/>
        </w:trPr>
        <w:tc>
          <w:tcPr>
            <w:tcW w:type="dxa" w:w="2880"/>
            <w:vAlign w:val="center"/>
            <w:shd w:fill="EAF1F8"/>
          </w:tcPr>
          <w:p>
            <w:r>
              <w:t>Empty state</w:t>
            </w:r>
          </w:p>
        </w:tc>
        <w:tc>
          <w:tcPr>
            <w:tcW w:type="dxa" w:w="6912"/>
            <w:vAlign w:val="center"/>
            <w:shd w:fill="EAF1F8"/>
          </w:tcPr>
          <w:p>
            <w:r>
              <w:t>Prevent missing evidence from appearing as a zero-percent result</w:t>
            </w:r>
          </w:p>
        </w:tc>
      </w:tr>
      <w:tr>
        <w:trPr>
          <w:cantSplit/>
        </w:trPr>
        <w:tc>
          <w:tcPr>
            <w:tcW w:type="dxa" w:w="2880"/>
            <w:vAlign w:val="center"/>
          </w:tcPr>
          <w:p>
            <w:r>
              <w:t>Evidence mapping</w:t>
            </w:r>
          </w:p>
        </w:tc>
        <w:tc>
          <w:tcPr>
            <w:tcW w:type="dxa" w:w="6912"/>
            <w:vAlign w:val="center"/>
          </w:tcPr>
          <w:p>
            <w:r>
              <w:t>Preserve governed citations and bounded presentation fields</w:t>
            </w:r>
          </w:p>
        </w:tc>
      </w:tr>
      <w:tr>
        <w:trPr>
          <w:cantSplit/>
        </w:trPr>
        <w:tc>
          <w:tcPr>
            <w:tcW w:type="dxa" w:w="2880"/>
            <w:vAlign w:val="center"/>
            <w:shd w:fill="EAF1F8"/>
          </w:tcPr>
          <w:p>
            <w:r>
              <w:t>OpenAPI bounds</w:t>
            </w:r>
          </w:p>
        </w:tc>
        <w:tc>
          <w:tcPr>
            <w:tcW w:type="dxa" w:w="6912"/>
            <w:vAlign w:val="center"/>
            <w:shd w:fill="EAF1F8"/>
          </w:tcPr>
          <w:p>
            <w:r>
              <w:t>Publish safe defaults and maximum query limits</w:t>
            </w:r>
          </w:p>
        </w:tc>
      </w:tr>
      <w:tr>
        <w:trPr>
          <w:cantSplit/>
        </w:trPr>
        <w:tc>
          <w:tcPr>
            <w:tcW w:type="dxa" w:w="2880"/>
            <w:vAlign w:val="center"/>
          </w:tcPr>
          <w:p>
            <w:r>
              <w:t>RBAC</w:t>
            </w:r>
          </w:p>
        </w:tc>
        <w:tc>
          <w:tcPr>
            <w:tcW w:type="dxa" w:w="6912"/>
            <w:vAlign w:val="center"/>
          </w:tcPr>
          <w:p>
            <w:r>
              <w:t>Reject authenticated users without dashboard:read with HTTP 403</w:t>
            </w:r>
          </w:p>
        </w:tc>
      </w:tr>
      <w:tr>
        <w:trPr>
          <w:cantSplit/>
        </w:trPr>
        <w:tc>
          <w:tcPr>
            <w:tcW w:type="dxa" w:w="2880"/>
            <w:vAlign w:val="center"/>
            <w:shd w:fill="EAF1F8"/>
          </w:tcPr>
          <w:p>
            <w:r>
              <w:t>Integration</w:t>
            </w:r>
          </w:p>
        </w:tc>
        <w:tc>
          <w:tcPr>
            <w:tcW w:type="dxa" w:w="6912"/>
            <w:vAlign w:val="center"/>
            <w:shd w:fill="EAF1F8"/>
          </w:tcPr>
          <w:p>
            <w:r>
              <w:t>Exercise the endpoint against PostgreSQL and the deployed permission catalogue</w:t>
            </w:r>
          </w:p>
        </w:tc>
      </w:tr>
      <w:tr>
        <w:trPr>
          <w:cantSplit/>
        </w:trPr>
        <w:tc>
          <w:tcPr>
            <w:tcW w:type="dxa" w:w="2880"/>
            <w:vAlign w:val="center"/>
          </w:tcPr>
          <w:p>
            <w:r>
              <w:t>Regression</w:t>
            </w:r>
          </w:p>
        </w:tc>
        <w:tc>
          <w:tcPr>
            <w:tcW w:type="dxa" w:w="6912"/>
            <w:vAlign w:val="center"/>
          </w:tcPr>
          <w:p>
            <w:r>
              <w:t>Protect every previously delivered domain and integration contract</w:t>
            </w:r>
          </w:p>
        </w:tc>
      </w:tr>
      <w:tr>
        <w:trPr>
          <w:cantSplit/>
        </w:trPr>
        <w:tc>
          <w:tcPr>
            <w:tcW w:type="dxa" w:w="2880"/>
            <w:vAlign w:val="center"/>
            <w:shd w:fill="EAF1F8"/>
          </w:tcPr>
          <w:p>
            <w:r>
              <w:t>Static quality</w:t>
            </w:r>
          </w:p>
        </w:tc>
        <w:tc>
          <w:tcPr>
            <w:tcW w:type="dxa" w:w="6912"/>
            <w:vAlign w:val="center"/>
            <w:shd w:fill="EAF1F8"/>
          </w:tcPr>
          <w:p>
            <w:r>
              <w:t>Keep formatting and type analysis clean with Ruff and mypy</w:t>
            </w:r>
          </w:p>
        </w:tc>
      </w:tr>
      <w:tr>
        <w:trPr>
          <w:cantSplit/>
        </w:trPr>
        <w:tc>
          <w:tcPr>
            <w:tcW w:type="dxa" w:w="2880"/>
            <w:vAlign w:val="center"/>
          </w:tcPr>
          <w:p>
            <w:r>
              <w:t>UTC buckets</w:t>
            </w:r>
          </w:p>
        </w:tc>
        <w:tc>
          <w:tcPr>
            <w:tcW w:type="dxa" w:w="6912"/>
            <w:vAlign w:val="center"/>
          </w:tcPr>
          <w:p>
            <w:r>
              <w:t>Verify ordering, empty days, outcome totals, and truthful rates</w:t>
            </w:r>
          </w:p>
        </w:tc>
      </w:tr>
      <w:tr>
        <w:trPr>
          <w:cantSplit/>
        </w:trPr>
        <w:tc>
          <w:tcPr>
            <w:tcW w:type="dxa" w:w="2880"/>
            <w:vAlign w:val="center"/>
            <w:shd w:fill="EAF1F8"/>
          </w:tcPr>
          <w:p>
            <w:r>
              <w:t>Failure mapping</w:t>
            </w:r>
          </w:p>
        </w:tc>
        <w:tc>
          <w:tcPr>
            <w:tcW w:type="dxa" w:w="6912"/>
            <w:vAlign w:val="center"/>
            <w:shd w:fill="EAF1F8"/>
          </w:tcPr>
          <w:p>
            <w:r>
              <w:t>Verify pagination, filters, references, and observation truncation</w:t>
            </w:r>
          </w:p>
        </w:tc>
      </w:tr>
    </w:tbl>
    <w:p/>
    <w:p>
      <w:pPr>
        <w:pStyle w:val="Heading1"/>
      </w:pPr>
      <w:r>
        <w:t>7 Risks Decisions and Technical Debt</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1944"/>
            <w:vAlign w:val="center"/>
            <w:shd w:fill="1F4E78"/>
          </w:tcPr>
          <w:p>
            <w:r>
              <w:rPr>
                <w:b/>
                <w:color w:val="FFFFFF"/>
              </w:rPr>
              <w:t>Topic</w:t>
            </w:r>
          </w:p>
        </w:tc>
        <w:tc>
          <w:tcPr>
            <w:tcW w:type="dxa" w:w="3888"/>
            <w:vAlign w:val="center"/>
            <w:shd w:fill="1F4E78"/>
          </w:tcPr>
          <w:p>
            <w:r>
              <w:rPr>
                <w:b/>
                <w:color w:val="FFFFFF"/>
              </w:rPr>
              <w:t>Current decision</w:t>
            </w:r>
          </w:p>
        </w:tc>
        <w:tc>
          <w:tcPr>
            <w:tcW w:type="dxa" w:w="3960"/>
            <w:vAlign w:val="center"/>
            <w:shd w:fill="1F4E78"/>
          </w:tcPr>
          <w:p>
            <w:r>
              <w:rPr>
                <w:b/>
                <w:color w:val="FFFFFF"/>
              </w:rPr>
              <w:t>Future trigger</w:t>
            </w:r>
          </w:p>
        </w:tc>
      </w:tr>
      <w:tr>
        <w:trPr>
          <w:cantSplit/>
        </w:trPr>
        <w:tc>
          <w:tcPr>
            <w:tcW w:type="dxa" w:w="1944"/>
            <w:vAlign w:val="center"/>
          </w:tcPr>
          <w:p>
            <w:r>
              <w:t>Query cost</w:t>
            </w:r>
          </w:p>
        </w:tc>
        <w:tc>
          <w:tcPr>
            <w:tcW w:type="dxa" w:w="3888"/>
            <w:vAlign w:val="center"/>
          </w:tcPr>
          <w:p>
            <w:r>
              <w:t>Bound live aggregation</w:t>
            </w:r>
          </w:p>
        </w:tc>
        <w:tc>
          <w:tcPr>
            <w:tcW w:type="dxa" w:w="3960"/>
            <w:vAlign w:val="center"/>
          </w:tcPr>
          <w:p>
            <w:r>
              <w:t>Materialize only after measured latency requires it</w:t>
            </w:r>
          </w:p>
        </w:tc>
      </w:tr>
      <w:tr>
        <w:trPr>
          <w:cantSplit/>
        </w:trPr>
        <w:tc>
          <w:tcPr>
            <w:tcW w:type="dxa" w:w="1944"/>
            <w:vAlign w:val="center"/>
            <w:shd w:fill="EAF1F8"/>
          </w:tcPr>
          <w:p>
            <w:r>
              <w:t>Historical trends</w:t>
            </w:r>
          </w:p>
        </w:tc>
        <w:tc>
          <w:tcPr>
            <w:tcW w:type="dxa" w:w="3888"/>
            <w:vAlign w:val="center"/>
            <w:shd w:fill="EAF1F8"/>
          </w:tcPr>
          <w:p>
            <w:r>
              <w:t>Bounded daily buckets</w:t>
            </w:r>
          </w:p>
        </w:tc>
        <w:tc>
          <w:tcPr>
            <w:tcW w:type="dxa" w:w="3960"/>
            <w:vAlign w:val="center"/>
            <w:shd w:fill="EAF1F8"/>
          </w:tcPr>
          <w:p>
            <w:r>
              <w:t>Add comparison baselines if justified</w:t>
            </w:r>
          </w:p>
        </w:tc>
      </w:tr>
      <w:tr>
        <w:trPr>
          <w:cantSplit/>
        </w:trPr>
        <w:tc>
          <w:tcPr>
            <w:tcW w:type="dxa" w:w="1944"/>
            <w:vAlign w:val="center"/>
          </w:tcPr>
          <w:p>
            <w:r>
              <w:t>Certification</w:t>
            </w:r>
          </w:p>
        </w:tc>
        <w:tc>
          <w:tcPr>
            <w:tcW w:type="dxa" w:w="3888"/>
            <w:vAlign w:val="center"/>
          </w:tcPr>
          <w:p>
            <w:r>
              <w:t>Explicitly not inferred</w:t>
            </w:r>
          </w:p>
        </w:tc>
        <w:tc>
          <w:tcPr>
            <w:tcW w:type="dxa" w:w="3960"/>
            <w:vAlign w:val="center"/>
          </w:tcPr>
          <w:p>
            <w:r>
              <w:t>Add evidence views, not certification claims</w:t>
            </w:r>
          </w:p>
        </w:tc>
      </w:tr>
      <w:tr>
        <w:trPr>
          <w:cantSplit/>
        </w:trPr>
        <w:tc>
          <w:tcPr>
            <w:tcW w:type="dxa" w:w="1944"/>
            <w:vAlign w:val="center"/>
            <w:shd w:fill="EAF1F8"/>
          </w:tcPr>
          <w:p>
            <w:r>
              <w:t>Frontend</w:t>
            </w:r>
          </w:p>
        </w:tc>
        <w:tc>
          <w:tcPr>
            <w:tcW w:type="dxa" w:w="3888"/>
            <w:vAlign w:val="center"/>
            <w:shd w:fill="EAF1F8"/>
          </w:tcPr>
          <w:p>
            <w:r>
              <w:t>Contract first</w:t>
            </w:r>
          </w:p>
        </w:tc>
        <w:tc>
          <w:tcPr>
            <w:tcW w:type="dxa" w:w="3960"/>
            <w:vAlign w:val="center"/>
            <w:shd w:fill="EAF1F8"/>
          </w:tcPr>
          <w:p>
            <w:r>
              <w:t>Choose UI stack after stable workflows and accessibility needs</w:t>
            </w:r>
          </w:p>
        </w:tc>
      </w:tr>
      <w:tr>
        <w:trPr>
          <w:cantSplit/>
        </w:trPr>
        <w:tc>
          <w:tcPr>
            <w:tcW w:type="dxa" w:w="1944"/>
            <w:vAlign w:val="center"/>
          </w:tcPr>
          <w:p>
            <w:r>
              <w:t>Live data</w:t>
            </w:r>
          </w:p>
        </w:tc>
        <w:tc>
          <w:tcPr>
            <w:tcW w:type="dxa" w:w="3888"/>
            <w:vAlign w:val="center"/>
          </w:tcPr>
          <w:p>
            <w:r>
              <w:t>Request response only</w:t>
            </w:r>
          </w:p>
        </w:tc>
        <w:tc>
          <w:tcPr>
            <w:tcW w:type="dxa" w:w="3960"/>
            <w:vAlign w:val="center"/>
          </w:tcPr>
          <w:p>
            <w:r>
              <w:t>Add controlled streaming in a later increment</w:t>
            </w:r>
          </w:p>
        </w:tc>
      </w:tr>
    </w:tbl>
    <w:p/>
    <w:p>
      <w:pPr>
        <w:pStyle w:val="Heading1"/>
      </w:pPr>
      <w:r>
        <w:t>8 Cost and Resource Profile</w:t>
      </w:r>
    </w:p>
    <w:p>
      <w:r>
        <w:t>X-1 and X-2 reuse the local FastAPI and PostgreSQL stack. They require no AWS account, paid API, external AI provider, model download, or GPU. The automated tests use small deterministic fixtures and bounded database checks, making the increment appropriate for the current Windows and Docker development environment.</w:t>
      </w:r>
    </w:p>
    <w:p>
      <w:pPr>
        <w:pStyle w:val="Heading1"/>
      </w:pPr>
      <w:r>
        <w:t>9 Next Planned Increment</w:t>
      </w:r>
    </w:p>
    <w:p>
      <w:r>
        <w:t>X-3 will add bounded operational views for vehicles, ECUs, CAN networks, and diagnostics. Each view will reference authoritative domain records without copying operational state into the dashboard domain.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w:hAnsi="Aptos"/>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