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X Dashboard Engineering Workbook</w:t>
      </w:r>
    </w:p>
    <w:p>
      <w:pPr>
        <w:jc w:val="center"/>
      </w:pPr>
      <w:r>
        <w:rPr>
          <w:b/>
        </w:rPr>
        <w:t>Version 0.1.0  Dashboard Foundation</w:t>
      </w:r>
    </w:p>
    <w:p>
      <w:r>
        <w:t>This workbook records X-1, the first governed dashboard read model. It consolidates test execution, quality, automation, mutation, and AI evidence into a stable FastAPI contract without duplicating source data or introducing a paid service, model, or GPU.</w:t>
      </w:r>
    </w:p>
    <w:tbl>
      <w:tblPr>
        <w:tblStyle w:val="TableGrid"/>
        <w:tblW w:type="auto" w:w="0"/>
        <w:tblLook w:firstColumn="1" w:firstRow="1" w:lastColumn="0" w:lastRow="0" w:noHBand="0" w:noVBand="1" w:val="04A0"/>
      </w:tblPr>
      <w:tblGrid>
        <w:gridCol w:w="5040"/>
        <w:gridCol w:w="5040"/>
      </w:tblGrid>
      <w:tr>
        <w:trPr>
          <w:tblHeader w:val="true"/>
        </w:trPr>
        <w:tc>
          <w:tcPr>
            <w:tcW w:type="dxa" w:w="2376"/>
            <w:vAlign w:val="center"/>
            <w:shd w:fill="1F4E78"/>
          </w:tcPr>
          <w:p>
            <w:r>
              <w:rPr>
                <w:b/>
                <w:color w:val="FFFFFF"/>
              </w:rPr>
              <w:t>Field</w:t>
            </w:r>
          </w:p>
        </w:tc>
        <w:tc>
          <w:tcPr>
            <w:tcW w:type="dxa" w:w="7416"/>
            <w:vAlign w:val="center"/>
            <w:shd w:fill="1F4E78"/>
          </w:tcPr>
          <w:p>
            <w:r>
              <w:rPr>
                <w:b/>
                <w:color w:val="FFFFFF"/>
              </w:rPr>
              <w:t>Value</w:t>
            </w:r>
          </w:p>
        </w:tc>
      </w:tr>
      <w:tr>
        <w:trPr>
          <w:cantSplit/>
        </w:trPr>
        <w:tc>
          <w:tcPr>
            <w:tcW w:type="dxa" w:w="2376"/>
            <w:vAlign w:val="center"/>
          </w:tcPr>
          <w:p>
            <w:r>
              <w:t>Status</w:t>
            </w:r>
          </w:p>
        </w:tc>
        <w:tc>
          <w:tcPr>
            <w:tcW w:type="dxa" w:w="7416"/>
            <w:vAlign w:val="center"/>
          </w:tcPr>
          <w:p>
            <w:r>
              <w:t>X-1 complete</w:t>
            </w:r>
          </w:p>
        </w:tc>
      </w:tr>
      <w:tr>
        <w:trPr>
          <w:cantSplit/>
        </w:trPr>
        <w:tc>
          <w:tcPr>
            <w:tcW w:type="dxa" w:w="2376"/>
            <w:vAlign w:val="center"/>
            <w:shd w:fill="EAF1F8"/>
          </w:tcPr>
          <w:p>
            <w:r>
              <w:t>Contract</w:t>
            </w:r>
          </w:p>
        </w:tc>
        <w:tc>
          <w:tcPr>
            <w:tcW w:type="dxa" w:w="7416"/>
            <w:vAlign w:val="center"/>
            <w:shd w:fill="EAF1F8"/>
          </w:tcPr>
          <w:p>
            <w:r>
              <w:t>dashboard-overview-v1</w:t>
            </w:r>
          </w:p>
        </w:tc>
      </w:tr>
      <w:tr>
        <w:trPr>
          <w:cantSplit/>
        </w:trPr>
        <w:tc>
          <w:tcPr>
            <w:tcW w:type="dxa" w:w="2376"/>
            <w:vAlign w:val="center"/>
          </w:tcPr>
          <w:p>
            <w:r>
              <w:t>Endpoint</w:t>
            </w:r>
          </w:p>
        </w:tc>
        <w:tc>
          <w:tcPr>
            <w:tcW w:type="dxa" w:w="7416"/>
            <w:vAlign w:val="center"/>
          </w:tcPr>
          <w:p>
            <w:r>
              <w:t>GET /api/v1/dashboard/overview</w:t>
            </w:r>
          </w:p>
        </w:tc>
      </w:tr>
      <w:tr>
        <w:trPr>
          <w:cantSplit/>
        </w:trPr>
        <w:tc>
          <w:tcPr>
            <w:tcW w:type="dxa" w:w="2376"/>
            <w:vAlign w:val="center"/>
            <w:shd w:fill="EAF1F8"/>
          </w:tcPr>
          <w:p>
            <w:r>
              <w:t>Authorization</w:t>
            </w:r>
          </w:p>
        </w:tc>
        <w:tc>
          <w:tcPr>
            <w:tcW w:type="dxa" w:w="7416"/>
            <w:vAlign w:val="center"/>
            <w:shd w:fill="EAF1F8"/>
          </w:tcPr>
          <w:p>
            <w:r>
              <w:t>dashboard:read</w:t>
            </w:r>
          </w:p>
        </w:tc>
      </w:tr>
      <w:tr>
        <w:trPr>
          <w:cantSplit/>
        </w:trPr>
        <w:tc>
          <w:tcPr>
            <w:tcW w:type="dxa" w:w="2376"/>
            <w:vAlign w:val="center"/>
          </w:tcPr>
          <w:p>
            <w:r>
              <w:t>Next</w:t>
            </w:r>
          </w:p>
        </w:tc>
        <w:tc>
          <w:tcPr>
            <w:tcW w:type="dxa" w:w="7416"/>
            <w:vAlign w:val="center"/>
          </w:tcPr>
          <w:p>
            <w:r>
              <w:t>X-2 test quality trends and failure drill-down</w:t>
            </w:r>
          </w:p>
        </w:tc>
      </w:tr>
    </w:tbl>
    <w:p/>
    <w:p>
      <w:pPr>
        <w:pStyle w:val="Heading1"/>
      </w:pPr>
      <w:r>
        <w:t>1 Scope and Architecture</w:t>
      </w:r>
    </w:p>
    <w:p>
      <w:r>
        <w:t>The dashboard service is a read-only projection over authoritative ATEP tables. FastAPI validates bounded query parameters, SQLAlchemy executes aggregate queries in PostgreSQL, and Pydantic publishes a deterministic client contract. No dashboard table, event, audit mutation, or frontend framework is required for X-1.</w:t>
      </w:r>
    </w:p>
    <w:tbl>
      <w:tblPr>
        <w:tblStyle w:val="TableGrid"/>
        <w:tblW w:type="auto" w:w="0"/>
        <w:tblLook w:firstColumn="1" w:firstRow="1" w:lastColumn="0" w:lastRow="0" w:noHBand="0" w:noVBand="1" w:val="04A0"/>
      </w:tblPr>
      <w:tblGrid>
        <w:gridCol w:w="5040"/>
        <w:gridCol w:w="5040"/>
      </w:tblGrid>
      <w:tr>
        <w:trPr>
          <w:tblHeader w:val="true"/>
        </w:trPr>
        <w:tc>
          <w:tcPr>
            <w:tcW w:type="dxa" w:w="2304"/>
            <w:vAlign w:val="center"/>
            <w:shd w:fill="1F4E78"/>
          </w:tcPr>
          <w:p>
            <w:r>
              <w:rPr>
                <w:b/>
                <w:color w:val="FFFFFF"/>
              </w:rPr>
              <w:t>Layer</w:t>
            </w:r>
          </w:p>
        </w:tc>
        <w:tc>
          <w:tcPr>
            <w:tcW w:type="dxa" w:w="7488"/>
            <w:vAlign w:val="center"/>
            <w:shd w:fill="1F4E78"/>
          </w:tcPr>
          <w:p>
            <w:r>
              <w:rPr>
                <w:b/>
                <w:color w:val="FFFFFF"/>
              </w:rPr>
              <w:t>Responsibility</w:t>
            </w:r>
          </w:p>
        </w:tc>
      </w:tr>
      <w:tr>
        <w:trPr>
          <w:cantSplit/>
        </w:trPr>
        <w:tc>
          <w:tcPr>
            <w:tcW w:type="dxa" w:w="2304"/>
            <w:vAlign w:val="center"/>
          </w:tcPr>
          <w:p>
            <w:r>
              <w:t>API</w:t>
            </w:r>
          </w:p>
        </w:tc>
        <w:tc>
          <w:tcPr>
            <w:tcW w:type="dxa" w:w="7488"/>
            <w:vAlign w:val="center"/>
          </w:tcPr>
          <w:p>
            <w:r>
              <w:t>Authentication, dashboard RBAC, window limits, and response contract</w:t>
            </w:r>
          </w:p>
        </w:tc>
      </w:tr>
      <w:tr>
        <w:trPr>
          <w:cantSplit/>
        </w:trPr>
        <w:tc>
          <w:tcPr>
            <w:tcW w:type="dxa" w:w="2304"/>
            <w:vAlign w:val="center"/>
            <w:shd w:fill="EAF1F8"/>
          </w:tcPr>
          <w:p>
            <w:r>
              <w:t>Read service</w:t>
            </w:r>
          </w:p>
        </w:tc>
        <w:tc>
          <w:tcPr>
            <w:tcW w:type="dxa" w:w="7488"/>
            <w:vAlign w:val="center"/>
            <w:shd w:fill="EAF1F8"/>
          </w:tcPr>
          <w:p>
            <w:r>
              <w:t>Aggregate counts, percentages, score averages, and recent cards</w:t>
            </w:r>
          </w:p>
        </w:tc>
      </w:tr>
      <w:tr>
        <w:trPr>
          <w:cantSplit/>
        </w:trPr>
        <w:tc>
          <w:tcPr>
            <w:tcW w:type="dxa" w:w="2304"/>
            <w:vAlign w:val="center"/>
          </w:tcPr>
          <w:p>
            <w:r>
              <w:t>Source domains</w:t>
            </w:r>
          </w:p>
        </w:tc>
        <w:tc>
          <w:tcPr>
            <w:tcW w:type="dxa" w:w="7488"/>
            <w:vAlign w:val="center"/>
          </w:tcPr>
          <w:p>
            <w:r>
              <w:t>Remain authoritative for tests, quality, automation, and AI evidence</w:t>
            </w:r>
          </w:p>
        </w:tc>
      </w:tr>
      <w:tr>
        <w:trPr>
          <w:cantSplit/>
        </w:trPr>
        <w:tc>
          <w:tcPr>
            <w:tcW w:type="dxa" w:w="2304"/>
            <w:vAlign w:val="center"/>
            <w:shd w:fill="EAF1F8"/>
          </w:tcPr>
          <w:p>
            <w:r>
              <w:t>Client contract</w:t>
            </w:r>
          </w:p>
        </w:tc>
        <w:tc>
          <w:tcPr>
            <w:tcW w:type="dxa" w:w="7488"/>
            <w:vAlign w:val="center"/>
            <w:shd w:fill="EAF1F8"/>
          </w:tcPr>
          <w:p>
            <w:r>
              <w:t>Supply KPI, chart, heatmap, and evidence-list data</w:t>
            </w:r>
          </w:p>
        </w:tc>
      </w:tr>
    </w:tbl>
    <w:p/>
    <w:p>
      <w:pPr>
        <w:pStyle w:val="Heading1"/>
      </w:pPr>
      <w:r>
        <w:t>2 Contract and KPI Semantics</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1944"/>
            <w:vAlign w:val="center"/>
            <w:shd w:fill="1F4E78"/>
          </w:tcPr>
          <w:p>
            <w:r>
              <w:rPr>
                <w:b/>
                <w:color w:val="FFFFFF"/>
              </w:rPr>
              <w:t>Area</w:t>
            </w:r>
          </w:p>
        </w:tc>
        <w:tc>
          <w:tcPr>
            <w:tcW w:type="dxa" w:w="5040"/>
            <w:vAlign w:val="center"/>
            <w:shd w:fill="1F4E78"/>
          </w:tcPr>
          <w:p>
            <w:r>
              <w:rPr>
                <w:b/>
                <w:color w:val="FFFFFF"/>
              </w:rPr>
              <w:t>Measures</w:t>
            </w:r>
          </w:p>
        </w:tc>
        <w:tc>
          <w:tcPr>
            <w:tcW w:type="dxa" w:w="2808"/>
            <w:vAlign w:val="center"/>
            <w:shd w:fill="1F4E78"/>
          </w:tcPr>
          <w:p>
            <w:r>
              <w:rPr>
                <w:b/>
                <w:color w:val="FFFFFF"/>
              </w:rPr>
              <w:t>Time semantics</w:t>
            </w:r>
          </w:p>
        </w:tc>
      </w:tr>
      <w:tr>
        <w:trPr>
          <w:cantSplit/>
        </w:trPr>
        <w:tc>
          <w:tcPr>
            <w:tcW w:type="dxa" w:w="1944"/>
            <w:vAlign w:val="center"/>
          </w:tcPr>
          <w:p>
            <w:r>
              <w:t>Test execution</w:t>
            </w:r>
          </w:p>
        </w:tc>
        <w:tc>
          <w:tcPr>
            <w:tcW w:type="dxa" w:w="5040"/>
            <w:vAlign w:val="center"/>
          </w:tcPr>
          <w:p>
            <w:r>
              <w:t>Runs, active runs, case totals, passed, failed, pass rate</w:t>
            </w:r>
          </w:p>
        </w:tc>
        <w:tc>
          <w:tcPr>
            <w:tcW w:type="dxa" w:w="2808"/>
            <w:vAlign w:val="center"/>
          </w:tcPr>
          <w:p>
            <w:r>
              <w:t>Selected window</w:t>
            </w:r>
          </w:p>
        </w:tc>
      </w:tr>
      <w:tr>
        <w:trPr>
          <w:cantSplit/>
        </w:trPr>
        <w:tc>
          <w:tcPr>
            <w:tcW w:type="dxa" w:w="1944"/>
            <w:vAlign w:val="center"/>
            <w:shd w:fill="EAF1F8"/>
          </w:tcPr>
          <w:p>
            <w:r>
              <w:t>Requirements</w:t>
            </w:r>
          </w:p>
        </w:tc>
        <w:tc>
          <w:tcPr>
            <w:tcW w:type="dxa" w:w="5040"/>
            <w:vAlign w:val="center"/>
            <w:shd w:fill="EAF1F8"/>
          </w:tcPr>
          <w:p>
            <w:r>
              <w:t>Total, covered, coverage rate, status distribution</w:t>
            </w:r>
          </w:p>
        </w:tc>
        <w:tc>
          <w:tcPr>
            <w:tcW w:type="dxa" w:w="2808"/>
            <w:vAlign w:val="center"/>
            <w:shd w:fill="EAF1F8"/>
          </w:tcPr>
          <w:p>
            <w:r>
              <w:t>Current snapshot</w:t>
            </w:r>
          </w:p>
        </w:tc>
      </w:tr>
      <w:tr>
        <w:trPr>
          <w:cantSplit/>
        </w:trPr>
        <w:tc>
          <w:tcPr>
            <w:tcW w:type="dxa" w:w="1944"/>
            <w:vAlign w:val="center"/>
          </w:tcPr>
          <w:p>
            <w:r>
              <w:t>Mutation</w:t>
            </w:r>
          </w:p>
        </w:tc>
        <w:tc>
          <w:tcPr>
            <w:tcW w:type="dxa" w:w="5040"/>
            <w:vAlign w:val="center"/>
          </w:tcPr>
          <w:p>
            <w:r>
              <w:t>Execution count and average mutation score</w:t>
            </w:r>
          </w:p>
        </w:tc>
        <w:tc>
          <w:tcPr>
            <w:tcW w:type="dxa" w:w="2808"/>
            <w:vAlign w:val="center"/>
          </w:tcPr>
          <w:p>
            <w:r>
              <w:t>Selected window</w:t>
            </w:r>
          </w:p>
        </w:tc>
      </w:tr>
      <w:tr>
        <w:trPr>
          <w:cantSplit/>
        </w:trPr>
        <w:tc>
          <w:tcPr>
            <w:tcW w:type="dxa" w:w="1944"/>
            <w:vAlign w:val="center"/>
            <w:shd w:fill="EAF1F8"/>
          </w:tcPr>
          <w:p>
            <w:r>
              <w:t>Automation</w:t>
            </w:r>
          </w:p>
        </w:tc>
        <w:tc>
          <w:tcPr>
            <w:tcW w:type="dxa" w:w="5040"/>
            <w:vAlign w:val="center"/>
            <w:shd w:fill="EAF1F8"/>
          </w:tcPr>
          <w:p>
            <w:r>
              <w:t>Report count and outcome distribution</w:t>
            </w:r>
          </w:p>
        </w:tc>
        <w:tc>
          <w:tcPr>
            <w:tcW w:type="dxa" w:w="2808"/>
            <w:vAlign w:val="center"/>
            <w:shd w:fill="EAF1F8"/>
          </w:tcPr>
          <w:p>
            <w:r>
              <w:t>Selected window</w:t>
            </w:r>
          </w:p>
        </w:tc>
      </w:tr>
      <w:tr>
        <w:trPr>
          <w:cantSplit/>
        </w:trPr>
        <w:tc>
          <w:tcPr>
            <w:tcW w:type="dxa" w:w="1944"/>
            <w:vAlign w:val="center"/>
          </w:tcPr>
          <w:p>
            <w:r>
              <w:t>AI evidence</w:t>
            </w:r>
          </w:p>
        </w:tc>
        <w:tc>
          <w:tcPr>
            <w:tcW w:type="dxa" w:w="5040"/>
            <w:vAlign w:val="center"/>
          </w:tcPr>
          <w:p>
            <w:r>
              <w:t>Dashboard projection count, severity, and recent cited cards</w:t>
            </w:r>
          </w:p>
        </w:tc>
        <w:tc>
          <w:tcPr>
            <w:tcW w:type="dxa" w:w="2808"/>
            <w:vAlign w:val="center"/>
          </w:tcPr>
          <w:p>
            <w:r>
              <w:t>Selected window</w:t>
            </w:r>
          </w:p>
        </w:tc>
      </w:tr>
    </w:tbl>
    <w:p/>
    <w:p>
      <w:r>
        <w:t>Undefined rates are returned as null when no denominator exists. Counts and distributions are sorted deterministically; mutation scores and percentages are rounded to two decimals.</w:t>
      </w:r>
    </w:p>
    <w:p>
      <w:pPr>
        <w:pStyle w:val="Heading1"/>
      </w:pPr>
      <w:r>
        <w:t>3 Security Privacy and Bounds</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1944"/>
            <w:vAlign w:val="center"/>
            <w:shd w:fill="1F4E78"/>
          </w:tcPr>
          <w:p>
            <w:r>
              <w:rPr>
                <w:b/>
                <w:color w:val="FFFFFF"/>
              </w:rPr>
              <w:t>Control</w:t>
            </w:r>
          </w:p>
        </w:tc>
        <w:tc>
          <w:tcPr>
            <w:tcW w:type="dxa" w:w="3240"/>
            <w:vAlign w:val="center"/>
            <w:shd w:fill="1F4E78"/>
          </w:tcPr>
          <w:p>
            <w:r>
              <w:rPr>
                <w:b/>
                <w:color w:val="FFFFFF"/>
              </w:rPr>
              <w:t>Rule</w:t>
            </w:r>
          </w:p>
        </w:tc>
        <w:tc>
          <w:tcPr>
            <w:tcW w:type="dxa" w:w="4608"/>
            <w:vAlign w:val="center"/>
            <w:shd w:fill="1F4E78"/>
          </w:tcPr>
          <w:p>
            <w:r>
              <w:rPr>
                <w:b/>
                <w:color w:val="FFFFFF"/>
              </w:rPr>
              <w:t>Purpose</w:t>
            </w:r>
          </w:p>
        </w:tc>
      </w:tr>
      <w:tr>
        <w:trPr>
          <w:cantSplit/>
        </w:trPr>
        <w:tc>
          <w:tcPr>
            <w:tcW w:type="dxa" w:w="1944"/>
            <w:vAlign w:val="center"/>
          </w:tcPr>
          <w:p>
            <w:r>
              <w:t>RBAC</w:t>
            </w:r>
          </w:p>
        </w:tc>
        <w:tc>
          <w:tcPr>
            <w:tcW w:type="dxa" w:w="3240"/>
            <w:vAlign w:val="center"/>
          </w:tcPr>
          <w:p>
            <w:r>
              <w:t>dashboard:read</w:t>
            </w:r>
          </w:p>
        </w:tc>
        <w:tc>
          <w:tcPr>
            <w:tcW w:type="dxa" w:w="4608"/>
            <w:vAlign w:val="center"/>
          </w:tcPr>
          <w:p>
            <w:r>
              <w:t>Separate dashboard visibility from source management</w:t>
            </w:r>
          </w:p>
        </w:tc>
      </w:tr>
      <w:tr>
        <w:trPr>
          <w:cantSplit/>
        </w:trPr>
        <w:tc>
          <w:tcPr>
            <w:tcW w:type="dxa" w:w="1944"/>
            <w:vAlign w:val="center"/>
            <w:shd w:fill="EAF1F8"/>
          </w:tcPr>
          <w:p>
            <w:r>
              <w:t>Window</w:t>
            </w:r>
          </w:p>
        </w:tc>
        <w:tc>
          <w:tcPr>
            <w:tcW w:type="dxa" w:w="3240"/>
            <w:vAlign w:val="center"/>
            <w:shd w:fill="EAF1F8"/>
          </w:tcPr>
          <w:p>
            <w:r>
              <w:t>1 to 720 hours</w:t>
            </w:r>
          </w:p>
        </w:tc>
        <w:tc>
          <w:tcPr>
            <w:tcW w:type="dxa" w:w="4608"/>
            <w:vAlign w:val="center"/>
            <w:shd w:fill="EAF1F8"/>
          </w:tcPr>
          <w:p>
            <w:r>
              <w:t>Bound database work and interpretation range</w:t>
            </w:r>
          </w:p>
        </w:tc>
      </w:tr>
      <w:tr>
        <w:trPr>
          <w:cantSplit/>
        </w:trPr>
        <w:tc>
          <w:tcPr>
            <w:tcW w:type="dxa" w:w="1944"/>
            <w:vAlign w:val="center"/>
          </w:tcPr>
          <w:p>
            <w:r>
              <w:t>Evidence</w:t>
            </w:r>
          </w:p>
        </w:tc>
        <w:tc>
          <w:tcPr>
            <w:tcW w:type="dxa" w:w="3240"/>
            <w:vAlign w:val="center"/>
          </w:tcPr>
          <w:p>
            <w:r>
              <w:t>1 to 50 cards</w:t>
            </w:r>
          </w:p>
        </w:tc>
        <w:tc>
          <w:tcPr>
            <w:tcW w:type="dxa" w:w="4608"/>
            <w:vAlign w:val="center"/>
          </w:tcPr>
          <w:p>
            <w:r>
              <w:t>Bound payload, memory, and explanatory content</w:t>
            </w:r>
          </w:p>
        </w:tc>
      </w:tr>
      <w:tr>
        <w:trPr>
          <w:cantSplit/>
        </w:trPr>
        <w:tc>
          <w:tcPr>
            <w:tcW w:type="dxa" w:w="1944"/>
            <w:vAlign w:val="center"/>
            <w:shd w:fill="EAF1F8"/>
          </w:tcPr>
          <w:p>
            <w:r>
              <w:t>Minimization</w:t>
            </w:r>
          </w:p>
        </w:tc>
        <w:tc>
          <w:tcPr>
            <w:tcW w:type="dxa" w:w="3240"/>
            <w:vAlign w:val="center"/>
            <w:shd w:fill="EAF1F8"/>
          </w:tcPr>
          <w:p>
            <w:r>
              <w:t>Governed projection fields only</w:t>
            </w:r>
          </w:p>
        </w:tc>
        <w:tc>
          <w:tcPr>
            <w:tcW w:type="dxa" w:w="4608"/>
            <w:vAlign w:val="center"/>
            <w:shd w:fill="EAF1F8"/>
          </w:tcPr>
          <w:p>
            <w:r>
              <w:t>Exclude prompts, raw logs, and context</w:t>
            </w:r>
          </w:p>
        </w:tc>
      </w:tr>
      <w:tr>
        <w:trPr>
          <w:cantSplit/>
        </w:trPr>
        <w:tc>
          <w:tcPr>
            <w:tcW w:type="dxa" w:w="1944"/>
            <w:vAlign w:val="center"/>
          </w:tcPr>
          <w:p>
            <w:r>
              <w:t>Authority</w:t>
            </w:r>
          </w:p>
        </w:tc>
        <w:tc>
          <w:tcPr>
            <w:tcW w:type="dxa" w:w="3240"/>
            <w:vAlign w:val="center"/>
          </w:tcPr>
          <w:p>
            <w:r>
              <w:t>Read only</w:t>
            </w:r>
          </w:p>
        </w:tc>
        <w:tc>
          <w:tcPr>
            <w:tcW w:type="dxa" w:w="4608"/>
            <w:vAlign w:val="center"/>
          </w:tcPr>
          <w:p>
            <w:r>
              <w:t>Prevent dashboard requests from changing operations</w:t>
            </w:r>
          </w:p>
        </w:tc>
      </w:tr>
    </w:tbl>
    <w:p/>
    <w:p>
      <w:pPr>
        <w:pStyle w:val="Heading1"/>
      </w:pPr>
      <w:r>
        <w:t>4 Requirements Traceability</w:t>
      </w:r>
    </w:p>
    <w:tbl>
      <w:tblPr>
        <w:tblStyle w:val="TableGrid"/>
        <w:tblW w:type="auto" w:w="0"/>
        <w:tblLook w:firstColumn="1" w:firstRow="1" w:lastColumn="0" w:lastRow="0" w:noHBand="0" w:noVBand="1" w:val="04A0"/>
      </w:tblPr>
      <w:tblGrid>
        <w:gridCol w:w="5040"/>
        <w:gridCol w:w="5040"/>
      </w:tblGrid>
      <w:tr>
        <w:trPr>
          <w:tblHeader w:val="true"/>
        </w:trPr>
        <w:tc>
          <w:tcPr>
            <w:tcW w:type="dxa" w:w="2880"/>
            <w:vAlign w:val="center"/>
            <w:shd w:fill="1F4E78"/>
          </w:tcPr>
          <w:p>
            <w:r>
              <w:rPr>
                <w:b/>
                <w:color w:val="FFFFFF"/>
              </w:rPr>
              <w:t>Requirement group</w:t>
            </w:r>
          </w:p>
        </w:tc>
        <w:tc>
          <w:tcPr>
            <w:tcW w:type="dxa" w:w="6912"/>
            <w:vAlign w:val="center"/>
            <w:shd w:fill="1F4E78"/>
          </w:tcPr>
          <w:p>
            <w:r>
              <w:rPr>
                <w:b/>
                <w:color w:val="FFFFFF"/>
              </w:rPr>
              <w:t>Implemented evidence</w:t>
            </w:r>
          </w:p>
        </w:tc>
      </w:tr>
      <w:tr>
        <w:trPr>
          <w:cantSplit/>
        </w:trPr>
        <w:tc>
          <w:tcPr>
            <w:tcW w:type="dxa" w:w="2880"/>
            <w:vAlign w:val="center"/>
          </w:tcPr>
          <w:p>
            <w:r>
              <w:t>DASH-F-001 to 003</w:t>
            </w:r>
          </w:p>
        </w:tc>
        <w:tc>
          <w:tcPr>
            <w:tcW w:type="dxa" w:w="6912"/>
            <w:vAlign w:val="center"/>
          </w:tcPr>
          <w:p>
            <w:r>
              <w:t>Authenticated endpoint, execution aggregation, and safe pass rate</w:t>
            </w:r>
          </w:p>
        </w:tc>
      </w:tr>
      <w:tr>
        <w:trPr>
          <w:cantSplit/>
        </w:trPr>
        <w:tc>
          <w:tcPr>
            <w:tcW w:type="dxa" w:w="2880"/>
            <w:vAlign w:val="center"/>
            <w:shd w:fill="EAF1F8"/>
          </w:tcPr>
          <w:p>
            <w:r>
              <w:t>DASH-F-004 to 006</w:t>
            </w:r>
          </w:p>
        </w:tc>
        <w:tc>
          <w:tcPr>
            <w:tcW w:type="dxa" w:w="6912"/>
            <w:vAlign w:val="center"/>
            <w:shd w:fill="EAF1F8"/>
          </w:tcPr>
          <w:p>
            <w:r>
              <w:t>Coverage, quality sources, and cited minimized AI cards</w:t>
            </w:r>
          </w:p>
        </w:tc>
      </w:tr>
      <w:tr>
        <w:trPr>
          <w:cantSplit/>
        </w:trPr>
        <w:tc>
          <w:tcPr>
            <w:tcW w:type="dxa" w:w="2880"/>
            <w:vAlign w:val="center"/>
          </w:tcPr>
          <w:p>
            <w:r>
              <w:t>DASH-NF-001 to 003</w:t>
            </w:r>
          </w:p>
        </w:tc>
        <w:tc>
          <w:tcPr>
            <w:tcW w:type="dxa" w:w="6912"/>
            <w:vAlign w:val="center"/>
          </w:tcPr>
          <w:p>
            <w:r>
              <w:t>Dedicated permission and strict window and payload limits</w:t>
            </w:r>
          </w:p>
        </w:tc>
      </w:tr>
      <w:tr>
        <w:trPr>
          <w:cantSplit/>
        </w:trPr>
        <w:tc>
          <w:tcPr>
            <w:tcW w:type="dxa" w:w="2880"/>
            <w:vAlign w:val="center"/>
            <w:shd w:fill="EAF1F8"/>
          </w:tcPr>
          <w:p>
            <w:r>
              <w:t>DASH-NF-004 to 006</w:t>
            </w:r>
          </w:p>
        </w:tc>
        <w:tc>
          <w:tcPr>
            <w:tcW w:type="dxa" w:w="6912"/>
            <w:vAlign w:val="center"/>
            <w:shd w:fill="EAF1F8"/>
          </w:tcPr>
          <w:p>
            <w:r>
              <w:t>Read-only design, deterministic output, and local resource profile</w:t>
            </w:r>
          </w:p>
        </w:tc>
      </w:tr>
    </w:tbl>
    <w:p/>
    <w:p>
      <w:pPr>
        <w:pStyle w:val="Heading1"/>
      </w:pPr>
      <w:r>
        <w:t>5 Test Catalogue</w:t>
      </w:r>
    </w:p>
    <w:tbl>
      <w:tblPr>
        <w:tblStyle w:val="TableGrid"/>
        <w:tblW w:type="auto" w:w="0"/>
        <w:tblLook w:firstColumn="1" w:firstRow="1" w:lastColumn="0" w:lastRow="0" w:noHBand="0" w:noVBand="1" w:val="04A0"/>
      </w:tblPr>
      <w:tblGrid>
        <w:gridCol w:w="5040"/>
        <w:gridCol w:w="5040"/>
      </w:tblGrid>
      <w:tr>
        <w:trPr>
          <w:tblHeader w:val="true"/>
        </w:trPr>
        <w:tc>
          <w:tcPr>
            <w:tcW w:type="dxa" w:w="2880"/>
            <w:vAlign w:val="center"/>
            <w:shd w:fill="1F4E78"/>
          </w:tcPr>
          <w:p>
            <w:r>
              <w:rPr>
                <w:b/>
                <w:color w:val="FFFFFF"/>
              </w:rPr>
              <w:t>Test</w:t>
            </w:r>
          </w:p>
        </w:tc>
        <w:tc>
          <w:tcPr>
            <w:tcW w:type="dxa" w:w="6912"/>
            <w:vAlign w:val="center"/>
            <w:shd w:fill="1F4E78"/>
          </w:tcPr>
          <w:p>
            <w:r>
              <w:rPr>
                <w:b/>
                <w:color w:val="FFFFFF"/>
              </w:rPr>
              <w:t>Objective</w:t>
            </w:r>
          </w:p>
        </w:tc>
      </w:tr>
      <w:tr>
        <w:trPr>
          <w:cantSplit/>
        </w:trPr>
        <w:tc>
          <w:tcPr>
            <w:tcW w:type="dxa" w:w="2880"/>
            <w:vAlign w:val="center"/>
          </w:tcPr>
          <w:p>
            <w:r>
              <w:t>KPI calculation</w:t>
            </w:r>
          </w:p>
        </w:tc>
        <w:tc>
          <w:tcPr>
            <w:tcW w:type="dxa" w:w="6912"/>
            <w:vAlign w:val="center"/>
          </w:tcPr>
          <w:p>
            <w:r>
              <w:t>Verify totals, active states, rates, averages, and deterministic rounding</w:t>
            </w:r>
          </w:p>
        </w:tc>
      </w:tr>
      <w:tr>
        <w:trPr>
          <w:cantSplit/>
        </w:trPr>
        <w:tc>
          <w:tcPr>
            <w:tcW w:type="dxa" w:w="2880"/>
            <w:vAlign w:val="center"/>
            <w:shd w:fill="EAF1F8"/>
          </w:tcPr>
          <w:p>
            <w:r>
              <w:t>Empty state</w:t>
            </w:r>
          </w:p>
        </w:tc>
        <w:tc>
          <w:tcPr>
            <w:tcW w:type="dxa" w:w="6912"/>
            <w:vAlign w:val="center"/>
            <w:shd w:fill="EAF1F8"/>
          </w:tcPr>
          <w:p>
            <w:r>
              <w:t>Prevent missing evidence from appearing as a zero-percent result</w:t>
            </w:r>
          </w:p>
        </w:tc>
      </w:tr>
      <w:tr>
        <w:trPr>
          <w:cantSplit/>
        </w:trPr>
        <w:tc>
          <w:tcPr>
            <w:tcW w:type="dxa" w:w="2880"/>
            <w:vAlign w:val="center"/>
          </w:tcPr>
          <w:p>
            <w:r>
              <w:t>Evidence mapping</w:t>
            </w:r>
          </w:p>
        </w:tc>
        <w:tc>
          <w:tcPr>
            <w:tcW w:type="dxa" w:w="6912"/>
            <w:vAlign w:val="center"/>
          </w:tcPr>
          <w:p>
            <w:r>
              <w:t>Preserve governed citations and bounded presentation fields</w:t>
            </w:r>
          </w:p>
        </w:tc>
      </w:tr>
      <w:tr>
        <w:trPr>
          <w:cantSplit/>
        </w:trPr>
        <w:tc>
          <w:tcPr>
            <w:tcW w:type="dxa" w:w="2880"/>
            <w:vAlign w:val="center"/>
            <w:shd w:fill="EAF1F8"/>
          </w:tcPr>
          <w:p>
            <w:r>
              <w:t>OpenAPI bounds</w:t>
            </w:r>
          </w:p>
        </w:tc>
        <w:tc>
          <w:tcPr>
            <w:tcW w:type="dxa" w:w="6912"/>
            <w:vAlign w:val="center"/>
            <w:shd w:fill="EAF1F8"/>
          </w:tcPr>
          <w:p>
            <w:r>
              <w:t>Publish safe defaults and maximum query limits</w:t>
            </w:r>
          </w:p>
        </w:tc>
      </w:tr>
      <w:tr>
        <w:trPr>
          <w:cantSplit/>
        </w:trPr>
        <w:tc>
          <w:tcPr>
            <w:tcW w:type="dxa" w:w="2880"/>
            <w:vAlign w:val="center"/>
          </w:tcPr>
          <w:p>
            <w:r>
              <w:t>RBAC</w:t>
            </w:r>
          </w:p>
        </w:tc>
        <w:tc>
          <w:tcPr>
            <w:tcW w:type="dxa" w:w="6912"/>
            <w:vAlign w:val="center"/>
          </w:tcPr>
          <w:p>
            <w:r>
              <w:t>Reject authenticated users without dashboard:read with HTTP 403</w:t>
            </w:r>
          </w:p>
        </w:tc>
      </w:tr>
      <w:tr>
        <w:trPr>
          <w:cantSplit/>
        </w:trPr>
        <w:tc>
          <w:tcPr>
            <w:tcW w:type="dxa" w:w="2880"/>
            <w:vAlign w:val="center"/>
            <w:shd w:fill="EAF1F8"/>
          </w:tcPr>
          <w:p>
            <w:r>
              <w:t>Integration</w:t>
            </w:r>
          </w:p>
        </w:tc>
        <w:tc>
          <w:tcPr>
            <w:tcW w:type="dxa" w:w="6912"/>
            <w:vAlign w:val="center"/>
            <w:shd w:fill="EAF1F8"/>
          </w:tcPr>
          <w:p>
            <w:r>
              <w:t>Exercise the endpoint against PostgreSQL and the deployed permission catalogue</w:t>
            </w:r>
          </w:p>
        </w:tc>
      </w:tr>
      <w:tr>
        <w:trPr>
          <w:cantSplit/>
        </w:trPr>
        <w:tc>
          <w:tcPr>
            <w:tcW w:type="dxa" w:w="2880"/>
            <w:vAlign w:val="center"/>
          </w:tcPr>
          <w:p>
            <w:r>
              <w:t>Regression</w:t>
            </w:r>
          </w:p>
        </w:tc>
        <w:tc>
          <w:tcPr>
            <w:tcW w:type="dxa" w:w="6912"/>
            <w:vAlign w:val="center"/>
          </w:tcPr>
          <w:p>
            <w:r>
              <w:t>Protect every previously delivered domain and integration contract</w:t>
            </w:r>
          </w:p>
        </w:tc>
      </w:tr>
      <w:tr>
        <w:trPr>
          <w:cantSplit/>
        </w:trPr>
        <w:tc>
          <w:tcPr>
            <w:tcW w:type="dxa" w:w="2880"/>
            <w:vAlign w:val="center"/>
            <w:shd w:fill="EAF1F8"/>
          </w:tcPr>
          <w:p>
            <w:r>
              <w:t>Static quality</w:t>
            </w:r>
          </w:p>
        </w:tc>
        <w:tc>
          <w:tcPr>
            <w:tcW w:type="dxa" w:w="6912"/>
            <w:vAlign w:val="center"/>
            <w:shd w:fill="EAF1F8"/>
          </w:tcPr>
          <w:p>
            <w:r>
              <w:t>Keep formatting and type analysis clean with Ruff and mypy</w:t>
            </w:r>
          </w:p>
        </w:tc>
      </w:tr>
    </w:tbl>
    <w:p/>
    <w:p>
      <w:pPr>
        <w:pStyle w:val="Heading1"/>
      </w:pPr>
      <w:r>
        <w:t>6 Risks Decisions and Technical Debt</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1944"/>
            <w:vAlign w:val="center"/>
            <w:shd w:fill="1F4E78"/>
          </w:tcPr>
          <w:p>
            <w:r>
              <w:rPr>
                <w:b/>
                <w:color w:val="FFFFFF"/>
              </w:rPr>
              <w:t>Topic</w:t>
            </w:r>
          </w:p>
        </w:tc>
        <w:tc>
          <w:tcPr>
            <w:tcW w:type="dxa" w:w="3888"/>
            <w:vAlign w:val="center"/>
            <w:shd w:fill="1F4E78"/>
          </w:tcPr>
          <w:p>
            <w:r>
              <w:rPr>
                <w:b/>
                <w:color w:val="FFFFFF"/>
              </w:rPr>
              <w:t>Current decision</w:t>
            </w:r>
          </w:p>
        </w:tc>
        <w:tc>
          <w:tcPr>
            <w:tcW w:type="dxa" w:w="3960"/>
            <w:vAlign w:val="center"/>
            <w:shd w:fill="1F4E78"/>
          </w:tcPr>
          <w:p>
            <w:r>
              <w:rPr>
                <w:b/>
                <w:color w:val="FFFFFF"/>
              </w:rPr>
              <w:t>Future trigger</w:t>
            </w:r>
          </w:p>
        </w:tc>
      </w:tr>
      <w:tr>
        <w:trPr>
          <w:cantSplit/>
        </w:trPr>
        <w:tc>
          <w:tcPr>
            <w:tcW w:type="dxa" w:w="1944"/>
            <w:vAlign w:val="center"/>
          </w:tcPr>
          <w:p>
            <w:r>
              <w:t>Query cost</w:t>
            </w:r>
          </w:p>
        </w:tc>
        <w:tc>
          <w:tcPr>
            <w:tcW w:type="dxa" w:w="3888"/>
            <w:vAlign w:val="center"/>
          </w:tcPr>
          <w:p>
            <w:r>
              <w:t>Bound live aggregation</w:t>
            </w:r>
          </w:p>
        </w:tc>
        <w:tc>
          <w:tcPr>
            <w:tcW w:type="dxa" w:w="3960"/>
            <w:vAlign w:val="center"/>
          </w:tcPr>
          <w:p>
            <w:r>
              <w:t>Materialize only after measured latency requires it</w:t>
            </w:r>
          </w:p>
        </w:tc>
      </w:tr>
      <w:tr>
        <w:trPr>
          <w:cantSplit/>
        </w:trPr>
        <w:tc>
          <w:tcPr>
            <w:tcW w:type="dxa" w:w="1944"/>
            <w:vAlign w:val="center"/>
            <w:shd w:fill="EAF1F8"/>
          </w:tcPr>
          <w:p>
            <w:r>
              <w:t>Historical trends</w:t>
            </w:r>
          </w:p>
        </w:tc>
        <w:tc>
          <w:tcPr>
            <w:tcW w:type="dxa" w:w="3888"/>
            <w:vAlign w:val="center"/>
            <w:shd w:fill="EAF1F8"/>
          </w:tcPr>
          <w:p>
            <w:r>
              <w:t>Not included in X-1</w:t>
            </w:r>
          </w:p>
        </w:tc>
        <w:tc>
          <w:tcPr>
            <w:tcW w:type="dxa" w:w="3960"/>
            <w:vAlign w:val="center"/>
            <w:shd w:fill="EAF1F8"/>
          </w:tcPr>
          <w:p>
            <w:r>
              <w:t>Add bounded buckets in X-2</w:t>
            </w:r>
          </w:p>
        </w:tc>
      </w:tr>
      <w:tr>
        <w:trPr>
          <w:cantSplit/>
        </w:trPr>
        <w:tc>
          <w:tcPr>
            <w:tcW w:type="dxa" w:w="1944"/>
            <w:vAlign w:val="center"/>
          </w:tcPr>
          <w:p>
            <w:r>
              <w:t>Certification</w:t>
            </w:r>
          </w:p>
        </w:tc>
        <w:tc>
          <w:tcPr>
            <w:tcW w:type="dxa" w:w="3888"/>
            <w:vAlign w:val="center"/>
          </w:tcPr>
          <w:p>
            <w:r>
              <w:t>Explicitly not inferred</w:t>
            </w:r>
          </w:p>
        </w:tc>
        <w:tc>
          <w:tcPr>
            <w:tcW w:type="dxa" w:w="3960"/>
            <w:vAlign w:val="center"/>
          </w:tcPr>
          <w:p>
            <w:r>
              <w:t>Add evidence views, not certification claims</w:t>
            </w:r>
          </w:p>
        </w:tc>
      </w:tr>
      <w:tr>
        <w:trPr>
          <w:cantSplit/>
        </w:trPr>
        <w:tc>
          <w:tcPr>
            <w:tcW w:type="dxa" w:w="1944"/>
            <w:vAlign w:val="center"/>
            <w:shd w:fill="EAF1F8"/>
          </w:tcPr>
          <w:p>
            <w:r>
              <w:t>Frontend</w:t>
            </w:r>
          </w:p>
        </w:tc>
        <w:tc>
          <w:tcPr>
            <w:tcW w:type="dxa" w:w="3888"/>
            <w:vAlign w:val="center"/>
            <w:shd w:fill="EAF1F8"/>
          </w:tcPr>
          <w:p>
            <w:r>
              <w:t>Contract first</w:t>
            </w:r>
          </w:p>
        </w:tc>
        <w:tc>
          <w:tcPr>
            <w:tcW w:type="dxa" w:w="3960"/>
            <w:vAlign w:val="center"/>
            <w:shd w:fill="EAF1F8"/>
          </w:tcPr>
          <w:p>
            <w:r>
              <w:t>Choose UI stack after stable workflows and accessibility needs</w:t>
            </w:r>
          </w:p>
        </w:tc>
      </w:tr>
      <w:tr>
        <w:trPr>
          <w:cantSplit/>
        </w:trPr>
        <w:tc>
          <w:tcPr>
            <w:tcW w:type="dxa" w:w="1944"/>
            <w:vAlign w:val="center"/>
          </w:tcPr>
          <w:p>
            <w:r>
              <w:t>Live data</w:t>
            </w:r>
          </w:p>
        </w:tc>
        <w:tc>
          <w:tcPr>
            <w:tcW w:type="dxa" w:w="3888"/>
            <w:vAlign w:val="center"/>
          </w:tcPr>
          <w:p>
            <w:r>
              <w:t>Request response only</w:t>
            </w:r>
          </w:p>
        </w:tc>
        <w:tc>
          <w:tcPr>
            <w:tcW w:type="dxa" w:w="3960"/>
            <w:vAlign w:val="center"/>
          </w:tcPr>
          <w:p>
            <w:r>
              <w:t>Add controlled streaming in a later increment</w:t>
            </w:r>
          </w:p>
        </w:tc>
      </w:tr>
    </w:tbl>
    <w:p/>
    <w:p>
      <w:pPr>
        <w:pStyle w:val="Heading1"/>
      </w:pPr>
      <w:r>
        <w:t>7 Cost and Resource Profile</w:t>
      </w:r>
    </w:p>
    <w:p>
      <w:r>
        <w:t>X-1 reuses the local FastAPI and PostgreSQL stack. It requires no AWS account, paid API, external AI provider, model download, or GPU. The automated tests use small deterministic fixtures and bounded database checks, making the increment appropriate for the current Windows and Docker development environment.</w:t>
      </w:r>
    </w:p>
    <w:p>
      <w:pPr>
        <w:pStyle w:val="Heading1"/>
      </w:pPr>
      <w:r>
        <w:t>8 Next Planned Increment</w:t>
      </w:r>
    </w:p>
    <w:p>
      <w:r>
        <w:t>X-2 will add time-bucketed test quality trends and a bounded failure drill-down contract. It will reference existing test runs, case results, and artifacts without copying raw evidence into the dashboard domain.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