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IV</w:t>
      </w:r>
    </w:p>
    <w:p>
      <w:pPr>
        <w:spacing w:after="80"/>
        <w:jc w:val="center"/>
      </w:pPr>
      <w:r>
        <w:rPr>
          <w:rFonts w:ascii="Calibri" w:hAnsi="Calibri"/>
          <w:b/>
          <w:color w:val="1F4D78"/>
          <w:sz w:val="34"/>
        </w:rPr>
        <w:t>CAN Network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0.2.0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24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Increments IV-1 and IV-2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Revision History</w:t>
      </w:r>
    </w:p>
    <w:p>
      <w:pPr>
        <w:pStyle w:val="ListNumber"/>
        <w:numPr>
          <w:ilvl w:val="0"/>
          <w:numId w:val="10"/>
        </w:numPr>
        <w:ind w:left="216" w:firstLine="0"/>
      </w:pPr>
      <w:r>
        <w:rPr>
          <w:rFonts w:ascii="Calibri" w:hAnsi="Calibri"/>
          <w:b/>
          <w:color w:val="0B2545"/>
          <w:sz w:val="21"/>
        </w:rPr>
        <w:t>Scope and Boundaries</w:t>
      </w:r>
    </w:p>
    <w:p>
      <w:pPr>
        <w:pStyle w:val="ListNumber"/>
        <w:numPr>
          <w:ilvl w:val="0"/>
          <w:numId w:val="10"/>
        </w:numPr>
        <w:ind w:left="216" w:firstLine="0"/>
      </w:pPr>
      <w:r>
        <w:rPr>
          <w:rFonts w:ascii="Calibri" w:hAnsi="Calibri"/>
          <w:b/>
          <w:color w:val="0B2545"/>
          <w:sz w:val="21"/>
        </w:rPr>
        <w:t>Architecture</w:t>
      </w:r>
    </w:p>
    <w:p>
      <w:pPr>
        <w:pStyle w:val="ListNumber"/>
        <w:numPr>
          <w:ilvl w:val="0"/>
          <w:numId w:val="10"/>
        </w:numPr>
        <w:ind w:left="216" w:firstLine="0"/>
      </w:pPr>
      <w:r>
        <w:rPr>
          <w:rFonts w:ascii="Calibri" w:hAnsi="Calibri"/>
          <w:b/>
          <w:color w:val="0B2545"/>
          <w:sz w:val="21"/>
        </w:rPr>
        <w:t>Domain Model</w:t>
      </w:r>
    </w:p>
    <w:p>
      <w:pPr>
        <w:pStyle w:val="ListNumber"/>
        <w:numPr>
          <w:ilvl w:val="0"/>
          <w:numId w:val="10"/>
        </w:numPr>
        <w:ind w:left="216" w:firstLine="0"/>
      </w:pPr>
      <w:r>
        <w:rPr>
          <w:rFonts w:ascii="Calibri" w:hAnsi="Calibri"/>
          <w:b/>
          <w:color w:val="0B2545"/>
          <w:sz w:val="21"/>
        </w:rPr>
        <w:t>Public API and Security</w:t>
      </w:r>
    </w:p>
    <w:p>
      <w:pPr>
        <w:pStyle w:val="ListNumber"/>
        <w:numPr>
          <w:ilvl w:val="0"/>
          <w:numId w:val="10"/>
        </w:numPr>
        <w:ind w:left="216" w:firstLine="0"/>
      </w:pPr>
      <w:r>
        <w:rPr>
          <w:rFonts w:ascii="Calibri" w:hAnsi="Calibri"/>
          <w:b/>
          <w:color w:val="0B2545"/>
          <w:sz w:val="21"/>
        </w:rPr>
        <w:t>Consistency and Evidence</w:t>
      </w:r>
    </w:p>
    <w:p>
      <w:pPr>
        <w:pStyle w:val="ListNumber"/>
        <w:numPr>
          <w:ilvl w:val="0"/>
          <w:numId w:val="10"/>
        </w:numPr>
        <w:ind w:left="216" w:firstLine="0"/>
      </w:pPr>
      <w:r>
        <w:rPr>
          <w:rFonts w:ascii="Calibri" w:hAnsi="Calibri"/>
          <w:b/>
          <w:color w:val="0B2545"/>
          <w:sz w:val="21"/>
        </w:rPr>
        <w:t>Functional Requirements</w:t>
      </w:r>
    </w:p>
    <w:p>
      <w:pPr>
        <w:pStyle w:val="ListNumber"/>
        <w:numPr>
          <w:ilvl w:val="0"/>
          <w:numId w:val="10"/>
        </w:numPr>
        <w:ind w:left="216" w:firstLine="0"/>
      </w:pPr>
      <w:r>
        <w:rPr>
          <w:rFonts w:ascii="Calibri" w:hAnsi="Calibri"/>
          <w:b/>
          <w:color w:val="0B2545"/>
          <w:sz w:val="21"/>
        </w:rPr>
        <w:t>Architecture Decisions</w:t>
      </w:r>
    </w:p>
    <w:p>
      <w:pPr>
        <w:pStyle w:val="ListNumber"/>
        <w:numPr>
          <w:ilvl w:val="0"/>
          <w:numId w:val="10"/>
        </w:numPr>
        <w:ind w:left="216" w:firstLine="0"/>
      </w:pPr>
      <w:r>
        <w:rPr>
          <w:rFonts w:ascii="Calibri" w:hAnsi="Calibri"/>
          <w:b/>
          <w:color w:val="0B2545"/>
          <w:sz w:val="21"/>
        </w:rPr>
        <w:t>Verification Catalogue</w:t>
      </w:r>
    </w:p>
    <w:p>
      <w:pPr>
        <w:pStyle w:val="ListNumber"/>
        <w:numPr>
          <w:ilvl w:val="0"/>
          <w:numId w:val="10"/>
        </w:numPr>
        <w:ind w:left="216" w:firstLine="0"/>
      </w:pPr>
      <w:r>
        <w:rPr>
          <w:rFonts w:ascii="Calibri" w:hAnsi="Calibri"/>
          <w:b/>
          <w:color w:val="0B2545"/>
          <w:sz w:val="21"/>
        </w:rPr>
        <w:t>Implemented Evidence</w:t>
      </w:r>
    </w:p>
    <w:p>
      <w:pPr>
        <w:pStyle w:val="ListNumber"/>
        <w:numPr>
          <w:ilvl w:val="0"/>
          <w:numId w:val="10"/>
        </w:numPr>
        <w:ind w:left="216" w:firstLine="0"/>
      </w:pPr>
      <w:r>
        <w:rPr>
          <w:rFonts w:ascii="Calibri" w:hAnsi="Calibri"/>
          <w:b/>
          <w:color w:val="0B2545"/>
          <w:sz w:val="21"/>
        </w:rPr>
        <w:t>Risks and Technical Debt</w:t>
      </w:r>
    </w:p>
    <w:p>
      <w:pPr>
        <w:pStyle w:val="ListNumber"/>
        <w:numPr>
          <w:ilvl w:val="0"/>
          <w:numId w:val="10"/>
        </w:numPr>
        <w:ind w:left="216" w:firstLine="0"/>
      </w:pPr>
      <w:r>
        <w:rPr>
          <w:rFonts w:ascii="Calibri" w:hAnsi="Calibri"/>
          <w:b/>
          <w:color w:val="0B2545"/>
          <w:sz w:val="21"/>
        </w:rPr>
        <w:t>Roadmap</w:t>
      </w:r>
    </w:p>
    <w:p>
      <w:pPr>
        <w:pStyle w:val="ListNumber"/>
        <w:numPr>
          <w:ilvl w:val="0"/>
          <w:numId w:val="10"/>
        </w:numPr>
        <w:ind w:left="216" w:firstLine="0"/>
      </w:pPr>
      <w:r>
        <w:rPr>
          <w:rFonts w:ascii="Calibri" w:hAnsi="Calibri"/>
          <w:b/>
          <w:color w:val="0B2545"/>
          <w:sz w:val="21"/>
        </w:rPr>
        <w:t>Study Exercises</w:t>
      </w:r>
    </w:p>
    <w:p>
      <w:r>
        <w:br w:type="page"/>
      </w:r>
    </w:p>
    <w:p>
      <w:pPr>
        <w:pStyle w:val="Heading1"/>
        <w:keepNext/>
        <w:keepLines/>
      </w:pPr>
      <w:r>
        <w:t>1. Document Purpose</w:t>
      </w:r>
    </w:p>
    <w:p>
      <w:r>
        <w:rPr>
          <w:rFonts w:ascii="Calibri" w:hAnsi="Calibri"/>
          <w:color w:val="111827"/>
          <w:sz w:val="22"/>
        </w:rPr>
        <w:t>This workbook records the architecture, requirements, engineering decisions, implementation evidence, verification strategy, risks, and study exercises for the CAN Network volume.</w:t>
      </w:r>
    </w:p>
    <w:p>
      <w:pPr>
        <w:pStyle w:val="Heading1"/>
        <w:keepNext/>
        <w:keepLines/>
      </w:pPr>
      <w:r>
        <w:t>2. 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Volume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IV - CAN Network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Increments IV-1 and IV-2</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style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Vehicle-scoped aggregate with transactional domain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Primary runtime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Python 3.12, FastAPI, SQLAlchemy, PostgreSQL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Quality gates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pytest, Ruff, strict mypy, Alembic and integration CI</w:t>
            </w:r>
          </w:p>
        </w:tc>
      </w:tr>
    </w:tbl>
    <w:p>
      <w:pPr>
        <w:spacing w:after="60"/>
      </w:pPr>
    </w:p>
    <w:p>
      <w:pPr>
        <w:pStyle w:val="Heading1"/>
        <w:keepNext/>
        <w:keepLines/>
      </w:pPr>
      <w:r>
        <w:t>3. 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Release</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Date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Change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ECU-backed topology, classic CAN frame contracts, deterministic submission, RBAC, audit, outbox, migration, APIs,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0.2.0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deterministic arbitration, nominal transmission duration, delivery evidence, utilization metrics, replay-safe persistence, APIs, migration, and tests.</w:t>
            </w:r>
          </w:p>
        </w:tc>
      </w:tr>
    </w:tbl>
    <w:p>
      <w:pPr>
        <w:spacing w:after="60"/>
      </w:pPr>
    </w:p>
    <w:p>
      <w:pPr>
        <w:pStyle w:val="Heading1"/>
        <w:keepNext/>
        <w:keepLines/>
      </w:pPr>
      <w:r>
        <w:t>4. Scope and Boundaries</w:t>
      </w:r>
    </w:p>
    <w:p>
      <w:pPr>
        <w:pStyle w:val="Heading2"/>
        <w:keepNext/>
        <w:keepLines/>
      </w:pPr>
      <w:r>
        <w:t>4.1 Included</w:t>
      </w:r>
    </w:p>
    <w:p>
      <w:pPr>
        <w:pStyle w:val="ListBullet"/>
        <w:numPr>
          <w:ilvl w:val="0"/>
          <w:numId w:val="11"/>
        </w:numPr>
      </w:pPr>
      <w:r>
        <w:rPr>
          <w:rFonts w:ascii="Calibri" w:hAnsi="Calibri"/>
          <w:color w:val="111827"/>
          <w:sz w:val="22"/>
        </w:rPr>
        <w:t>One classic CAN network per vehicle.</w:t>
      </w:r>
    </w:p>
    <w:p>
      <w:pPr>
        <w:pStyle w:val="ListBullet"/>
        <w:numPr>
          <w:ilvl w:val="0"/>
          <w:numId w:val="11"/>
        </w:numPr>
      </w:pPr>
      <w:r>
        <w:rPr>
          <w:rFonts w:ascii="Calibri" w:hAnsi="Calibri"/>
          <w:color w:val="111827"/>
          <w:sz w:val="22"/>
        </w:rPr>
        <w:t>One to 64 nodes referencing ECUs from the same vehicle.</w:t>
      </w:r>
    </w:p>
    <w:p>
      <w:pPr>
        <w:pStyle w:val="ListBullet"/>
        <w:numPr>
          <w:ilvl w:val="0"/>
          <w:numId w:val="11"/>
        </w:numPr>
      </w:pPr>
      <w:r>
        <w:rPr>
          <w:rFonts w:ascii="Calibri" w:hAnsi="Calibri"/>
          <w:color w:val="111827"/>
          <w:sz w:val="22"/>
        </w:rPr>
        <w:t>Participant, gateway, and monitor node roles.</w:t>
      </w:r>
    </w:p>
    <w:p>
      <w:pPr>
        <w:pStyle w:val="ListBullet"/>
        <w:numPr>
          <w:ilvl w:val="0"/>
          <w:numId w:val="11"/>
        </w:numPr>
      </w:pPr>
      <w:r>
        <w:rPr>
          <w:rFonts w:ascii="Calibri" w:hAnsi="Calibri"/>
          <w:color w:val="111827"/>
          <w:sz w:val="22"/>
        </w:rPr>
        <w:t>Up to 256 standard or extended frame contracts.</w:t>
      </w:r>
    </w:p>
    <w:p>
      <w:pPr>
        <w:pStyle w:val="ListBullet"/>
        <w:numPr>
          <w:ilvl w:val="0"/>
          <w:numId w:val="11"/>
        </w:numPr>
      </w:pPr>
      <w:r>
        <w:rPr>
          <w:rFonts w:ascii="Calibri" w:hAnsi="Calibri"/>
          <w:color w:val="111827"/>
          <w:sz w:val="22"/>
        </w:rPr>
        <w:t>Classic CAN payloads from zero to eight bytes.</w:t>
      </w:r>
    </w:p>
    <w:p>
      <w:pPr>
        <w:pStyle w:val="ListBullet"/>
        <w:numPr>
          <w:ilvl w:val="0"/>
          <w:numId w:val="11"/>
        </w:numPr>
      </w:pPr>
      <w:r>
        <w:rPr>
          <w:rFonts w:ascii="Calibri" w:hAnsi="Calibri"/>
          <w:color w:val="111827"/>
          <w:sz w:val="22"/>
        </w:rPr>
        <w:t>Deterministic logical microsecond clock, sequence, and optimistic version.</w:t>
      </w:r>
    </w:p>
    <w:p>
      <w:pPr>
        <w:pStyle w:val="ListBullet"/>
        <w:numPr>
          <w:ilvl w:val="0"/>
          <w:numId w:val="11"/>
        </w:numPr>
      </w:pPr>
      <w:r>
        <w:rPr>
          <w:rFonts w:ascii="Calibri" w:hAnsi="Calibri"/>
          <w:color w:val="111827"/>
          <w:sz w:val="22"/>
        </w:rPr>
        <w:t>Exact command replay and stable changed-reuse conflicts.</w:t>
      </w:r>
    </w:p>
    <w:p>
      <w:pPr>
        <w:pStyle w:val="ListBullet"/>
        <w:numPr>
          <w:ilvl w:val="0"/>
          <w:numId w:val="11"/>
        </w:numPr>
      </w:pPr>
      <w:r>
        <w:rPr>
          <w:rFonts w:ascii="Calibri" w:hAnsi="Calibri"/>
          <w:color w:val="111827"/>
          <w:sz w:val="22"/>
        </w:rPr>
        <w:t>Protected create, retrieve, submit, and history APIs.</w:t>
      </w:r>
    </w:p>
    <w:p>
      <w:pPr>
        <w:pStyle w:val="ListBullet"/>
        <w:numPr>
          <w:ilvl w:val="0"/>
          <w:numId w:val="11"/>
        </w:numPr>
      </w:pPr>
      <w:r>
        <w:rPr>
          <w:rFonts w:ascii="Calibri" w:hAnsi="Calibri"/>
          <w:color w:val="111827"/>
          <w:sz w:val="22"/>
        </w:rPr>
        <w:t>Transactional audit and outbox evidence without payload bytes.</w:t>
      </w:r>
    </w:p>
    <w:p>
      <w:pPr>
        <w:pStyle w:val="ListBullet"/>
        <w:numPr>
          <w:ilvl w:val="0"/>
          <w:numId w:val="11"/>
        </w:numPr>
      </w:pPr>
      <w:r>
        <w:rPr>
          <w:rFonts w:ascii="Calibri" w:hAnsi="Calibri"/>
          <w:color w:val="111827"/>
          <w:sz w:val="22"/>
        </w:rPr>
        <w:t>Batches of one to 64 unique contenders with explicit readiness offsets.</w:t>
      </w:r>
    </w:p>
    <w:p>
      <w:pPr>
        <w:pStyle w:val="ListBullet"/>
        <w:numPr>
          <w:ilvl w:val="0"/>
          <w:numId w:val="11"/>
        </w:numPr>
      </w:pPr>
      <w:r>
        <w:rPr>
          <w:rFonts w:ascii="Calibri" w:hAnsi="Calibri"/>
          <w:color w:val="111827"/>
          <w:sz w:val="22"/>
        </w:rPr>
        <w:t>CAN-ID priority, standard/extended tie-break, calculated nominal duration, and serial delivery.</w:t>
      </w:r>
    </w:p>
    <w:p>
      <w:pPr>
        <w:pStyle w:val="ListBullet"/>
        <w:numPr>
          <w:ilvl w:val="0"/>
          <w:numId w:val="11"/>
        </w:numPr>
      </w:pPr>
      <w:r>
        <w:rPr>
          <w:rFonts w:ascii="Calibri" w:hAnsi="Calibri"/>
          <w:color w:val="111827"/>
          <w:sz w:val="22"/>
        </w:rPr>
        <w:t>Occupied, idle, utilization, latency, ordered transmission, and consumer delivery evidence.</w:t>
      </w:r>
    </w:p>
    <w:p>
      <w:pPr>
        <w:pStyle w:val="Heading2"/>
        <w:keepNext/>
        <w:keepLines/>
      </w:pPr>
      <w:r>
        <w:t>4.2 Deferred</w:t>
      </w:r>
    </w:p>
    <w:p>
      <w:pPr>
        <w:pStyle w:val="ListBullet"/>
        <w:numPr>
          <w:ilvl w:val="0"/>
          <w:numId w:val="12"/>
        </w:numPr>
      </w:pPr>
      <w:r>
        <w:rPr>
          <w:rFonts w:ascii="Calibri" w:hAnsi="Calibri"/>
          <w:color w:val="111827"/>
          <w:sz w:val="22"/>
        </w:rPr>
        <w:t>Bit stuffing, acknowledgement, retransmission, and oscillator/physical-layer effects.</w:t>
      </w:r>
    </w:p>
    <w:p>
      <w:pPr>
        <w:pStyle w:val="ListBullet"/>
        <w:numPr>
          <w:ilvl w:val="0"/>
          <w:numId w:val="12"/>
        </w:numPr>
      </w:pPr>
      <w:r>
        <w:rPr>
          <w:rFonts w:ascii="Calibri" w:hAnsi="Calibri"/>
          <w:color w:val="111827"/>
          <w:sz w:val="22"/>
        </w:rPr>
        <w:t>DBC parsing, scaling, byte order, multiplexing, and semantic-signal encoding.</w:t>
      </w:r>
    </w:p>
    <w:p>
      <w:pPr>
        <w:pStyle w:val="ListBullet"/>
        <w:numPr>
          <w:ilvl w:val="0"/>
          <w:numId w:val="12"/>
        </w:numPr>
      </w:pPr>
      <w:r>
        <w:rPr>
          <w:rFonts w:ascii="Calibri" w:hAnsi="Calibri"/>
          <w:color w:val="111827"/>
          <w:sz w:val="22"/>
        </w:rPr>
        <w:t>CAN FD payloads and data-phase bitrate.</w:t>
      </w:r>
    </w:p>
    <w:p>
      <w:pPr>
        <w:pStyle w:val="ListBullet"/>
        <w:numPr>
          <w:ilvl w:val="0"/>
          <w:numId w:val="12"/>
        </w:numPr>
      </w:pPr>
      <w:r>
        <w:rPr>
          <w:rFonts w:ascii="Calibri" w:hAnsi="Calibri"/>
          <w:color w:val="111827"/>
          <w:sz w:val="22"/>
        </w:rPr>
        <w:t>Error frames, error counters, bus-off, recovery, loss, latency, and corruption.</w:t>
      </w:r>
    </w:p>
    <w:p>
      <w:pPr>
        <w:pStyle w:val="ListBullet"/>
        <w:numPr>
          <w:ilvl w:val="0"/>
          <w:numId w:val="12"/>
        </w:numPr>
      </w:pPr>
      <w:r>
        <w:rPr>
          <w:rFonts w:ascii="Calibri" w:hAnsi="Calibri"/>
          <w:color w:val="111827"/>
          <w:sz w:val="22"/>
        </w:rPr>
        <w:t>LIN, automotive Ethernet, physical transceivers, and SocketCAN adapters.</w:t>
      </w:r>
    </w:p>
    <w:p>
      <w:pPr>
        <w:pStyle w:val="Heading1"/>
        <w:keepNext/>
        <w:keepLines/>
      </w:pPr>
      <w:r>
        <w:t>5. Architecture</w:t>
      </w:r>
    </w:p>
    <w:p>
      <w:r>
        <w:rPr>
          <w:rFonts w:ascii="Calibri" w:hAnsi="Calibri"/>
          <w:color w:val="111827"/>
          <w:sz w:val="22"/>
        </w:rPr>
        <w:t xml:space="preserve">The </w:t>
      </w:r>
      <w:r>
        <w:rPr>
          <w:rFonts w:ascii="Consolas" w:hAnsi="Consolas"/>
          <w:color w:val="1F4D78"/>
          <w:sz w:val="19"/>
        </w:rPr>
        <w:t>atep.can_network</w:t>
      </w:r>
      <w:r>
        <w:rPr>
          <w:rFonts w:ascii="Calibri" w:hAnsi="Calibri"/>
          <w:color w:val="111827"/>
          <w:sz w:val="22"/>
        </w:rPr>
        <w:t xml:space="preserve"> module is a protocol boundary between ECU semantic state and future physical bus behavior. A network belongs to one vehicle and stores bounded topology and frame contracts. Nodes reference Volume III ECU UUIDs; ECU lifecycle, memory, faults, and semantic values are not copied into the CAN aggregate.</w:t>
      </w:r>
    </w:p>
    <w:p>
      <w:r>
        <w:rPr>
          <w:rFonts w:ascii="Calibri" w:hAnsi="Calibri"/>
          <w:color w:val="111827"/>
          <w:sz w:val="22"/>
        </w:rPr>
        <w:t>Request flow: authenticated client -&gt; FastAPI router -&gt; CAN RBAC dependency -&gt; vehicle lookup -&gt; CAN domain/arbitration service -&gt; PostgreSQL aggregate/evidence + audit + transactional outbox -&gt; response.</w:t>
      </w:r>
    </w:p>
    <w:p>
      <w:pPr>
        <w:pStyle w:val="Heading1"/>
        <w:keepNext/>
        <w:keepLines/>
      </w:pPr>
      <w:r>
        <w:t>6. Domain Model</w:t>
      </w:r>
    </w:p>
    <w:p>
      <w:r>
        <w:rPr>
          <w:rFonts w:ascii="Consolas" w:hAnsi="Consolas"/>
          <w:color w:val="1F4D78"/>
          <w:sz w:val="19"/>
        </w:rPr>
        <w:t>CanNetwork</w:t>
      </w:r>
      <w:r>
        <w:rPr>
          <w:rFonts w:ascii="Calibri" w:hAnsi="Calibri"/>
          <w:color w:val="111827"/>
          <w:sz w:val="22"/>
        </w:rPr>
        <w:t xml:space="preserve"> stores vehicle ownership, identity, bitrate, nodes, frame contracts, version, logical microsecond time, and the next sequence. </w:t>
      </w:r>
      <w:r>
        <w:rPr>
          <w:rFonts w:ascii="Consolas" w:hAnsi="Consolas"/>
          <w:color w:val="1F4D78"/>
          <w:sz w:val="19"/>
        </w:rPr>
        <w:t>CanFrameTransmission</w:t>
      </w:r>
      <w:r>
        <w:rPr>
          <w:rFonts w:ascii="Calibri" w:hAnsi="Calibri"/>
          <w:color w:val="111827"/>
          <w:sz w:val="22"/>
        </w:rPr>
        <w:t xml:space="preserve"> stores command identity, contract, producer, CAN ID and format, request, payload, sequence, logical time, versions, and actor.</w:t>
      </w:r>
    </w:p>
    <w:p>
      <w:r>
        <w:rPr>
          <w:rFonts w:ascii="Consolas" w:hAnsi="Consolas"/>
          <w:color w:val="1F4D78"/>
          <w:sz w:val="19"/>
        </w:rPr>
        <w:t>CanArbitrationExecution</w:t>
      </w:r>
      <w:r>
        <w:rPr>
          <w:rFonts w:ascii="Calibri" w:hAnsi="Calibri"/>
          <w:color w:val="111827"/>
          <w:sz w:val="22"/>
        </w:rPr>
        <w:t xml:space="preserve"> stores the canonical batch request, ordered result, contender count, aggregate versions, requesting actor, and timestamps. Each winner also creates normal transmission evidence so history remains coherent across individual and arbitrated sends.</w:t>
      </w:r>
    </w:p>
    <w:p>
      <w:r>
        <w:rPr>
          <w:rFonts w:ascii="Calibri" w:hAnsi="Calibri"/>
          <w:color w:val="111827"/>
          <w:sz w:val="22"/>
        </w:rPr>
        <w:t>Bounds are architectural controls: 64 nodes, 256 contracts, 8 payload bytes, a 10-second maximum logical advance per submission, safe history pagination, and one network aggregate per vehicle.</w:t>
      </w:r>
    </w:p>
    <w:p>
      <w:pPr>
        <w:pStyle w:val="Heading1"/>
        <w:keepNext/>
        <w:keepLines/>
      </w:pPr>
      <w:r>
        <w:t>7. Public API and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Method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Path</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Permission</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topology and contracts.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the network.</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/api/v1/vehicles/{vehicle_id}/can-networks/frames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one contracted frame.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/api/v1/vehicles/{vehicle_id}/can-networks/frames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 safely paginated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/api/v1/vehicles/{vehicle_id}/can-networks/arbitrations/execute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bounded arbitration batch.</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/api/v1/vehicles/{vehicle_id}/can-networks/arbitrations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persisted arbitration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/api/v1/vehicles/{vehicle_id}/can-networks/arbitrations/{command_id}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arbitration result.</w:t>
            </w:r>
          </w:p>
        </w:tc>
      </w:tr>
    </w:tbl>
    <w:p>
      <w:pPr>
        <w:spacing w:after="60"/>
      </w:pPr>
    </w:p>
    <w:p>
      <w:r>
        <w:rPr>
          <w:rFonts w:ascii="Calibri" w:hAnsi="Calibri"/>
          <w:color w:val="111827"/>
          <w:sz w:val="22"/>
        </w:rPr>
        <w:t>The Android Automotive application and future gateways continue to use the public ATEP API. They never connect directly to PostgreSQL or RabbitMQ.</w:t>
      </w:r>
    </w:p>
    <w:p>
      <w:pPr>
        <w:pStyle w:val="Heading1"/>
        <w:keepNext/>
        <w:keepLines/>
      </w:pPr>
      <w:r>
        <w:t>8. Consistency and Evidence</w:t>
      </w:r>
    </w:p>
    <w:p>
      <w:r>
        <w:rPr>
          <w:rFonts w:ascii="Calibri" w:hAnsi="Calibri"/>
          <w:color w:val="111827"/>
          <w:sz w:val="22"/>
        </w:rPr>
        <w:t>Creation verifies that every declared node is an ECU owned by the vehicle. Submission locks the network row, verifies the expected version, resolves the immutable frame contract, checks producer ownership and exact DLC, assigns the next sequence, advances logical time, and increments version.</w:t>
      </w:r>
    </w:p>
    <w:p>
      <w:r>
        <w:rPr>
          <w:rFonts w:ascii="Calibri" w:hAnsi="Calibri"/>
          <w:color w:val="111827"/>
          <w:sz w:val="22"/>
        </w:rPr>
        <w:t xml:space="preserve">Exact retry returns the persisted transmission without a second mutation or event. Differing reuse of a command ID fails with </w:t>
      </w:r>
      <w:r>
        <w:rPr>
          <w:rFonts w:ascii="Consolas" w:hAnsi="Consolas"/>
          <w:color w:val="1F4D78"/>
          <w:sz w:val="19"/>
        </w:rPr>
        <w:t>can_frame_command_conflict</w:t>
      </w:r>
      <w:r>
        <w:rPr>
          <w:rFonts w:ascii="Calibri" w:hAnsi="Calibri"/>
          <w:color w:val="111827"/>
          <w:sz w:val="22"/>
        </w:rPr>
        <w:t>. Audit and outbox evidence retains IDs, format, DLC, sequence, logical time, and versions while excluding payload bytes.</w:t>
      </w:r>
    </w:p>
    <w:p>
      <w:pPr>
        <w:pStyle w:val="Heading2"/>
        <w:keepNext/>
        <w:keepLines/>
      </w:pPr>
      <w:r>
        <w:t>8.1 Arbitration Semantics</w:t>
      </w:r>
    </w:p>
    <w:p>
      <w:r>
        <w:rPr>
          <w:rFonts w:ascii="Calibri" w:hAnsi="Calibri"/>
          <w:color w:val="111827"/>
          <w:sz w:val="22"/>
        </w:rPr>
        <w:t>Each contender is resolved against an immutable frame contract and checked for producer ownership and exact DLC. The bus selects only ready contenders. Lowest numeric CAN ID wins; standard format precedes extended format for an equal numeric ID; contract identity provides a stable final tie-break. When no frame is ready, the logical clock advances to the next readiness instant.</w:t>
      </w:r>
    </w:p>
    <w:p>
      <w:r>
        <w:rPr>
          <w:rFonts w:ascii="Calibri" w:hAnsi="Calibri"/>
          <w:color w:val="111827"/>
          <w:sz w:val="22"/>
        </w:rPr>
        <w:t xml:space="preserve">Nominal size is </w:t>
      </w:r>
      <w:r>
        <w:rPr>
          <w:rFonts w:ascii="Consolas" w:hAnsi="Consolas"/>
          <w:color w:val="1F4D78"/>
          <w:sz w:val="19"/>
        </w:rPr>
        <w:t>47 + 8 * DLC</w:t>
      </w:r>
      <w:r>
        <w:rPr>
          <w:rFonts w:ascii="Calibri" w:hAnsi="Calibri"/>
          <w:color w:val="111827"/>
          <w:sz w:val="22"/>
        </w:rPr>
        <w:t xml:space="preserve"> bits for standard and </w:t>
      </w:r>
      <w:r>
        <w:rPr>
          <w:rFonts w:ascii="Consolas" w:hAnsi="Consolas"/>
          <w:color w:val="1F4D78"/>
          <w:sz w:val="19"/>
        </w:rPr>
        <w:t>67 + 8 * DLC</w:t>
      </w:r>
      <w:r>
        <w:rPr>
          <w:rFonts w:ascii="Calibri" w:hAnsi="Calibri"/>
          <w:color w:val="111827"/>
          <w:sz w:val="22"/>
        </w:rPr>
        <w:t xml:space="preserve"> bits for extended classic CAN. This includes a three-bit intermission and excludes bit stuffing. Duration uses the ceiling of </w:t>
      </w:r>
      <w:r>
        <w:rPr>
          <w:rFonts w:ascii="Consolas" w:hAnsi="Consolas"/>
          <w:color w:val="1F4D78"/>
          <w:sz w:val="19"/>
        </w:rPr>
        <w:t>bit_count * 1000 / bitrate_kbps</w:t>
      </w:r>
      <w:r>
        <w:rPr>
          <w:rFonts w:ascii="Calibri" w:hAnsi="Calibri"/>
          <w:color w:val="111827"/>
          <w:sz w:val="22"/>
        </w:rPr>
        <w:t>. Frames are serialized, delivered to every declared consumer at completion, and assigned latency from readiness to completion.</w:t>
      </w:r>
    </w:p>
    <w:p>
      <w:r>
        <w:rPr>
          <w:rFonts w:ascii="Calibri" w:hAnsi="Calibri"/>
          <w:color w:val="111827"/>
          <w:sz w:val="22"/>
        </w:rPr>
        <w:t>The utilization window begins at the prior network time and ends at the last completion. Occupied time is the sum of nominal durations; idle time is the remainder. A batch advances the network version once and the sequence once per winner. Exact retry returns stored evidence without another mutation, event, or audit record.</w:t>
      </w:r>
    </w:p>
    <w:p>
      <w:pPr>
        <w:pStyle w:val="Heading1"/>
        <w:keepNext/>
        <w:keepLines/>
      </w:pPr>
      <w:r>
        <w:t>9. Functional Requirements</w:t>
      </w:r>
    </w:p>
    <w:p>
      <w:r>
        <w:rPr>
          <w:rFonts w:ascii="Calibri" w:hAnsi="Calibri"/>
          <w:color w:val="111827"/>
          <w:sz w:val="22"/>
        </w:rPr>
        <w:t xml:space="preserve">The authoritative catalogue is </w:t>
      </w:r>
      <w:r>
        <w:rPr>
          <w:rFonts w:ascii="Consolas" w:hAnsi="Consolas"/>
          <w:color w:val="1F4D78"/>
          <w:sz w:val="19"/>
        </w:rPr>
        <w:t>docs/requirements-volume-iv.md</w:t>
      </w:r>
      <w:r>
        <w:rPr>
          <w:rFonts w:ascii="Calibri" w:hAnsi="Calibri"/>
          <w:color w:val="111827"/>
          <w:sz w:val="22"/>
        </w:rPr>
        <w:t>. IV-1 and IV-2 implement CAN-F-001 through CAN-F-020 and CAN-NF-001 through CAN-NF-008.</w:t>
      </w:r>
    </w:p>
    <w:p>
      <w:pPr>
        <w:pStyle w:val="Heading1"/>
        <w:keepNext/>
        <w:keepLines/>
      </w:pPr>
      <w:r>
        <w:t>10. Architecture Decisions</w:t>
      </w:r>
    </w:p>
    <w:p>
      <w:pPr>
        <w:pStyle w:val="Heading2"/>
        <w:keepNext/>
        <w:keepLines/>
      </w:pPr>
      <w:r>
        <w:t>ADR-CAN-001 - Reference ECUs Instead of Recreating Controllers</w:t>
      </w:r>
    </w:p>
    <w:p>
      <w:r>
        <w:rPr>
          <w:rFonts w:ascii="Calibri" w:hAnsi="Calibri"/>
          <w:color w:val="111827"/>
          <w:sz w:val="22"/>
        </w:rPr>
        <w:t>The CAN topology stores ECU UUIDs. Volume III remains the source of controller identity and state.</w:t>
      </w:r>
    </w:p>
    <w:p>
      <w:pPr>
        <w:pStyle w:val="Heading2"/>
        <w:keepNext/>
        <w:keepLines/>
      </w:pPr>
      <w:r>
        <w:t>ADR-CAN-002 - Separate Semantic Signals from Transport Frames</w:t>
      </w:r>
    </w:p>
    <w:p>
      <w:r>
        <w:rPr>
          <w:rFonts w:ascii="Calibri" w:hAnsi="Calibri"/>
          <w:color w:val="111827"/>
          <w:sz w:val="22"/>
        </w:rPr>
        <w:t>ECUs own physical meaning and values. CAN owns identifiers, DLC, payload bytes, sequence, and future transport timing. DBC will become the explicit adapter between these representations.</w:t>
      </w:r>
    </w:p>
    <w:p>
      <w:pPr>
        <w:pStyle w:val="Heading2"/>
        <w:keepNext/>
        <w:keepLines/>
      </w:pPr>
      <w:r>
        <w:t>ADR-CAN-003 - Use Logical Bus Time</w:t>
      </w:r>
    </w:p>
    <w:p>
      <w:r>
        <w:rPr>
          <w:rFonts w:ascii="Calibri" w:hAnsi="Calibri"/>
          <w:color w:val="111827"/>
          <w:sz w:val="22"/>
        </w:rPr>
        <w:t>Explicit microsecond advances make tests repeatable across machines. Host duration and resource load never alter simulated truth.</w:t>
      </w:r>
    </w:p>
    <w:p>
      <w:pPr>
        <w:pStyle w:val="Heading2"/>
        <w:keepNext/>
        <w:keepLines/>
      </w:pPr>
      <w:r>
        <w:t>ADR-CAN-004 - Persist Replay-Safe Submission Evidence</w:t>
      </w:r>
    </w:p>
    <w:p>
      <w:r>
        <w:rPr>
          <w:rFonts w:ascii="Calibri" w:hAnsi="Calibri"/>
          <w:color w:val="111827"/>
          <w:sz w:val="22"/>
        </w:rPr>
        <w:t>A unique command ID plus the canonical request distinguishes exact retries from conflicting reuse.</w:t>
      </w:r>
    </w:p>
    <w:p>
      <w:pPr>
        <w:pStyle w:val="Heading2"/>
        <w:keepNext/>
        <w:keepLines/>
      </w:pPr>
      <w:r>
        <w:t>ADR-CAN-005 - Minimize Audit and Event Payloads</w:t>
      </w:r>
    </w:p>
    <w:p>
      <w:r>
        <w:rPr>
          <w:rFonts w:ascii="Calibri" w:hAnsi="Calibri"/>
          <w:color w:val="111827"/>
          <w:sz w:val="22"/>
        </w:rPr>
        <w:t>Evidence records transport identity and metrics without copying physical payload bytes into logs or messages.</w:t>
      </w:r>
    </w:p>
    <w:p>
      <w:pPr>
        <w:pStyle w:val="Heading2"/>
        <w:keepNext/>
        <w:keepLines/>
      </w:pPr>
      <w:r>
        <w:t>ADR-CAN-006 - Defer Arbitration Until Its Timing Model Is Explicit</w:t>
      </w:r>
    </w:p>
    <w:p>
      <w:r>
        <w:rPr>
          <w:rFonts w:ascii="Calibri" w:hAnsi="Calibri"/>
          <w:color w:val="111827"/>
          <w:sz w:val="22"/>
        </w:rPr>
        <w:t>A submitted frame is distinct from a batch contender. IV-2 makes priority, duration, delivery, and bus-load assumptions explicit and independently testable.</w:t>
      </w:r>
    </w:p>
    <w:p>
      <w:pPr>
        <w:pStyle w:val="Heading2"/>
        <w:keepNext/>
        <w:keepLines/>
      </w:pPr>
      <w:r>
        <w:t>ADR-CAN-007 - Model Nominal Timing Before Physical Effects</w:t>
      </w:r>
    </w:p>
    <w:p>
      <w:r>
        <w:rPr>
          <w:rFonts w:ascii="Calibri" w:hAnsi="Calibri"/>
          <w:color w:val="111827"/>
          <w:sz w:val="22"/>
        </w:rPr>
        <w:t>The first timing model includes fixed classic CAN fields and intermission but excludes bit stuffing, acknowledgement failure, retransmission, propagation delay, and oscillator drift. This produces a reproducible engineering baseline without claiming electrical-bus fidelity.</w:t>
      </w:r>
    </w:p>
    <w:p>
      <w:pPr>
        <w:pStyle w:val="Heading2"/>
        <w:keepNext/>
        <w:keepLines/>
      </w:pPr>
      <w:r>
        <w:t>ADR-CAN-008 - Persist Both Batch and Frame Evidence</w:t>
      </w:r>
    </w:p>
    <w:p>
      <w:r>
        <w:rPr>
          <w:rFonts w:ascii="Calibri" w:hAnsi="Calibri"/>
          <w:color w:val="111827"/>
          <w:sz w:val="22"/>
        </w:rPr>
        <w:t>The batch preserves arbitration context and metrics. Winner transmissions preserve a unified frame history. A single aggregate version increment represents the atomic command, while each frame gets its own monotonically increasing sequence.</w:t>
      </w:r>
    </w:p>
    <w:p>
      <w:pPr>
        <w:pStyle w:val="Heading1"/>
        <w:keepNext/>
        <w:keepLines/>
      </w:pPr>
      <w:r>
        <w:t>11. Verification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Standard ID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IDs above </w:t>
            </w:r>
            <w:r>
              <w:rPr>
                <w:rFonts w:ascii="Calibri" w:hAnsi="Calibri"/>
                <w:b w:val="0"/>
                <w:color w:val="111827"/>
                <w:sz w:val="17"/>
              </w:rPr>
              <w:t>0x7FF</w:t>
            </w:r>
            <w:r>
              <w:rPr>
                <w:rFonts w:ascii="Calibri" w:hAnsi="Calibri"/>
                <w:b w:val="0"/>
                <w:color w:val="111827"/>
                <w:sz w:val="17"/>
              </w:rPr>
              <w:t xml:space="preserve"> in standard format.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Extended ID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only IDs through 29 bits.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Node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the 65th ECU node.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the 257th frame contract.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Topology ownership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an ECU belonging to another vehicle.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Unique topology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duplicate nodes, contract names, and format/ID pairs.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DLC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payload length to equal the contracted DLC.</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Producer ownership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submission by an undeclared producer.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Deterministic order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monotonically increasing sequence numbers.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Logical time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Derive transmission time only from explicit inputs.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Optimistic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current version for stale submissions.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Avoid advancing time, sequence, or version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Command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changed reuse with a stable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Commit aggregate, frame, audit, and outbox together.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Evidence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payload bytes from audit and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Separate read and manage permissions.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OpenAPI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typed contracts and pagination bounds.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Migration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Upgrade and downgrade the PostgreSQL schema.</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Arbitration priority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Select lowest ready CAN ID and standard before extended on equal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Readiness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Advance only logical time when the bus has no ready contender.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Nominal bit count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documented standard and extended classic CAN formulas.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Duration rounding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Round calculated microseconds upward to avoid zero or partial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Serial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Start the next winner only after prior completion.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Consumer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Record receipt and readiness-to-completion latency per declared consumer.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Utilization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Derive window, occupied, idle, percentage, and maximum latency consistently.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Batch versioning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 version once and sequence once per winning frame.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Arbitration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persisted result without advancing simulation state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Arbitration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changed command reuse with a stable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Arbitration RBAC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manage to execute and read to query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Arbitration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CAN payload bytes from event and audit metrics.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bl>
    <w:p>
      <w:pPr>
        <w:spacing w:after="60"/>
      </w:pPr>
    </w:p>
    <w:p>
      <w:pPr>
        <w:pStyle w:val="Heading1"/>
        <w:keepNext/>
        <w:keepLines/>
      </w:pPr>
      <w:r>
        <w:t>12. Implemented Evidence</w:t>
      </w:r>
    </w:p>
    <w:p>
      <w:pPr>
        <w:pStyle w:val="ListBullet"/>
        <w:numPr>
          <w:ilvl w:val="0"/>
          <w:numId w:val="13"/>
        </w:numPr>
      </w:pPr>
      <w:r>
        <w:rPr>
          <w:rFonts w:ascii="Consolas" w:hAnsi="Consolas"/>
          <w:color w:val="1F4D78"/>
          <w:sz w:val="19"/>
        </w:rPr>
        <w:t>src/atep/can_network/</w:t>
      </w:r>
      <w:r>
        <w:rPr>
          <w:rFonts w:ascii="Calibri" w:hAnsi="Calibri"/>
          <w:color w:val="111827"/>
          <w:sz w:val="22"/>
        </w:rPr>
        <w:t xml:space="preserve"> contains models, schemas, service, and router.</w:t>
      </w:r>
    </w:p>
    <w:p>
      <w:pPr>
        <w:pStyle w:val="ListBullet"/>
        <w:numPr>
          <w:ilvl w:val="0"/>
          <w:numId w:val="13"/>
        </w:numPr>
      </w:pPr>
      <w:r>
        <w:rPr>
          <w:rFonts w:ascii="Calibri" w:hAnsi="Calibri"/>
          <w:color w:val="111827"/>
          <w:sz w:val="22"/>
        </w:rPr>
        <w:t xml:space="preserve">Migrations </w:t>
      </w:r>
      <w:r>
        <w:rPr>
          <w:rFonts w:ascii="Consolas" w:hAnsi="Consolas"/>
          <w:color w:val="1F4D78"/>
          <w:sz w:val="19"/>
        </w:rPr>
        <w:t>0024_can_network_baseline</w:t>
      </w:r>
      <w:r>
        <w:rPr>
          <w:rFonts w:ascii="Calibri" w:hAnsi="Calibri"/>
          <w:color w:val="111827"/>
          <w:sz w:val="22"/>
        </w:rPr>
        <w:t xml:space="preserve"> and </w:t>
      </w:r>
      <w:r>
        <w:rPr>
          <w:rFonts w:ascii="Consolas" w:hAnsi="Consolas"/>
          <w:color w:val="1F4D78"/>
          <w:sz w:val="19"/>
        </w:rPr>
        <w:t>0025_can_arbitration</w:t>
      </w:r>
      <w:r>
        <w:rPr>
          <w:rFonts w:ascii="Calibri" w:hAnsi="Calibri"/>
          <w:color w:val="111827"/>
          <w:sz w:val="22"/>
        </w:rPr>
        <w:t xml:space="preserve"> own the database schema.</w:t>
      </w:r>
    </w:p>
    <w:p>
      <w:pPr>
        <w:pStyle w:val="ListBullet"/>
        <w:numPr>
          <w:ilvl w:val="0"/>
          <w:numId w:val="13"/>
        </w:numPr>
      </w:pPr>
      <w:r>
        <w:rPr>
          <w:rFonts w:ascii="Calibri" w:hAnsi="Calibri"/>
          <w:color w:val="111827"/>
          <w:sz w:val="22"/>
        </w:rPr>
        <w:t xml:space="preserve">Events include </w:t>
      </w:r>
      <w:r>
        <w:rPr>
          <w:rFonts w:ascii="Consolas" w:hAnsi="Consolas"/>
          <w:color w:val="1F4D78"/>
          <w:sz w:val="19"/>
        </w:rPr>
        <w:t>atep.can.network.created.v1</w:t>
      </w:r>
      <w:r>
        <w:rPr>
          <w:rFonts w:ascii="Calibri" w:hAnsi="Calibri"/>
          <w:color w:val="111827"/>
          <w:sz w:val="22"/>
        </w:rPr>
        <w:t xml:space="preserve">, </w:t>
      </w:r>
      <w:r>
        <w:rPr>
          <w:rFonts w:ascii="Consolas" w:hAnsi="Consolas"/>
          <w:color w:val="1F4D78"/>
          <w:sz w:val="19"/>
        </w:rPr>
        <w:t>atep.can.frame.submitted.v1</w:t>
      </w:r>
      <w:r>
        <w:rPr>
          <w:rFonts w:ascii="Calibri" w:hAnsi="Calibri"/>
          <w:color w:val="111827"/>
          <w:sz w:val="22"/>
        </w:rPr>
        <w:t>, and</w:t>
      </w:r>
    </w:p>
    <w:p>
      <w:r>
        <w:rPr>
          <w:rFonts w:ascii="Consolas" w:hAnsi="Consolas"/>
          <w:color w:val="1F4D78"/>
          <w:sz w:val="19"/>
        </w:rPr>
        <w:t>atep.can.arbitration.completed.v1</w:t>
      </w:r>
      <w:r>
        <w:rPr>
          <w:rFonts w:ascii="Calibri" w:hAnsi="Calibri"/>
          <w:color w:val="111827"/>
          <w:sz w:val="22"/>
        </w:rPr>
        <w:t>.</w:t>
      </w:r>
    </w:p>
    <w:p>
      <w:pPr>
        <w:pStyle w:val="ListBullet"/>
        <w:numPr>
          <w:ilvl w:val="0"/>
          <w:numId w:val="14"/>
        </w:numPr>
      </w:pPr>
      <w:r>
        <w:rPr>
          <w:rFonts w:ascii="Calibri" w:hAnsi="Calibri"/>
          <w:color w:val="111827"/>
          <w:sz w:val="22"/>
        </w:rPr>
        <w:t xml:space="preserve">Permissions are </w:t>
      </w:r>
      <w:r>
        <w:rPr>
          <w:rFonts w:ascii="Consolas" w:hAnsi="Consolas"/>
          <w:color w:val="1F4D78"/>
          <w:sz w:val="19"/>
        </w:rPr>
        <w:t>can_networks:read</w:t>
      </w:r>
      <w:r>
        <w:rPr>
          <w:rFonts w:ascii="Calibri" w:hAnsi="Calibri"/>
          <w:color w:val="111827"/>
          <w:sz w:val="22"/>
        </w:rPr>
        <w:t xml:space="preserve"> and </w:t>
      </w:r>
      <w:r>
        <w:rPr>
          <w:rFonts w:ascii="Consolas" w:hAnsi="Consolas"/>
          <w:color w:val="1F4D78"/>
          <w:sz w:val="19"/>
        </w:rPr>
        <w:t>can_networks:manage</w:t>
      </w:r>
      <w:r>
        <w:rPr>
          <w:rFonts w:ascii="Calibri" w:hAnsi="Calibri"/>
          <w:color w:val="111827"/>
          <w:sz w:val="22"/>
        </w:rPr>
        <w:t>.</w:t>
      </w:r>
    </w:p>
    <w:p>
      <w:pPr>
        <w:pStyle w:val="ListBullet"/>
        <w:numPr>
          <w:ilvl w:val="0"/>
          <w:numId w:val="14"/>
        </w:numPr>
      </w:pPr>
      <w:r>
        <w:rPr>
          <w:rFonts w:ascii="Calibri" w:hAnsi="Calibri"/>
          <w:color w:val="111827"/>
          <w:sz w:val="22"/>
        </w:rPr>
        <w:t>Automated tests cover validation, priority, timing mathematics, readiness, delivery, utilization,</w:t>
      </w:r>
    </w:p>
    <w:p>
      <w:r>
        <w:rPr>
          <w:rFonts w:ascii="Calibri" w:hAnsi="Calibri"/>
          <w:color w:val="111827"/>
          <w:sz w:val="22"/>
        </w:rPr>
        <w:t>versioning, replay, errors, evidence minimization, persistence, and OpenAPI.</w:t>
      </w:r>
    </w:p>
    <w:p>
      <w:pPr>
        <w:pStyle w:val="Heading1"/>
        <w:keepNext/>
        <w:keepLines/>
      </w:pPr>
      <w:r>
        <w:t>13. Risks and Technical Debt</w:t>
      </w:r>
    </w:p>
    <w:p>
      <w:pPr>
        <w:pStyle w:val="ListBullet"/>
        <w:numPr>
          <w:ilvl w:val="0"/>
          <w:numId w:val="15"/>
        </w:numPr>
      </w:pPr>
      <w:r>
        <w:rPr>
          <w:rFonts w:ascii="Calibri" w:hAnsi="Calibri"/>
          <w:color w:val="111827"/>
          <w:sz w:val="22"/>
        </w:rPr>
        <w:t>JSON topology is practical for the bounded baseline but may later need normalized history.</w:t>
      </w:r>
    </w:p>
    <w:p>
      <w:pPr>
        <w:pStyle w:val="ListBullet"/>
        <w:numPr>
          <w:ilvl w:val="0"/>
          <w:numId w:val="15"/>
        </w:numPr>
      </w:pPr>
      <w:r>
        <w:rPr>
          <w:rFonts w:ascii="Calibri" w:hAnsi="Calibri"/>
          <w:color w:val="111827"/>
          <w:sz w:val="22"/>
        </w:rPr>
        <w:t>One network per vehicle is intentionally conservative; real vehicles contain multiple buses.</w:t>
      </w:r>
    </w:p>
    <w:p>
      <w:pPr>
        <w:pStyle w:val="ListBullet"/>
        <w:numPr>
          <w:ilvl w:val="0"/>
          <w:numId w:val="15"/>
        </w:numPr>
      </w:pPr>
      <w:r>
        <w:rPr>
          <w:rFonts w:ascii="Calibri" w:hAnsi="Calibri"/>
          <w:color w:val="111827"/>
          <w:sz w:val="22"/>
        </w:rPr>
        <w:t>Stored payloads are test evidence and may require a future retention policy.</w:t>
      </w:r>
    </w:p>
    <w:p>
      <w:pPr>
        <w:pStyle w:val="ListBullet"/>
        <w:numPr>
          <w:ilvl w:val="0"/>
          <w:numId w:val="15"/>
        </w:numPr>
      </w:pPr>
      <w:r>
        <w:rPr>
          <w:rFonts w:ascii="Calibri" w:hAnsi="Calibri"/>
          <w:color w:val="111827"/>
          <w:sz w:val="22"/>
        </w:rPr>
        <w:t>Nominal duration excludes variable bit stuffing and physical-layer effects.</w:t>
      </w:r>
    </w:p>
    <w:p>
      <w:pPr>
        <w:pStyle w:val="ListBullet"/>
        <w:numPr>
          <w:ilvl w:val="0"/>
          <w:numId w:val="15"/>
        </w:numPr>
      </w:pPr>
      <w:r>
        <w:rPr>
          <w:rFonts w:ascii="Calibri" w:hAnsi="Calibri"/>
          <w:color w:val="111827"/>
          <w:sz w:val="22"/>
        </w:rPr>
        <w:t>Arbitration currently models one attempt; acknowledgement and retransmission are future work.</w:t>
      </w:r>
    </w:p>
    <w:p>
      <w:pPr>
        <w:pStyle w:val="ListBullet"/>
        <w:numPr>
          <w:ilvl w:val="0"/>
          <w:numId w:val="15"/>
        </w:numPr>
      </w:pPr>
      <w:r>
        <w:rPr>
          <w:rFonts w:ascii="Calibri" w:hAnsi="Calibri"/>
          <w:color w:val="111827"/>
          <w:sz w:val="22"/>
        </w:rPr>
        <w:t>No DBC adapter currently maps Volume III semantic values into payload bytes.</w:t>
      </w:r>
    </w:p>
    <w:p>
      <w:pPr>
        <w:pStyle w:val="Heading1"/>
        <w:keepNext/>
        <w:keepLines/>
      </w:pPr>
      <w:r>
        <w:t>14. Roadmap</w:t>
      </w:r>
    </w:p>
    <w:p>
      <w:r>
        <w:rPr>
          <w:rFonts w:ascii="Calibri" w:hAnsi="Calibri"/>
          <w:color w:val="111827"/>
          <w:sz w:val="22"/>
        </w:rPr>
        <w:t xml:space="preserve">The recommended next increment is IV-3: a DBC catalogue with signal encoding/decoding, scaling, offsets, signed values, and byte order. See </w:t>
      </w:r>
      <w:r>
        <w:rPr>
          <w:rFonts w:ascii="Consolas" w:hAnsi="Consolas"/>
          <w:color w:val="1F4D78"/>
          <w:sz w:val="19"/>
        </w:rPr>
        <w:t>docs/roadmap-volume-iv.md</w:t>
      </w:r>
      <w:r>
        <w:rPr>
          <w:rFonts w:ascii="Calibri" w:hAnsi="Calibri"/>
          <w:color w:val="111827"/>
          <w:sz w:val="22"/>
        </w:rPr>
        <w:t>.</w:t>
      </w:r>
    </w:p>
    <w:p>
      <w:pPr>
        <w:pStyle w:val="Heading1"/>
        <w:keepNext/>
        <w:keepLines/>
      </w:pPr>
      <w:r>
        <w:t>15. Study Exercises</w:t>
      </w:r>
    </w:p>
    <w:p>
      <w:pPr>
        <w:pStyle w:val="ListNumber"/>
        <w:numPr>
          <w:ilvl w:val="0"/>
          <w:numId w:val="16"/>
        </w:numPr>
      </w:pPr>
      <w:r>
        <w:rPr>
          <w:rFonts w:ascii="Calibri" w:hAnsi="Calibri"/>
          <w:color w:val="111827"/>
          <w:sz w:val="22"/>
        </w:rPr>
        <w:t>Explain why a CAN node references an ECU UUID instead of copying ECU state.</w:t>
      </w:r>
    </w:p>
    <w:p>
      <w:pPr>
        <w:pStyle w:val="ListNumber"/>
        <w:numPr>
          <w:ilvl w:val="0"/>
          <w:numId w:val="16"/>
        </w:numPr>
      </w:pPr>
      <w:r>
        <w:rPr>
          <w:rFonts w:ascii="Calibri" w:hAnsi="Calibri"/>
          <w:color w:val="111827"/>
          <w:sz w:val="22"/>
        </w:rPr>
        <w:t>Compare standard 11-bit and extended 29-bit identifier limits.</w:t>
      </w:r>
    </w:p>
    <w:p>
      <w:pPr>
        <w:pStyle w:val="ListNumber"/>
        <w:numPr>
          <w:ilvl w:val="0"/>
          <w:numId w:val="16"/>
        </w:numPr>
      </w:pPr>
      <w:r>
        <w:rPr>
          <w:rFonts w:ascii="Calibri" w:hAnsi="Calibri"/>
          <w:color w:val="111827"/>
          <w:sz w:val="22"/>
        </w:rPr>
        <w:t>Design a battery-status contract with a two-byte payload and three consumers.</w:t>
      </w:r>
    </w:p>
    <w:p>
      <w:pPr>
        <w:pStyle w:val="ListNumber"/>
        <w:numPr>
          <w:ilvl w:val="0"/>
          <w:numId w:val="16"/>
        </w:numPr>
      </w:pPr>
      <w:r>
        <w:rPr>
          <w:rFonts w:ascii="Calibri" w:hAnsi="Calibri"/>
          <w:color w:val="111827"/>
          <w:sz w:val="22"/>
        </w:rPr>
        <w:t>Trace a successful submission through row lock, version, sequence, audit, and outbox.</w:t>
      </w:r>
    </w:p>
    <w:p>
      <w:pPr>
        <w:pStyle w:val="ListNumber"/>
        <w:numPr>
          <w:ilvl w:val="0"/>
          <w:numId w:val="16"/>
        </w:numPr>
      </w:pPr>
      <w:r>
        <w:rPr>
          <w:rFonts w:ascii="Calibri" w:hAnsi="Calibri"/>
          <w:color w:val="111827"/>
          <w:sz w:val="22"/>
        </w:rPr>
        <w:t>Explain why host elapsed time cannot be used as simulated bus time.</w:t>
      </w:r>
    </w:p>
    <w:p>
      <w:pPr>
        <w:pStyle w:val="ListNumber"/>
        <w:numPr>
          <w:ilvl w:val="0"/>
          <w:numId w:val="16"/>
        </w:numPr>
      </w:pPr>
      <w:r>
        <w:rPr>
          <w:rFonts w:ascii="Calibri" w:hAnsi="Calibri"/>
          <w:color w:val="111827"/>
          <w:sz w:val="22"/>
        </w:rPr>
        <w:t>Prove why an exact retry must not increment sequence twice.</w:t>
      </w:r>
    </w:p>
    <w:p>
      <w:pPr>
        <w:pStyle w:val="ListNumber"/>
        <w:numPr>
          <w:ilvl w:val="0"/>
          <w:numId w:val="16"/>
        </w:numPr>
      </w:pPr>
      <w:r>
        <w:rPr>
          <w:rFonts w:ascii="Calibri" w:hAnsi="Calibri"/>
          <w:color w:val="111827"/>
          <w:sz w:val="22"/>
        </w:rPr>
        <w:t xml:space="preserve">Compare </w:t>
      </w:r>
      <w:r>
        <w:rPr>
          <w:rFonts w:ascii="Consolas" w:hAnsi="Consolas"/>
          <w:color w:val="1F4D78"/>
          <w:sz w:val="19"/>
        </w:rPr>
        <w:t>can_network_version_conflict</w:t>
      </w:r>
      <w:r>
        <w:rPr>
          <w:rFonts w:ascii="Calibri" w:hAnsi="Calibri"/>
          <w:color w:val="111827"/>
          <w:sz w:val="22"/>
        </w:rPr>
        <w:t xml:space="preserve"> and </w:t>
      </w:r>
      <w:r>
        <w:rPr>
          <w:rFonts w:ascii="Consolas" w:hAnsi="Consolas"/>
          <w:color w:val="1F4D78"/>
          <w:sz w:val="19"/>
        </w:rPr>
        <w:t>can_frame_command_conflict</w:t>
      </w:r>
      <w:r>
        <w:rPr>
          <w:rFonts w:ascii="Calibri" w:hAnsi="Calibri"/>
          <w:color w:val="111827"/>
          <w:sz w:val="22"/>
        </w:rPr>
        <w:t>.</w:t>
      </w:r>
    </w:p>
    <w:p>
      <w:pPr>
        <w:pStyle w:val="ListNumber"/>
        <w:numPr>
          <w:ilvl w:val="0"/>
          <w:numId w:val="16"/>
        </w:numPr>
      </w:pPr>
      <w:r>
        <w:rPr>
          <w:rFonts w:ascii="Calibri" w:hAnsi="Calibri"/>
          <w:color w:val="111827"/>
          <w:sz w:val="22"/>
        </w:rPr>
        <w:t>Explain why payload bytes are stored as evidence but excluded from audit and events.</w:t>
      </w:r>
    </w:p>
    <w:p>
      <w:pPr>
        <w:pStyle w:val="ListNumber"/>
        <w:numPr>
          <w:ilvl w:val="0"/>
          <w:numId w:val="16"/>
        </w:numPr>
      </w:pPr>
      <w:r>
        <w:rPr>
          <w:rFonts w:ascii="Calibri" w:hAnsi="Calibri"/>
          <w:color w:val="111827"/>
          <w:sz w:val="22"/>
        </w:rPr>
        <w:t xml:space="preserve">Prove the winner order for simultaneous IDs </w:t>
      </w:r>
      <w:r>
        <w:rPr>
          <w:rFonts w:ascii="Consolas" w:hAnsi="Consolas"/>
          <w:color w:val="1F4D78"/>
          <w:sz w:val="19"/>
        </w:rPr>
        <w:t>0x100</w:t>
      </w:r>
      <w:r>
        <w:rPr>
          <w:rFonts w:ascii="Calibri" w:hAnsi="Calibri"/>
          <w:color w:val="111827"/>
          <w:sz w:val="22"/>
        </w:rPr>
        <w:t xml:space="preserve">, </w:t>
      </w:r>
      <w:r>
        <w:rPr>
          <w:rFonts w:ascii="Consolas" w:hAnsi="Consolas"/>
          <w:color w:val="1F4D78"/>
          <w:sz w:val="19"/>
        </w:rPr>
        <w:t>0x180</w:t>
      </w:r>
      <w:r>
        <w:rPr>
          <w:rFonts w:ascii="Calibri" w:hAnsi="Calibri"/>
          <w:color w:val="111827"/>
          <w:sz w:val="22"/>
        </w:rPr>
        <w:t xml:space="preserve">, and </w:t>
      </w:r>
      <w:r>
        <w:rPr>
          <w:rFonts w:ascii="Consolas" w:hAnsi="Consolas"/>
          <w:color w:val="1F4D78"/>
          <w:sz w:val="19"/>
        </w:rPr>
        <w:t>0x200</w:t>
      </w:r>
      <w:r>
        <w:rPr>
          <w:rFonts w:ascii="Calibri" w:hAnsi="Calibri"/>
          <w:color w:val="111827"/>
          <w:sz w:val="22"/>
        </w:rPr>
        <w:t>.</w:t>
      </w:r>
    </w:p>
    <w:p>
      <w:pPr>
        <w:pStyle w:val="ListNumber"/>
        <w:numPr>
          <w:ilvl w:val="0"/>
          <w:numId w:val="16"/>
        </w:numPr>
      </w:pPr>
      <w:r>
        <w:rPr>
          <w:rFonts w:ascii="Calibri" w:hAnsi="Calibri"/>
          <w:color w:val="111827"/>
          <w:sz w:val="22"/>
        </w:rPr>
        <w:t>Calculate nominal duration for standard DLC 8 at 500 kbit/s and list omitted effects.</w:t>
      </w:r>
    </w:p>
    <w:p>
      <w:pPr>
        <w:pStyle w:val="ListNumber"/>
        <w:numPr>
          <w:ilvl w:val="0"/>
          <w:numId w:val="16"/>
        </w:numPr>
      </w:pPr>
      <w:r>
        <w:rPr>
          <w:rFonts w:ascii="Calibri" w:hAnsi="Calibri"/>
          <w:color w:val="111827"/>
          <w:sz w:val="22"/>
        </w:rPr>
        <w:t>Design the DBC adapter boundary between a BMS semantic signal and a CAN payload.</w:t>
      </w:r>
    </w:p>
    <w:p>
      <w:pPr>
        <w:pStyle w:val="ListNumber"/>
        <w:numPr>
          <w:ilvl w:val="0"/>
          <w:numId w:val="16"/>
        </w:numPr>
      </w:pPr>
      <w:r>
        <w:rPr>
          <w:rFonts w:ascii="Calibri" w:hAnsi="Calibri"/>
          <w:color w:val="111827"/>
          <w:sz w:val="22"/>
        </w:rPr>
        <w:t>Propose how multiple buses per vehicle could be added without breaking current identifiers.</w:t>
      </w:r>
    </w:p>
    <w:p>
      <w:pPr>
        <w:pStyle w:val="ListNumber"/>
        <w:numPr>
          <w:ilvl w:val="0"/>
          <w:numId w:val="16"/>
        </w:numPr>
      </w:pPr>
      <w:r>
        <w:rPr>
          <w:rFonts w:ascii="Calibri" w:hAnsi="Calibri"/>
          <w:color w:val="111827"/>
          <w:sz w:val="22"/>
        </w:rPr>
        <w:t>Explain why standard format precedes extended format for an equal numeric identifier.</w:t>
      </w:r>
    </w:p>
    <w:p>
      <w:pPr>
        <w:pStyle w:val="ListNumber"/>
        <w:numPr>
          <w:ilvl w:val="0"/>
          <w:numId w:val="16"/>
        </w:numPr>
      </w:pPr>
      <w:r>
        <w:rPr>
          <w:rFonts w:ascii="Calibri" w:hAnsi="Calibri"/>
          <w:color w:val="111827"/>
          <w:sz w:val="22"/>
        </w:rPr>
        <w:t>Calculate utilization when a frame becomes ready 50 microseconds after the window begins.</w:t>
      </w:r>
    </w:p>
    <w:p>
      <w:pPr>
        <w:pStyle w:val="ListNumber"/>
        <w:numPr>
          <w:ilvl w:val="0"/>
          <w:numId w:val="16"/>
        </w:numPr>
      </w:pPr>
      <w:r>
        <w:rPr>
          <w:rFonts w:ascii="Calibri" w:hAnsi="Calibri"/>
          <w:color w:val="111827"/>
          <w:sz w:val="22"/>
        </w:rPr>
        <w:t>Explain why one batch increments aggregate version once but sequence once per winner.</w:t>
      </w:r>
    </w:p>
    <w:p>
      <w:pPr>
        <w:pStyle w:val="ListNumber"/>
        <w:numPr>
          <w:ilvl w:val="0"/>
          <w:numId w:val="16"/>
        </w:numPr>
      </w:pPr>
      <w:r>
        <w:rPr>
          <w:rFonts w:ascii="Calibri" w:hAnsi="Calibri"/>
          <w:color w:val="111827"/>
          <w:sz w:val="22"/>
        </w:rPr>
        <w:t>Design an acknowledgement-failure extension without changing the nominal IV-2 evidence.</w:t>
      </w:r>
    </w:p>
    <w:sectPr w:rsidR="00FC693F" w:rsidRPr="0006063C" w:rsidSect="00034616">
      <w:headerReference w:type="default" r:id="rId9"/>
      <w:footerReference w:type="default" r:id="rId10"/>
      <w:pgSz w:w="12240" w:h="15840"/>
      <w:pgMar w:top="1440" w:right="1440" w:bottom="1728" w:left="1440" w:header="708"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Volume IV Workbook  |  Version 0.2.0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IV  /  CAN NETWORK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IV - CAN Network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docs/workbook-volume-iv.md</dc:description>
  <cp:lastModifiedBy/>
  <cp:revision>1</cp:revision>
  <dcterms:created xsi:type="dcterms:W3CDTF">2013-12-23T23:15:00Z</dcterms:created>
  <dcterms:modified xsi:type="dcterms:W3CDTF">2013-12-23T23:15:00Z</dcterms:modified>
  <cp:category/>
</cp:coreProperties>
</file>