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240"/>
        <w:jc w:val="center"/>
      </w:pPr>
      <w:r>
        <w:rPr>
          <w:rFonts w:ascii="Calibri" w:hAnsi="Calibri"/>
          <w:b/>
          <w:color w:val="2E74B5"/>
          <w:sz w:val="22"/>
        </w:rPr>
        <w:t>LOCAL EXECUTION GUIDE</w:t>
      </w:r>
    </w:p>
    <w:p>
      <w:pPr>
        <w:spacing w:after="160"/>
        <w:jc w:val="center"/>
      </w:pPr>
      <w:r>
        <w:rPr>
          <w:rFonts w:ascii="Calibri" w:hAnsi="Calibri"/>
          <w:b/>
          <w:color w:val="1F4E79"/>
          <w:sz w:val="56"/>
        </w:rPr>
        <w:t>Automotive Test Engineering Platform</w:t>
      </w:r>
    </w:p>
    <w:p>
      <w:pPr>
        <w:spacing w:after="680"/>
        <w:jc w:val="center"/>
      </w:pPr>
      <w:r>
        <w:rPr>
          <w:rFonts w:ascii="Calibri" w:hAnsi="Calibri"/>
          <w:color w:val="5A626C"/>
          <w:sz w:val="28"/>
        </w:rPr>
        <w:t>Step-by-step setup and operation on Windows with WSL2 and Docker Desktop</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8F3EA"/>
          </w:tcPr>
          <w:p>
            <w:pPr>
              <w:spacing w:after="0"/>
            </w:pPr>
            <w:r>
              <w:rPr>
                <w:rFonts w:ascii="Calibri" w:hAnsi="Calibri"/>
                <w:b/>
                <w:color w:val="1F4E79"/>
                <w:sz w:val="20"/>
              </w:rPr>
              <w:t xml:space="preserve">Recommended path: </w:t>
            </w:r>
            <w:r>
              <w:rPr>
                <w:rFonts w:ascii="Calibri" w:hAnsi="Calibri"/>
                <w:sz w:val="20"/>
              </w:rPr>
              <w:t>Run the full platform with Docker Compose. It reproduces PostgreSQL, Redis, RabbitMQ, migrations, the FastAPI service, and the outbox worker without installing those services separately.</w:t>
            </w:r>
          </w:p>
        </w:tc>
      </w:tr>
    </w:tbl>
    <w:p>
      <w:pPr>
        <w:spacing w:after="0"/>
      </w:pPr>
    </w:p>
    <w:p>
      <w:pPr>
        <w:spacing w:before="760"/>
        <w:jc w:val="center"/>
      </w:pPr>
      <w:r>
        <w:rPr>
          <w:rFonts w:ascii="Calibri" w:hAnsi="Calibri"/>
          <w:color w:val="5A626C"/>
          <w:sz w:val="20"/>
        </w:rPr>
        <w:t>Repository: paulacristinaqa/automotive_test_engineering_platform</w:t>
        <w:br/>
        <w:t>Edition: September 2026</w:t>
      </w:r>
    </w:p>
    <w:p>
      <w:r>
        <w:br w:type="page"/>
      </w:r>
    </w:p>
    <w:p>
      <w:pPr>
        <w:pStyle w:val="Heading1"/>
      </w:pPr>
      <w:r>
        <w:t>1. What this guide covers</w:t>
      </w:r>
    </w:p>
    <w:p>
      <w:r>
        <w:t>This procedure starts an already downloaded ATEP repository, validates all dependencies, creates safe local configuration, applies database migrations, opens the API, authenticates the bootstrap administrator, and explains routine shutdown and troubleshooting. Commands are written for PowerShell.</w:t>
      </w:r>
    </w:p>
    <w:p>
      <w:pPr>
        <w:pStyle w:val="ListBullet"/>
      </w:pPr>
      <w:r>
        <w:t>Primary route: Docker Desktop using the WSL2 backend.</w:t>
      </w:r>
    </w:p>
    <w:p>
      <w:pPr>
        <w:pStyle w:val="ListBullet"/>
      </w:pPr>
      <w:r>
        <w:t>Application URL: http://localhost:8000</w:t>
      </w:r>
    </w:p>
    <w:p>
      <w:pPr>
        <w:pStyle w:val="ListBullet"/>
      </w:pPr>
      <w:r>
        <w:t>Interactive API documentation: http://localhost:8000/docs</w:t>
      </w:r>
    </w:p>
    <w:p>
      <w:pPr>
        <w:pStyle w:val="ListBullet"/>
      </w:pPr>
      <w:r>
        <w:t>RabbitMQ local management page: http://localhost:15672</w:t>
      </w:r>
    </w:p>
    <w:p>
      <w:pPr>
        <w:pStyle w:val="ListBullet"/>
      </w:pPr>
      <w:r>
        <w:t>No AWS account, paid API, cloud service, or GPU is required for local execution.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FF4CE"/>
          </w:tcPr>
          <w:p>
            <w:pPr>
              <w:spacing w:after="0"/>
            </w:pPr>
            <w:r>
              <w:rPr>
                <w:rFonts w:ascii="Calibri" w:hAnsi="Calibri"/>
                <w:b/>
                <w:color w:val="1F4E79"/>
                <w:sz w:val="20"/>
              </w:rPr>
              <w:t xml:space="preserve">Current working copy: </w:t>
            </w:r>
            <w:r>
              <w:rPr>
                <w:rFonts w:ascii="Calibri" w:hAnsi="Calibri"/>
                <w:sz w:val="20"/>
              </w:rPr>
              <w:t>If the repository contains uncommitted work, do not reset or force checkout. The commands below first show how to inspect and preserve that work.</w:t>
            </w:r>
          </w:p>
        </w:tc>
      </w:tr>
    </w:tbl>
    <w:p>
      <w:pPr>
        <w:spacing w:after="0"/>
      </w:pPr>
    </w:p>
    <w:p>
      <w:pPr>
        <w:pStyle w:val="Heading1"/>
      </w:pPr>
      <w:r>
        <w:t>2. Prerequisites</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val="true"/>
        </w:trPr>
        <w:tc>
          <w:tcPr>
            <w:tcW w:type="dxa" w:w="1800"/>
            <w:tcMar>
              <w:top w:w="80" w:type="dxa"/>
              <w:start w:w="120" w:type="dxa"/>
              <w:bottom w:w="80" w:type="dxa"/>
              <w:end w:w="120" w:type="dxa"/>
            </w:tcMar>
            <w:shd w:fill="E8EEF5"/>
            <w:vAlign w:val="center"/>
          </w:tcPr>
          <w:p>
            <w:pPr>
              <w:spacing w:after="0"/>
            </w:pPr>
            <w:r>
              <w:rPr>
                <w:rFonts w:ascii="Calibri" w:hAnsi="Calibri"/>
                <w:b/>
                <w:color w:val="1F4E79"/>
                <w:sz w:val="19"/>
              </w:rPr>
              <w:t>Component</w:t>
            </w:r>
          </w:p>
        </w:tc>
        <w:tc>
          <w:tcPr>
            <w:tcW w:type="dxa" w:w="3900"/>
            <w:tcMar>
              <w:top w:w="80" w:type="dxa"/>
              <w:start w:w="120" w:type="dxa"/>
              <w:bottom w:w="80" w:type="dxa"/>
              <w:end w:w="120" w:type="dxa"/>
            </w:tcMar>
            <w:shd w:fill="E8EEF5"/>
            <w:vAlign w:val="center"/>
          </w:tcPr>
          <w:p>
            <w:pPr>
              <w:spacing w:after="0"/>
            </w:pPr>
            <w:r>
              <w:rPr>
                <w:rFonts w:ascii="Calibri" w:hAnsi="Calibri"/>
                <w:b/>
                <w:color w:val="1F4E79"/>
                <w:sz w:val="19"/>
              </w:rPr>
              <w:t>Purpose</w:t>
            </w:r>
          </w:p>
        </w:tc>
        <w:tc>
          <w:tcPr>
            <w:tcW w:type="dxa" w:w="3660"/>
            <w:tcMar>
              <w:top w:w="80" w:type="dxa"/>
              <w:start w:w="120" w:type="dxa"/>
              <w:bottom w:w="80" w:type="dxa"/>
              <w:end w:w="120" w:type="dxa"/>
            </w:tcMar>
            <w:shd w:fill="E8EEF5"/>
            <w:vAlign w:val="center"/>
          </w:tcPr>
          <w:p>
            <w:pPr>
              <w:spacing w:after="0"/>
            </w:pPr>
            <w:r>
              <w:rPr>
                <w:rFonts w:ascii="Calibri" w:hAnsi="Calibri"/>
                <w:b/>
                <w:color w:val="1F4E79"/>
                <w:sz w:val="19"/>
              </w:rPr>
              <w:t>Minimum check</w:t>
            </w:r>
          </w:p>
        </w:tc>
      </w:tr>
      <w:tr>
        <w:tc>
          <w:tcPr>
            <w:tcW w:type="dxa" w:w="1800"/>
            <w:vAlign w:val="center"/>
          </w:tcPr>
          <w:p>
            <w:pPr>
              <w:spacing w:after="0"/>
            </w:pPr>
            <w:r>
              <w:rPr>
                <w:rFonts w:ascii="Calibri" w:hAnsi="Calibri"/>
                <w:sz w:val="19"/>
              </w:rPr>
              <w:t>Git</w:t>
            </w:r>
          </w:p>
        </w:tc>
        <w:tc>
          <w:tcPr>
            <w:tcW w:type="dxa" w:w="3900"/>
            <w:vAlign w:val="center"/>
          </w:tcPr>
          <w:p>
            <w:pPr>
              <w:spacing w:after="0"/>
            </w:pPr>
            <w:r>
              <w:rPr>
                <w:rFonts w:ascii="Calibri" w:hAnsi="Calibri"/>
                <w:sz w:val="19"/>
              </w:rPr>
              <w:t>Update and inspect the repository</w:t>
            </w:r>
          </w:p>
        </w:tc>
        <w:tc>
          <w:tcPr>
            <w:tcW w:type="dxa" w:w="3660"/>
            <w:vAlign w:val="center"/>
          </w:tcPr>
          <w:p>
            <w:pPr>
              <w:spacing w:after="0"/>
            </w:pPr>
            <w:r>
              <w:rPr>
                <w:rFonts w:ascii="Calibri" w:hAnsi="Calibri"/>
                <w:sz w:val="19"/>
              </w:rPr>
              <w:t>git --version</w:t>
            </w:r>
          </w:p>
        </w:tc>
      </w:tr>
      <w:tr>
        <w:tc>
          <w:tcPr>
            <w:tcW w:type="dxa" w:w="1800"/>
            <w:vAlign w:val="center"/>
          </w:tcPr>
          <w:p>
            <w:pPr>
              <w:spacing w:after="0"/>
            </w:pPr>
            <w:r>
              <w:rPr>
                <w:rFonts w:ascii="Calibri" w:hAnsi="Calibri"/>
                <w:sz w:val="19"/>
              </w:rPr>
              <w:t>Docker Desktop</w:t>
            </w:r>
          </w:p>
        </w:tc>
        <w:tc>
          <w:tcPr>
            <w:tcW w:type="dxa" w:w="3900"/>
            <w:vAlign w:val="center"/>
          </w:tcPr>
          <w:p>
            <w:pPr>
              <w:spacing w:after="0"/>
            </w:pPr>
            <w:r>
              <w:rPr>
                <w:rFonts w:ascii="Calibri" w:hAnsi="Calibri"/>
                <w:sz w:val="19"/>
              </w:rPr>
              <w:t>Runs the complete local platform</w:t>
            </w:r>
          </w:p>
        </w:tc>
        <w:tc>
          <w:tcPr>
            <w:tcW w:type="dxa" w:w="3660"/>
            <w:vAlign w:val="center"/>
          </w:tcPr>
          <w:p>
            <w:pPr>
              <w:spacing w:after="0"/>
            </w:pPr>
            <w:r>
              <w:rPr>
                <w:rFonts w:ascii="Calibri" w:hAnsi="Calibri"/>
                <w:sz w:val="19"/>
              </w:rPr>
              <w:t>docker version</w:t>
            </w:r>
          </w:p>
        </w:tc>
      </w:tr>
      <w:tr>
        <w:tc>
          <w:tcPr>
            <w:tcW w:type="dxa" w:w="1800"/>
            <w:vAlign w:val="center"/>
          </w:tcPr>
          <w:p>
            <w:pPr>
              <w:spacing w:after="0"/>
            </w:pPr>
            <w:r>
              <w:rPr>
                <w:rFonts w:ascii="Calibri" w:hAnsi="Calibri"/>
                <w:sz w:val="19"/>
              </w:rPr>
              <w:t>Docker Compose</w:t>
            </w:r>
          </w:p>
        </w:tc>
        <w:tc>
          <w:tcPr>
            <w:tcW w:type="dxa" w:w="3900"/>
            <w:vAlign w:val="center"/>
          </w:tcPr>
          <w:p>
            <w:pPr>
              <w:spacing w:after="0"/>
            </w:pPr>
            <w:r>
              <w:rPr>
                <w:rFonts w:ascii="Calibri" w:hAnsi="Calibri"/>
                <w:sz w:val="19"/>
              </w:rPr>
              <w:t>Starts the multi-service topology</w:t>
            </w:r>
          </w:p>
        </w:tc>
        <w:tc>
          <w:tcPr>
            <w:tcW w:type="dxa" w:w="3660"/>
            <w:vAlign w:val="center"/>
          </w:tcPr>
          <w:p>
            <w:pPr>
              <w:spacing w:after="0"/>
            </w:pPr>
            <w:r>
              <w:rPr>
                <w:rFonts w:ascii="Calibri" w:hAnsi="Calibri"/>
                <w:sz w:val="19"/>
              </w:rPr>
              <w:t>docker compose version</w:t>
            </w:r>
          </w:p>
        </w:tc>
      </w:tr>
      <w:tr>
        <w:tc>
          <w:tcPr>
            <w:tcW w:type="dxa" w:w="1800"/>
            <w:vAlign w:val="center"/>
          </w:tcPr>
          <w:p>
            <w:pPr>
              <w:spacing w:after="0"/>
            </w:pPr>
            <w:r>
              <w:rPr>
                <w:rFonts w:ascii="Calibri" w:hAnsi="Calibri"/>
                <w:sz w:val="19"/>
              </w:rPr>
              <w:t>WSL2</w:t>
            </w:r>
          </w:p>
        </w:tc>
        <w:tc>
          <w:tcPr>
            <w:tcW w:type="dxa" w:w="3900"/>
            <w:vAlign w:val="center"/>
          </w:tcPr>
          <w:p>
            <w:pPr>
              <w:spacing w:after="0"/>
            </w:pPr>
            <w:r>
              <w:rPr>
                <w:rFonts w:ascii="Calibri" w:hAnsi="Calibri"/>
                <w:sz w:val="19"/>
              </w:rPr>
              <w:t>Linux backend for Docker Desktop on Windows</w:t>
            </w:r>
          </w:p>
        </w:tc>
        <w:tc>
          <w:tcPr>
            <w:tcW w:type="dxa" w:w="3660"/>
            <w:vAlign w:val="center"/>
          </w:tcPr>
          <w:p>
            <w:pPr>
              <w:spacing w:after="0"/>
            </w:pPr>
            <w:r>
              <w:rPr>
                <w:rFonts w:ascii="Calibri" w:hAnsi="Calibri"/>
                <w:sz w:val="19"/>
              </w:rPr>
              <w:t>wsl --list --verbose</w:t>
            </w:r>
          </w:p>
        </w:tc>
      </w:tr>
      <w:tr>
        <w:tc>
          <w:tcPr>
            <w:tcW w:type="dxa" w:w="1800"/>
            <w:vAlign w:val="center"/>
          </w:tcPr>
          <w:p>
            <w:pPr>
              <w:spacing w:after="0"/>
            </w:pPr>
            <w:r>
              <w:rPr>
                <w:rFonts w:ascii="Calibri" w:hAnsi="Calibri"/>
                <w:sz w:val="19"/>
              </w:rPr>
              <w:t>PowerShell</w:t>
            </w:r>
          </w:p>
        </w:tc>
        <w:tc>
          <w:tcPr>
            <w:tcW w:type="dxa" w:w="3900"/>
            <w:vAlign w:val="center"/>
          </w:tcPr>
          <w:p>
            <w:pPr>
              <w:spacing w:after="0"/>
            </w:pPr>
            <w:r>
              <w:rPr>
                <w:rFonts w:ascii="Calibri" w:hAnsi="Calibri"/>
                <w:sz w:val="19"/>
              </w:rPr>
              <w:t>Runs the documented commands</w:t>
            </w:r>
          </w:p>
        </w:tc>
        <w:tc>
          <w:tcPr>
            <w:tcW w:type="dxa" w:w="3660"/>
            <w:vAlign w:val="center"/>
          </w:tcPr>
          <w:p>
            <w:pPr>
              <w:spacing w:after="0"/>
            </w:pPr>
            <w:r>
              <w:rPr>
                <w:rFonts w:ascii="Calibri" w:hAnsi="Calibri"/>
                <w:sz w:val="19"/>
              </w:rPr>
              <w:t>$PSVersionTable.PSVersion</w:t>
            </w:r>
          </w:p>
        </w:tc>
      </w:tr>
      <w:tr>
        <w:tc>
          <w:tcPr>
            <w:tcW w:type="dxa" w:w="1800"/>
            <w:vAlign w:val="center"/>
          </w:tcPr>
          <w:p>
            <w:pPr>
              <w:spacing w:after="0"/>
            </w:pPr>
            <w:r>
              <w:rPr>
                <w:rFonts w:ascii="Calibri" w:hAnsi="Calibri"/>
                <w:sz w:val="19"/>
              </w:rPr>
              <w:t>Python 3.12+</w:t>
            </w:r>
          </w:p>
        </w:tc>
        <w:tc>
          <w:tcPr>
            <w:tcW w:type="dxa" w:w="3900"/>
            <w:vAlign w:val="center"/>
          </w:tcPr>
          <w:p>
            <w:pPr>
              <w:spacing w:after="0"/>
            </w:pPr>
            <w:r>
              <w:rPr>
                <w:rFonts w:ascii="Calibri" w:hAnsi="Calibri"/>
                <w:sz w:val="19"/>
              </w:rPr>
              <w:t>Only required for local quality tests</w:t>
            </w:r>
          </w:p>
        </w:tc>
        <w:tc>
          <w:tcPr>
            <w:tcW w:type="dxa" w:w="3660"/>
            <w:vAlign w:val="center"/>
          </w:tcPr>
          <w:p>
            <w:pPr>
              <w:spacing w:after="0"/>
            </w:pPr>
            <w:r>
              <w:rPr>
                <w:rFonts w:ascii="Calibri" w:hAnsi="Calibri"/>
                <w:sz w:val="19"/>
              </w:rPr>
              <w:t>python --version</w:t>
            </w:r>
          </w:p>
        </w:tc>
      </w:tr>
    </w:tbl>
    <w:p>
      <w:pPr>
        <w:spacing w:after="0"/>
      </w:pPr>
    </w:p>
    <w:p>
      <w:pPr>
        <w:pStyle w:val="Heading2"/>
      </w:pPr>
      <w:r>
        <w:t>2.1 Verify Windows and Docker</w:t>
      </w:r>
    </w:p>
    <w:p>
      <w:pPr>
        <w:pStyle w:val="CodeBlock"/>
        <w:keepLines/>
        <w:spacing w:before="60" w:after="140"/>
        <w:ind w:left="259" w:right="259"/>
        <w:shd w:fill="F3F5F7"/>
      </w:pPr>
      <w:r>
        <w:rPr>
          <w:rFonts w:ascii="Consolas" w:hAnsi="Consolas"/>
          <w:sz w:val="18"/>
        </w:rPr>
        <w:t>wsl --list --verbose</w:t>
        <w:br/>
        <w:t>docker version</w:t>
        <w:br/>
        <w:t>docker compose version</w:t>
      </w:r>
    </w:p>
    <w:p>
      <w:r>
        <w:t>WSL distributions should show version 2. Docker Desktop must be open and report both a client and a server. If only the client appears, start Docker Desktop and wait until its engine is ready.</w:t>
      </w:r>
    </w:p>
    <w:p>
      <w:pPr>
        <w:pStyle w:val="Heading1"/>
      </w:pPr>
      <w:r>
        <w:t>3. Open and inspect the repository safely</w:t>
      </w:r>
    </w:p>
    <w:p>
      <w:pPr>
        <w:pStyle w:val="ListNumber"/>
      </w:pPr>
      <w:r>
        <w:rPr>
          <w:b/>
        </w:rPr>
        <w:t>Open PowerShell</w:t>
      </w:r>
      <w:r>
        <w:t xml:space="preserve"> — Use a normal, non-administrator terminal unless Docker or your folder permissions specifically require elevation.</w:t>
      </w:r>
    </w:p>
    <w:p>
      <w:pPr>
        <w:pStyle w:val="ListNumber"/>
      </w:pPr>
      <w:r>
        <w:rPr>
          <w:b/>
        </w:rPr>
        <w:t>Enter the repository</w:t>
      </w:r>
      <w:r>
        <w:t xml:space="preserve"> — Use the local path where the project was downloaded.</w:t>
      </w:r>
    </w:p>
    <w:p>
      <w:pPr>
        <w:pStyle w:val="CodeBlock"/>
        <w:keepLines/>
        <w:spacing w:before="60" w:after="140"/>
        <w:ind w:left="259" w:right="259"/>
        <w:shd w:fill="F3F5F7"/>
      </w:pPr>
      <w:r>
        <w:rPr>
          <w:rFonts w:ascii="Consolas" w:hAnsi="Consolas"/>
          <w:sz w:val="18"/>
        </w:rPr>
        <w:t>Set-Location C:\projetos\automotive_test_engineering_platform</w:t>
      </w:r>
    </w:p>
    <w:p>
      <w:pPr>
        <w:pStyle w:val="ListNumber"/>
      </w:pPr>
      <w:r>
        <w:rPr>
          <w:b/>
        </w:rPr>
        <w:t>Confirm the remote and working state</w:t>
      </w:r>
      <w:r>
        <w:t xml:space="preserve"> — This prevents accidental loss of local development.</w:t>
      </w:r>
    </w:p>
    <w:p>
      <w:pPr>
        <w:pStyle w:val="CodeBlock"/>
        <w:keepLines/>
        <w:spacing w:before="60" w:after="140"/>
        <w:ind w:left="259" w:right="259"/>
        <w:shd w:fill="F3F5F7"/>
      </w:pPr>
      <w:r>
        <w:rPr>
          <w:rFonts w:ascii="Consolas" w:hAnsi="Consolas"/>
          <w:sz w:val="18"/>
        </w:rPr>
        <w:t>git remote -v</w:t>
        <w:br/>
        <w:t>git branch --show-current</w:t>
        <w:br/>
        <w:t>git status --short</w:t>
      </w:r>
    </w:p>
    <w:p>
      <w:r>
        <w:t>Expected remote:</w:t>
      </w:r>
    </w:p>
    <w:p>
      <w:pPr>
        <w:pStyle w:val="CodeBlock"/>
        <w:keepLines/>
        <w:spacing w:before="60" w:after="140"/>
        <w:ind w:left="259" w:right="259"/>
        <w:shd w:fill="F3F5F7"/>
      </w:pPr>
      <w:r>
        <w:rPr>
          <w:rFonts w:ascii="Consolas" w:hAnsi="Consolas"/>
          <w:sz w:val="18"/>
        </w:rPr>
        <w:t>https://github.com/paulacristinaqa/automotive_test_engineering_platform.git</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CE8E6"/>
          </w:tcPr>
          <w:p>
            <w:pPr>
              <w:spacing w:after="0"/>
            </w:pPr>
            <w:r>
              <w:rPr>
                <w:rFonts w:ascii="Calibri" w:hAnsi="Calibri"/>
                <w:b/>
                <w:color w:val="1F4E79"/>
                <w:sz w:val="20"/>
              </w:rPr>
              <w:t xml:space="preserve">Stop condition: </w:t>
            </w:r>
            <w:r>
              <w:rPr>
                <w:rFonts w:ascii="Calibri" w:hAnsi="Calibri"/>
                <w:sz w:val="20"/>
              </w:rPr>
              <w:t>If git status shows modified or untracked files that you want to keep, stay on the current branch. Do not use git reset --hard, git clean -fd, or a forced checkout.</w:t>
            </w:r>
          </w:p>
        </w:tc>
      </w:tr>
    </w:tbl>
    <w:p>
      <w:pPr>
        <w:spacing w:after="0"/>
      </w:pPr>
    </w:p>
    <w:p>
      <w:pPr>
        <w:pStyle w:val="Heading1"/>
      </w:pPr>
      <w:r>
        <w:t>4. Update from GitHub</w:t>
      </w:r>
    </w:p>
    <w:p>
      <w:pPr>
        <w:pStyle w:val="Heading2"/>
      </w:pPr>
      <w:r>
        <w:t>4.1 If the working tree is clean</w:t>
      </w:r>
    </w:p>
    <w:p>
      <w:pPr>
        <w:pStyle w:val="CodeBlock"/>
        <w:keepLines/>
        <w:spacing w:before="60" w:after="140"/>
        <w:ind w:left="259" w:right="259"/>
        <w:shd w:fill="F3F5F7"/>
      </w:pPr>
      <w:r>
        <w:rPr>
          <w:rFonts w:ascii="Consolas" w:hAnsi="Consolas"/>
          <w:sz w:val="18"/>
        </w:rPr>
        <w:t>git switch main</w:t>
        <w:br/>
        <w:t>git pull --ff-only origin main</w:t>
      </w:r>
    </w:p>
    <w:p>
      <w:pPr>
        <w:pStyle w:val="Heading2"/>
      </w:pPr>
      <w:r>
        <w:t>4.2 If local work is in progress</w:t>
      </w:r>
    </w:p>
    <w:p>
      <w:r>
        <w:t>Run the current branch as it is, or commit the work before synchronizing. In this ATEP copy, the Volume VI battery/BMS increment may be present as local work, so preserving the branch is the safest choice.</w:t>
      </w:r>
    </w:p>
    <w:p>
      <w:pPr>
        <w:pStyle w:val="CodeBlock"/>
        <w:keepLines/>
        <w:spacing w:before="60" w:after="140"/>
        <w:ind w:left="259" w:right="259"/>
        <w:shd w:fill="F3F5F7"/>
      </w:pPr>
      <w:r>
        <w:rPr>
          <w:rFonts w:ascii="Consolas" w:hAnsi="Consolas"/>
          <w:sz w:val="18"/>
        </w:rPr>
        <w:t>git branch --show-current</w:t>
        <w:br/>
        <w:t>git status --short</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8EEF5"/>
          </w:tcPr>
          <w:p>
            <w:pPr>
              <w:spacing w:after="0"/>
            </w:pPr>
            <w:r>
              <w:rPr>
                <w:rFonts w:ascii="Calibri" w:hAnsi="Calibri"/>
                <w:b/>
                <w:color w:val="1F4E79"/>
                <w:sz w:val="20"/>
              </w:rPr>
              <w:t xml:space="preserve">Important: </w:t>
            </w:r>
            <w:r>
              <w:rPr>
                <w:rFonts w:ascii="Calibri" w:hAnsi="Calibri"/>
                <w:sz w:val="20"/>
              </w:rPr>
              <w:t>The project can be started from a development branch. Updating main is not required merely to run the current local files.</w:t>
            </w:r>
          </w:p>
        </w:tc>
      </w:tr>
    </w:tbl>
    <w:p>
      <w:pPr>
        <w:spacing w:after="0"/>
      </w:pPr>
    </w:p>
    <w:p>
      <w:pPr>
        <w:pStyle w:val="Heading1"/>
      </w:pPr>
      <w:r>
        <w:t>5. Create the local environment configuration</w:t>
      </w:r>
    </w:p>
    <w:p>
      <w:pPr>
        <w:pStyle w:val="ListNumber"/>
      </w:pPr>
      <w:r>
        <w:rPr>
          <w:b/>
        </w:rPr>
        <w:t>Create .env from the example</w:t>
      </w:r>
      <w:r>
        <w:t xml:space="preserve"> — The resulting file is ignored by Git and must remain local.</w:t>
      </w:r>
    </w:p>
    <w:p>
      <w:pPr>
        <w:pStyle w:val="CodeBlock"/>
        <w:keepLines/>
        <w:spacing w:before="60" w:after="140"/>
        <w:ind w:left="259" w:right="259"/>
        <w:shd w:fill="F3F5F7"/>
      </w:pPr>
      <w:r>
        <w:rPr>
          <w:rFonts w:ascii="Consolas" w:hAnsi="Consolas"/>
          <w:sz w:val="18"/>
        </w:rPr>
        <w:t>Copy-Item .env.example .env</w:t>
      </w:r>
    </w:p>
    <w:p>
      <w:pPr>
        <w:pStyle w:val="ListNumber"/>
      </w:pPr>
      <w:r>
        <w:rPr>
          <w:b/>
        </w:rPr>
        <w:t>Generate a strong JWT secret</w:t>
      </w:r>
      <w:r>
        <w:t xml:space="preserve"> — The following PowerShell commands generate a random Base64 value.</w:t>
      </w:r>
    </w:p>
    <w:p>
      <w:pPr>
        <w:pStyle w:val="CodeBlock"/>
        <w:keepLines/>
        <w:spacing w:before="60" w:after="140"/>
        <w:ind w:left="259" w:right="259"/>
        <w:shd w:fill="F3F5F7"/>
      </w:pPr>
      <w:r>
        <w:rPr>
          <w:rFonts w:ascii="Consolas" w:hAnsi="Consolas"/>
          <w:sz w:val="18"/>
        </w:rPr>
        <w:t>$bytes = New-Object byte[] 48</w:t>
        <w:br/>
        <w:t>[Security.Cryptography.RandomNumberGenerator]::Create().GetBytes($bytes)</w:t>
        <w:br/>
        <w:t>[Convert]::ToBase64String($bytes)</w:t>
      </w:r>
    </w:p>
    <w:p>
      <w:pPr>
        <w:pStyle w:val="ListNumber"/>
      </w:pPr>
      <w:r>
        <w:rPr>
          <w:b/>
        </w:rPr>
        <w:t>Edit .env</w:t>
      </w:r>
      <w:r>
        <w:t xml:space="preserve"> — Open it with Notepad and replace the placeholder values.</w:t>
      </w:r>
    </w:p>
    <w:p>
      <w:pPr>
        <w:pStyle w:val="CodeBlock"/>
        <w:keepLines/>
        <w:spacing w:before="60" w:after="140"/>
        <w:ind w:left="259" w:right="259"/>
        <w:shd w:fill="F3F5F7"/>
      </w:pPr>
      <w:r>
        <w:rPr>
          <w:rFonts w:ascii="Consolas" w:hAnsi="Consolas"/>
          <w:sz w:val="18"/>
        </w:rPr>
        <w:t>notepad .env</w:t>
      </w:r>
    </w:p>
    <w:p>
      <w:r>
        <w:t>Set at least these values:</w:t>
      </w:r>
    </w:p>
    <w:p>
      <w:pPr>
        <w:pStyle w:val="CodeBlock"/>
        <w:keepLines/>
        <w:spacing w:before="60" w:after="140"/>
        <w:ind w:left="259" w:right="259"/>
        <w:shd w:fill="F3F5F7"/>
      </w:pPr>
      <w:r>
        <w:rPr>
          <w:rFonts w:ascii="Consolas" w:hAnsi="Consolas"/>
          <w:sz w:val="18"/>
        </w:rPr>
        <w:t>ATEP_JWT_SECRET=&lt;paste-the-generated-secret&gt;</w:t>
        <w:br/>
        <w:t>ATEP_BOOTSTRAP_ADMIN_EMAIL=&lt;your-email&gt;</w:t>
        <w:br/>
        <w:t>ATEP_BOOTSTRAP_ADMIN_PASSWORD=&lt;a-strong-password-with-at-least-12-characters&gt;</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FF4CE"/>
          </w:tcPr>
          <w:p>
            <w:pPr>
              <w:spacing w:after="0"/>
            </w:pPr>
            <w:r>
              <w:rPr>
                <w:rFonts w:ascii="Calibri" w:hAnsi="Calibri"/>
                <w:b/>
                <w:color w:val="1F4E79"/>
                <w:sz w:val="20"/>
              </w:rPr>
              <w:t xml:space="preserve">Security: </w:t>
            </w:r>
            <w:r>
              <w:rPr>
                <w:rFonts w:ascii="Calibri" w:hAnsi="Calibri"/>
                <w:sz w:val="20"/>
              </w:rPr>
              <w:t>Never commit .env, passwords, JWT secrets, access tokens, refresh tokens, or module credentials. The repository already ignores .env.</w:t>
            </w:r>
          </w:p>
        </w:tc>
      </w:tr>
    </w:tbl>
    <w:p>
      <w:pPr>
        <w:spacing w:after="0"/>
      </w:pPr>
    </w:p>
    <w:p>
      <w:r>
        <w:t>The bootstrap email and password create the first platform administrator only when that email does not already exist. After the first successful startup, remove the bootstrap password from .env and restart the platform.</w:t>
      </w:r>
    </w:p>
    <w:p>
      <w:pPr>
        <w:pStyle w:val="Heading1"/>
      </w:pPr>
      <w:r>
        <w:t>6. Build and start ATEP</w:t>
      </w:r>
    </w:p>
    <w:p>
      <w:pPr>
        <w:pStyle w:val="ListNumber"/>
      </w:pPr>
      <w:r>
        <w:rPr>
          <w:b/>
        </w:rPr>
        <w:t>Start Docker Desktop</w:t>
      </w:r>
      <w:r>
        <w:t xml:space="preserve"> — Wait until the engine reports that it is running.</w:t>
      </w:r>
    </w:p>
    <w:p>
      <w:pPr>
        <w:pStyle w:val="ListNumber"/>
      </w:pPr>
      <w:r>
        <w:rPr>
          <w:b/>
        </w:rPr>
        <w:t>Build and start in the background</w:t>
      </w:r>
      <w:r>
        <w:t xml:space="preserve"> — The first build can take several minutes because images and dependencies may need to be downloaded.</w:t>
      </w:r>
    </w:p>
    <w:p>
      <w:pPr>
        <w:pStyle w:val="CodeBlock"/>
        <w:keepLines/>
        <w:spacing w:before="60" w:after="140"/>
        <w:ind w:left="259" w:right="259"/>
        <w:shd w:fill="F3F5F7"/>
      </w:pPr>
      <w:r>
        <w:rPr>
          <w:rFonts w:ascii="Consolas" w:hAnsi="Consolas"/>
          <w:sz w:val="18"/>
        </w:rPr>
        <w:t>docker compose up --build -d</w:t>
      </w:r>
    </w:p>
    <w:p>
      <w:pPr>
        <w:pStyle w:val="ListNumber"/>
      </w:pPr>
      <w:r>
        <w:rPr>
          <w:b/>
        </w:rPr>
        <w:t>Inspect container status</w:t>
      </w:r>
      <w:r>
        <w:t xml:space="preserve"> — The migration service should finish successfully; long-running services should be running or healthy.</w:t>
      </w:r>
    </w:p>
    <w:p>
      <w:pPr>
        <w:pStyle w:val="CodeBlock"/>
        <w:keepLines/>
        <w:spacing w:before="60" w:after="140"/>
        <w:ind w:left="259" w:right="259"/>
        <w:shd w:fill="F3F5F7"/>
      </w:pPr>
      <w:r>
        <w:rPr>
          <w:rFonts w:ascii="Consolas" w:hAnsi="Consolas"/>
          <w:sz w:val="18"/>
        </w:rPr>
        <w:t>docker compose ps -a</w:t>
      </w:r>
    </w:p>
    <w:p>
      <w:pPr>
        <w:pStyle w:val="ListNumber"/>
      </w:pPr>
      <w:r>
        <w:rPr>
          <w:b/>
        </w:rPr>
        <w:t>Follow startup logs when necessary</w:t>
      </w:r>
      <w:r>
        <w:t xml:space="preserve"> — Use this if the API is not yet healthy.</w:t>
      </w:r>
    </w:p>
    <w:p>
      <w:pPr>
        <w:pStyle w:val="CodeBlock"/>
        <w:keepLines/>
        <w:spacing w:before="60" w:after="140"/>
        <w:ind w:left="259" w:right="259"/>
        <w:shd w:fill="F3F5F7"/>
      </w:pPr>
      <w:r>
        <w:rPr>
          <w:rFonts w:ascii="Consolas" w:hAnsi="Consolas"/>
          <w:sz w:val="18"/>
        </w:rPr>
        <w:t>docker compose logs --tail 100 migrate api postgres redis rabbitmq outbox-worker</w:t>
      </w:r>
    </w:p>
    <w:tbl>
      <w:tblPr>
        <w:tblStyle w:val="TableGrid"/>
        <w:tblW w:type="dxa" w:w="9360"/>
        <w:jc w:val="left"/>
        <w:tblLayout w:type="fixed"/>
        <w:tblLook w:firstColumn="1" w:firstRow="1" w:lastColumn="0" w:lastRow="0" w:noHBand="0" w:noVBand="1" w:val="04A0"/>
        <w:tblInd w:w="120" w:type="dxa"/>
      </w:tblPr>
      <w:tblGrid>
        <w:gridCol w:w="2100"/>
        <w:gridCol w:w="2100"/>
        <w:gridCol w:w="5160"/>
      </w:tblGrid>
      <w:tr>
        <w:trPr>
          <w:tblHeader w:val="true"/>
        </w:trPr>
        <w:tc>
          <w:tcPr>
            <w:tcW w:type="dxa" w:w="2100"/>
            <w:tcMar>
              <w:top w:w="80" w:type="dxa"/>
              <w:start w:w="120" w:type="dxa"/>
              <w:bottom w:w="80" w:type="dxa"/>
              <w:end w:w="120" w:type="dxa"/>
            </w:tcMar>
            <w:shd w:fill="E8EEF5"/>
            <w:vAlign w:val="center"/>
          </w:tcPr>
          <w:p>
            <w:pPr>
              <w:spacing w:after="0"/>
            </w:pPr>
            <w:r>
              <w:rPr>
                <w:rFonts w:ascii="Calibri" w:hAnsi="Calibri"/>
                <w:b/>
                <w:color w:val="1F4E79"/>
                <w:sz w:val="19"/>
              </w:rPr>
              <w:t>Service</w:t>
            </w:r>
          </w:p>
        </w:tc>
        <w:tc>
          <w:tcPr>
            <w:tcW w:type="dxa" w:w="2100"/>
            <w:tcMar>
              <w:top w:w="80" w:type="dxa"/>
              <w:start w:w="120" w:type="dxa"/>
              <w:bottom w:w="80" w:type="dxa"/>
              <w:end w:w="120" w:type="dxa"/>
            </w:tcMar>
            <w:shd w:fill="E8EEF5"/>
            <w:vAlign w:val="center"/>
          </w:tcPr>
          <w:p>
            <w:pPr>
              <w:spacing w:after="0"/>
            </w:pPr>
            <w:r>
              <w:rPr>
                <w:rFonts w:ascii="Calibri" w:hAnsi="Calibri"/>
                <w:b/>
                <w:color w:val="1F4E79"/>
                <w:sz w:val="19"/>
              </w:rPr>
              <w:t>Expected state</w:t>
            </w:r>
          </w:p>
        </w:tc>
        <w:tc>
          <w:tcPr>
            <w:tcW w:type="dxa" w:w="5160"/>
            <w:tcMar>
              <w:top w:w="80" w:type="dxa"/>
              <w:start w:w="120" w:type="dxa"/>
              <w:bottom w:w="80" w:type="dxa"/>
              <w:end w:w="120" w:type="dxa"/>
            </w:tcMar>
            <w:shd w:fill="E8EEF5"/>
            <w:vAlign w:val="center"/>
          </w:tcPr>
          <w:p>
            <w:pPr>
              <w:spacing w:after="0"/>
            </w:pPr>
            <w:r>
              <w:rPr>
                <w:rFonts w:ascii="Calibri" w:hAnsi="Calibri"/>
                <w:b/>
                <w:color w:val="1F4E79"/>
                <w:sz w:val="19"/>
              </w:rPr>
              <w:t>Role</w:t>
            </w:r>
          </w:p>
        </w:tc>
      </w:tr>
      <w:tr>
        <w:tc>
          <w:tcPr>
            <w:tcW w:type="dxa" w:w="2100"/>
            <w:vAlign w:val="center"/>
          </w:tcPr>
          <w:p>
            <w:pPr>
              <w:spacing w:after="0"/>
            </w:pPr>
            <w:r>
              <w:rPr>
                <w:rFonts w:ascii="Calibri" w:hAnsi="Calibri"/>
                <w:sz w:val="19"/>
              </w:rPr>
              <w:t>migrate</w:t>
            </w:r>
          </w:p>
        </w:tc>
        <w:tc>
          <w:tcPr>
            <w:tcW w:type="dxa" w:w="2100"/>
            <w:vAlign w:val="center"/>
          </w:tcPr>
          <w:p>
            <w:pPr>
              <w:spacing w:after="0"/>
            </w:pPr>
            <w:r>
              <w:rPr>
                <w:rFonts w:ascii="Calibri" w:hAnsi="Calibri"/>
                <w:sz w:val="19"/>
              </w:rPr>
              <w:t>Exited (0)</w:t>
            </w:r>
          </w:p>
        </w:tc>
        <w:tc>
          <w:tcPr>
            <w:tcW w:type="dxa" w:w="5160"/>
            <w:vAlign w:val="center"/>
          </w:tcPr>
          <w:p>
            <w:pPr>
              <w:spacing w:after="0"/>
            </w:pPr>
            <w:r>
              <w:rPr>
                <w:rFonts w:ascii="Calibri" w:hAnsi="Calibri"/>
                <w:sz w:val="19"/>
              </w:rPr>
              <w:t>Applies Alembic migrations once</w:t>
            </w:r>
          </w:p>
        </w:tc>
      </w:tr>
      <w:tr>
        <w:tc>
          <w:tcPr>
            <w:tcW w:type="dxa" w:w="2100"/>
            <w:vAlign w:val="center"/>
          </w:tcPr>
          <w:p>
            <w:pPr>
              <w:spacing w:after="0"/>
            </w:pPr>
            <w:r>
              <w:rPr>
                <w:rFonts w:ascii="Calibri" w:hAnsi="Calibri"/>
                <w:sz w:val="19"/>
              </w:rPr>
              <w:t>api</w:t>
            </w:r>
          </w:p>
        </w:tc>
        <w:tc>
          <w:tcPr>
            <w:tcW w:type="dxa" w:w="2100"/>
            <w:vAlign w:val="center"/>
          </w:tcPr>
          <w:p>
            <w:pPr>
              <w:spacing w:after="0"/>
            </w:pPr>
            <w:r>
              <w:rPr>
                <w:rFonts w:ascii="Calibri" w:hAnsi="Calibri"/>
                <w:sz w:val="19"/>
              </w:rPr>
              <w:t>Up / healthy</w:t>
            </w:r>
          </w:p>
        </w:tc>
        <w:tc>
          <w:tcPr>
            <w:tcW w:type="dxa" w:w="5160"/>
            <w:vAlign w:val="center"/>
          </w:tcPr>
          <w:p>
            <w:pPr>
              <w:spacing w:after="0"/>
            </w:pPr>
            <w:r>
              <w:rPr>
                <w:rFonts w:ascii="Calibri" w:hAnsi="Calibri"/>
                <w:sz w:val="19"/>
              </w:rPr>
              <w:t>FastAPI control plane</w:t>
            </w:r>
          </w:p>
        </w:tc>
      </w:tr>
      <w:tr>
        <w:tc>
          <w:tcPr>
            <w:tcW w:type="dxa" w:w="2100"/>
            <w:vAlign w:val="center"/>
          </w:tcPr>
          <w:p>
            <w:pPr>
              <w:spacing w:after="0"/>
            </w:pPr>
            <w:r>
              <w:rPr>
                <w:rFonts w:ascii="Calibri" w:hAnsi="Calibri"/>
                <w:sz w:val="19"/>
              </w:rPr>
              <w:t>outbox-worker</w:t>
            </w:r>
          </w:p>
        </w:tc>
        <w:tc>
          <w:tcPr>
            <w:tcW w:type="dxa" w:w="2100"/>
            <w:vAlign w:val="center"/>
          </w:tcPr>
          <w:p>
            <w:pPr>
              <w:spacing w:after="0"/>
            </w:pPr>
            <w:r>
              <w:rPr>
                <w:rFonts w:ascii="Calibri" w:hAnsi="Calibri"/>
                <w:sz w:val="19"/>
              </w:rPr>
              <w:t>Up</w:t>
            </w:r>
          </w:p>
        </w:tc>
        <w:tc>
          <w:tcPr>
            <w:tcW w:type="dxa" w:w="5160"/>
            <w:vAlign w:val="center"/>
          </w:tcPr>
          <w:p>
            <w:pPr>
              <w:spacing w:after="0"/>
            </w:pPr>
            <w:r>
              <w:rPr>
                <w:rFonts w:ascii="Calibri" w:hAnsi="Calibri"/>
                <w:sz w:val="19"/>
              </w:rPr>
              <w:t>Publishes transactional events</w:t>
            </w:r>
          </w:p>
        </w:tc>
      </w:tr>
      <w:tr>
        <w:tc>
          <w:tcPr>
            <w:tcW w:type="dxa" w:w="2100"/>
            <w:vAlign w:val="center"/>
          </w:tcPr>
          <w:p>
            <w:pPr>
              <w:spacing w:after="0"/>
            </w:pPr>
            <w:r>
              <w:rPr>
                <w:rFonts w:ascii="Calibri" w:hAnsi="Calibri"/>
                <w:sz w:val="19"/>
              </w:rPr>
              <w:t>postgres</w:t>
            </w:r>
          </w:p>
        </w:tc>
        <w:tc>
          <w:tcPr>
            <w:tcW w:type="dxa" w:w="2100"/>
            <w:vAlign w:val="center"/>
          </w:tcPr>
          <w:p>
            <w:pPr>
              <w:spacing w:after="0"/>
            </w:pPr>
            <w:r>
              <w:rPr>
                <w:rFonts w:ascii="Calibri" w:hAnsi="Calibri"/>
                <w:sz w:val="19"/>
              </w:rPr>
              <w:t>Up / healthy</w:t>
            </w:r>
          </w:p>
        </w:tc>
        <w:tc>
          <w:tcPr>
            <w:tcW w:type="dxa" w:w="5160"/>
            <w:vAlign w:val="center"/>
          </w:tcPr>
          <w:p>
            <w:pPr>
              <w:spacing w:after="0"/>
            </w:pPr>
            <w:r>
              <w:rPr>
                <w:rFonts w:ascii="Calibri" w:hAnsi="Calibri"/>
                <w:sz w:val="19"/>
              </w:rPr>
              <w:t>Persistent system of record</w:t>
            </w:r>
          </w:p>
        </w:tc>
      </w:tr>
      <w:tr>
        <w:tc>
          <w:tcPr>
            <w:tcW w:type="dxa" w:w="2100"/>
            <w:vAlign w:val="center"/>
          </w:tcPr>
          <w:p>
            <w:pPr>
              <w:spacing w:after="0"/>
            </w:pPr>
            <w:r>
              <w:rPr>
                <w:rFonts w:ascii="Calibri" w:hAnsi="Calibri"/>
                <w:sz w:val="19"/>
              </w:rPr>
              <w:t>redis</w:t>
            </w:r>
          </w:p>
        </w:tc>
        <w:tc>
          <w:tcPr>
            <w:tcW w:type="dxa" w:w="2100"/>
            <w:vAlign w:val="center"/>
          </w:tcPr>
          <w:p>
            <w:pPr>
              <w:spacing w:after="0"/>
            </w:pPr>
            <w:r>
              <w:rPr>
                <w:rFonts w:ascii="Calibri" w:hAnsi="Calibri"/>
                <w:sz w:val="19"/>
              </w:rPr>
              <w:t>Up / healthy</w:t>
            </w:r>
          </w:p>
        </w:tc>
        <w:tc>
          <w:tcPr>
            <w:tcW w:type="dxa" w:w="5160"/>
            <w:vAlign w:val="center"/>
          </w:tcPr>
          <w:p>
            <w:pPr>
              <w:spacing w:after="0"/>
            </w:pPr>
            <w:r>
              <w:rPr>
                <w:rFonts w:ascii="Calibri" w:hAnsi="Calibri"/>
                <w:sz w:val="19"/>
              </w:rPr>
              <w:t>Rate limits and ephemeral coordination</w:t>
            </w:r>
          </w:p>
        </w:tc>
      </w:tr>
      <w:tr>
        <w:tc>
          <w:tcPr>
            <w:tcW w:type="dxa" w:w="2100"/>
            <w:vAlign w:val="center"/>
          </w:tcPr>
          <w:p>
            <w:pPr>
              <w:spacing w:after="0"/>
            </w:pPr>
            <w:r>
              <w:rPr>
                <w:rFonts w:ascii="Calibri" w:hAnsi="Calibri"/>
                <w:sz w:val="19"/>
              </w:rPr>
              <w:t>rabbitmq</w:t>
            </w:r>
          </w:p>
        </w:tc>
        <w:tc>
          <w:tcPr>
            <w:tcW w:type="dxa" w:w="2100"/>
            <w:vAlign w:val="center"/>
          </w:tcPr>
          <w:p>
            <w:pPr>
              <w:spacing w:after="0"/>
            </w:pPr>
            <w:r>
              <w:rPr>
                <w:rFonts w:ascii="Calibri" w:hAnsi="Calibri"/>
                <w:sz w:val="19"/>
              </w:rPr>
              <w:t>Up / healthy</w:t>
            </w:r>
          </w:p>
        </w:tc>
        <w:tc>
          <w:tcPr>
            <w:tcW w:type="dxa" w:w="5160"/>
            <w:vAlign w:val="center"/>
          </w:tcPr>
          <w:p>
            <w:pPr>
              <w:spacing w:after="0"/>
            </w:pPr>
            <w:r>
              <w:rPr>
                <w:rFonts w:ascii="Calibri" w:hAnsi="Calibri"/>
                <w:sz w:val="19"/>
              </w:rPr>
              <w:t>Asynchronous messaging</w:t>
            </w:r>
          </w:p>
        </w:tc>
      </w:tr>
    </w:tbl>
    <w:p>
      <w:pPr>
        <w:spacing w:after="0"/>
      </w:pPr>
    </w:p>
    <w:p>
      <w:pPr>
        <w:pStyle w:val="Heading1"/>
      </w:pPr>
      <w:r>
        <w:t>7. Verify that the platform is ready</w:t>
      </w:r>
    </w:p>
    <w:p>
      <w:pPr>
        <w:pStyle w:val="ListNumber"/>
      </w:pPr>
      <w:r>
        <w:rPr>
          <w:b/>
        </w:rPr>
        <w:t>Check liveness</w:t>
      </w:r>
      <w:r>
        <w:t xml:space="preserve"> — Confirms that the HTTP process responds.</w:t>
      </w:r>
    </w:p>
    <w:p>
      <w:pPr>
        <w:pStyle w:val="CodeBlock"/>
        <w:keepLines/>
        <w:spacing w:before="60" w:after="140"/>
        <w:ind w:left="259" w:right="259"/>
        <w:shd w:fill="F3F5F7"/>
      </w:pPr>
      <w:r>
        <w:rPr>
          <w:rFonts w:ascii="Consolas" w:hAnsi="Consolas"/>
          <w:sz w:val="18"/>
        </w:rPr>
        <w:t>Invoke-RestMethod http://localhost:8000/health/live</w:t>
      </w:r>
    </w:p>
    <w:p>
      <w:r>
        <w:t>Expected response: status = alive.</w:t>
      </w:r>
    </w:p>
    <w:p>
      <w:pPr>
        <w:pStyle w:val="ListNumber"/>
      </w:pPr>
      <w:r>
        <w:rPr>
          <w:b/>
        </w:rPr>
        <w:t>Check dependency readiness</w:t>
      </w:r>
      <w:r>
        <w:t xml:space="preserve"> — Confirms PostgreSQL, Redis, and RabbitMQ connectivity.</w:t>
      </w:r>
    </w:p>
    <w:p>
      <w:pPr>
        <w:pStyle w:val="CodeBlock"/>
        <w:keepLines/>
        <w:spacing w:before="60" w:after="140"/>
        <w:ind w:left="259" w:right="259"/>
        <w:shd w:fill="F3F5F7"/>
      </w:pPr>
      <w:r>
        <w:rPr>
          <w:rFonts w:ascii="Consolas" w:hAnsi="Consolas"/>
          <w:sz w:val="18"/>
        </w:rPr>
        <w:t>Invoke-RestMethod http://localhost:8000/health/ready | ConvertTo-Json -Depth 4</w:t>
      </w:r>
    </w:p>
    <w:p>
      <w:r>
        <w:t>Expected response: status = ready and all three dependency checks = ready.</w:t>
      </w:r>
    </w:p>
    <w:p>
      <w:pPr>
        <w:pStyle w:val="ListNumber"/>
      </w:pPr>
      <w:r>
        <w:rPr>
          <w:b/>
        </w:rPr>
        <w:t>Open the API documentation</w:t>
      </w:r>
      <w:r>
        <w:t xml:space="preserve"> — Use Swagger UI to explore and execute protected endpoints.</w:t>
      </w:r>
    </w:p>
    <w:p>
      <w:pPr>
        <w:pStyle w:val="CodeBlock"/>
        <w:keepLines/>
        <w:spacing w:before="60" w:after="140"/>
        <w:ind w:left="259" w:right="259"/>
        <w:shd w:fill="F3F5F7"/>
      </w:pPr>
      <w:r>
        <w:rPr>
          <w:rFonts w:ascii="Consolas" w:hAnsi="Consolas"/>
          <w:sz w:val="18"/>
        </w:rPr>
        <w:t>Start-Process http://localhost:8000/docs</w:t>
      </w:r>
    </w:p>
    <w:tbl>
      <w:tblPr>
        <w:tblStyle w:val="TableGrid"/>
        <w:tblW w:type="dxa" w:w="9360"/>
        <w:jc w:val="left"/>
        <w:tblLayout w:type="fixed"/>
        <w:tblLook w:firstColumn="1" w:firstRow="1" w:lastColumn="0" w:lastRow="0" w:noHBand="0" w:noVBand="1" w:val="04A0"/>
        <w:tblInd w:w="120" w:type="dxa"/>
      </w:tblPr>
      <w:tblGrid>
        <w:gridCol w:w="2000"/>
        <w:gridCol w:w="3100"/>
        <w:gridCol w:w="4260"/>
      </w:tblGrid>
      <w:tr>
        <w:trPr>
          <w:tblHeader w:val="true"/>
        </w:trPr>
        <w:tc>
          <w:tcPr>
            <w:tcW w:type="dxa" w:w="2000"/>
            <w:tcMar>
              <w:top w:w="80" w:type="dxa"/>
              <w:start w:w="120" w:type="dxa"/>
              <w:bottom w:w="80" w:type="dxa"/>
              <w:end w:w="120" w:type="dxa"/>
            </w:tcMar>
            <w:shd w:fill="E8EEF5"/>
            <w:vAlign w:val="center"/>
          </w:tcPr>
          <w:p>
            <w:pPr>
              <w:spacing w:after="0"/>
            </w:pPr>
            <w:r>
              <w:rPr>
                <w:rFonts w:ascii="Calibri" w:hAnsi="Calibri"/>
                <w:b/>
                <w:color w:val="1F4E79"/>
                <w:sz w:val="19"/>
              </w:rPr>
              <w:t>Local endpoint</w:t>
            </w:r>
          </w:p>
        </w:tc>
        <w:tc>
          <w:tcPr>
            <w:tcW w:type="dxa" w:w="3100"/>
            <w:tcMar>
              <w:top w:w="80" w:type="dxa"/>
              <w:start w:w="120" w:type="dxa"/>
              <w:bottom w:w="80" w:type="dxa"/>
              <w:end w:w="120" w:type="dxa"/>
            </w:tcMar>
            <w:shd w:fill="E8EEF5"/>
            <w:vAlign w:val="center"/>
          </w:tcPr>
          <w:p>
            <w:pPr>
              <w:spacing w:after="0"/>
            </w:pPr>
            <w:r>
              <w:rPr>
                <w:rFonts w:ascii="Calibri" w:hAnsi="Calibri"/>
                <w:b/>
                <w:color w:val="1F4E79"/>
                <w:sz w:val="19"/>
              </w:rPr>
              <w:t>Address</w:t>
            </w:r>
          </w:p>
        </w:tc>
        <w:tc>
          <w:tcPr>
            <w:tcW w:type="dxa" w:w="4260"/>
            <w:tcMar>
              <w:top w:w="80" w:type="dxa"/>
              <w:start w:w="120" w:type="dxa"/>
              <w:bottom w:w="80" w:type="dxa"/>
              <w:end w:w="120" w:type="dxa"/>
            </w:tcMar>
            <w:shd w:fill="E8EEF5"/>
            <w:vAlign w:val="center"/>
          </w:tcPr>
          <w:p>
            <w:pPr>
              <w:spacing w:after="0"/>
            </w:pPr>
            <w:r>
              <w:rPr>
                <w:rFonts w:ascii="Calibri" w:hAnsi="Calibri"/>
                <w:b/>
                <w:color w:val="1F4E79"/>
                <w:sz w:val="19"/>
              </w:rPr>
              <w:t>Credentials / access</w:t>
            </w:r>
          </w:p>
        </w:tc>
      </w:tr>
      <w:tr>
        <w:tc>
          <w:tcPr>
            <w:tcW w:type="dxa" w:w="2000"/>
            <w:vAlign w:val="center"/>
          </w:tcPr>
          <w:p>
            <w:pPr>
              <w:spacing w:after="0"/>
            </w:pPr>
            <w:r>
              <w:rPr>
                <w:rFonts w:ascii="Calibri" w:hAnsi="Calibri"/>
                <w:sz w:val="19"/>
              </w:rPr>
              <w:t>FastAPI</w:t>
            </w:r>
          </w:p>
        </w:tc>
        <w:tc>
          <w:tcPr>
            <w:tcW w:type="dxa" w:w="3100"/>
            <w:vAlign w:val="center"/>
          </w:tcPr>
          <w:p>
            <w:pPr>
              <w:spacing w:after="0"/>
            </w:pPr>
            <w:r>
              <w:rPr>
                <w:rFonts w:ascii="Calibri" w:hAnsi="Calibri"/>
                <w:sz w:val="19"/>
              </w:rPr>
              <w:t>http://localhost:8000</w:t>
            </w:r>
          </w:p>
        </w:tc>
        <w:tc>
          <w:tcPr>
            <w:tcW w:type="dxa" w:w="4260"/>
            <w:vAlign w:val="center"/>
          </w:tcPr>
          <w:p>
            <w:pPr>
              <w:spacing w:after="0"/>
            </w:pPr>
            <w:r>
              <w:rPr>
                <w:rFonts w:ascii="Calibri" w:hAnsi="Calibri"/>
                <w:sz w:val="19"/>
              </w:rPr>
              <w:t>API routes</w:t>
            </w:r>
          </w:p>
        </w:tc>
      </w:tr>
      <w:tr>
        <w:tc>
          <w:tcPr>
            <w:tcW w:type="dxa" w:w="2000"/>
            <w:vAlign w:val="center"/>
          </w:tcPr>
          <w:p>
            <w:pPr>
              <w:spacing w:after="0"/>
            </w:pPr>
            <w:r>
              <w:rPr>
                <w:rFonts w:ascii="Calibri" w:hAnsi="Calibri"/>
                <w:sz w:val="19"/>
              </w:rPr>
              <w:t>Swagger UI</w:t>
            </w:r>
          </w:p>
        </w:tc>
        <w:tc>
          <w:tcPr>
            <w:tcW w:type="dxa" w:w="3100"/>
            <w:vAlign w:val="center"/>
          </w:tcPr>
          <w:p>
            <w:pPr>
              <w:spacing w:after="0"/>
            </w:pPr>
            <w:r>
              <w:rPr>
                <w:rFonts w:ascii="Calibri" w:hAnsi="Calibri"/>
                <w:sz w:val="19"/>
              </w:rPr>
              <w:t>http://localhost:8000/docs</w:t>
            </w:r>
          </w:p>
        </w:tc>
        <w:tc>
          <w:tcPr>
            <w:tcW w:type="dxa" w:w="4260"/>
            <w:vAlign w:val="center"/>
          </w:tcPr>
          <w:p>
            <w:pPr>
              <w:spacing w:after="0"/>
            </w:pPr>
            <w:r>
              <w:rPr>
                <w:rFonts w:ascii="Calibri" w:hAnsi="Calibri"/>
                <w:sz w:val="19"/>
              </w:rPr>
              <w:t>Interactive OpenAPI documentation</w:t>
            </w:r>
          </w:p>
        </w:tc>
      </w:tr>
      <w:tr>
        <w:tc>
          <w:tcPr>
            <w:tcW w:type="dxa" w:w="2000"/>
            <w:vAlign w:val="center"/>
          </w:tcPr>
          <w:p>
            <w:pPr>
              <w:spacing w:after="0"/>
            </w:pPr>
            <w:r>
              <w:rPr>
                <w:rFonts w:ascii="Calibri" w:hAnsi="Calibri"/>
                <w:sz w:val="19"/>
              </w:rPr>
              <w:t>OpenAPI JSON</w:t>
            </w:r>
          </w:p>
        </w:tc>
        <w:tc>
          <w:tcPr>
            <w:tcW w:type="dxa" w:w="3100"/>
            <w:vAlign w:val="center"/>
          </w:tcPr>
          <w:p>
            <w:pPr>
              <w:spacing w:after="0"/>
            </w:pPr>
            <w:r>
              <w:rPr>
                <w:rFonts w:ascii="Calibri" w:hAnsi="Calibri"/>
                <w:sz w:val="19"/>
              </w:rPr>
              <w:t>http://localhost:8000/openapi.json</w:t>
            </w:r>
          </w:p>
        </w:tc>
        <w:tc>
          <w:tcPr>
            <w:tcW w:type="dxa" w:w="4260"/>
            <w:vAlign w:val="center"/>
          </w:tcPr>
          <w:p>
            <w:pPr>
              <w:spacing w:after="0"/>
            </w:pPr>
            <w:r>
              <w:rPr>
                <w:rFonts w:ascii="Calibri" w:hAnsi="Calibri"/>
                <w:sz w:val="19"/>
              </w:rPr>
              <w:t>Machine-readable contract</w:t>
            </w:r>
          </w:p>
        </w:tc>
      </w:tr>
      <w:tr>
        <w:tc>
          <w:tcPr>
            <w:tcW w:type="dxa" w:w="2000"/>
            <w:vAlign w:val="center"/>
          </w:tcPr>
          <w:p>
            <w:pPr>
              <w:spacing w:after="0"/>
            </w:pPr>
            <w:r>
              <w:rPr>
                <w:rFonts w:ascii="Calibri" w:hAnsi="Calibri"/>
                <w:sz w:val="19"/>
              </w:rPr>
              <w:t>RabbitMQ UI</w:t>
            </w:r>
          </w:p>
        </w:tc>
        <w:tc>
          <w:tcPr>
            <w:tcW w:type="dxa" w:w="3100"/>
            <w:vAlign w:val="center"/>
          </w:tcPr>
          <w:p>
            <w:pPr>
              <w:spacing w:after="0"/>
            </w:pPr>
            <w:r>
              <w:rPr>
                <w:rFonts w:ascii="Calibri" w:hAnsi="Calibri"/>
                <w:sz w:val="19"/>
              </w:rPr>
              <w:t>http://localhost:15672</w:t>
            </w:r>
          </w:p>
        </w:tc>
        <w:tc>
          <w:tcPr>
            <w:tcW w:type="dxa" w:w="4260"/>
            <w:vAlign w:val="center"/>
          </w:tcPr>
          <w:p>
            <w:pPr>
              <w:spacing w:after="0"/>
            </w:pPr>
            <w:r>
              <w:rPr>
                <w:rFonts w:ascii="Calibri" w:hAnsi="Calibri"/>
                <w:sz w:val="19"/>
              </w:rPr>
              <w:t>atep / atep; local development only</w:t>
            </w:r>
          </w:p>
        </w:tc>
      </w:tr>
      <w:tr>
        <w:tc>
          <w:tcPr>
            <w:tcW w:type="dxa" w:w="2000"/>
            <w:vAlign w:val="center"/>
          </w:tcPr>
          <w:p>
            <w:pPr>
              <w:spacing w:after="0"/>
            </w:pPr>
            <w:r>
              <w:rPr>
                <w:rFonts w:ascii="Calibri" w:hAnsi="Calibri"/>
                <w:sz w:val="19"/>
              </w:rPr>
              <w:t>PostgreSQL</w:t>
            </w:r>
          </w:p>
        </w:tc>
        <w:tc>
          <w:tcPr>
            <w:tcW w:type="dxa" w:w="3100"/>
            <w:vAlign w:val="center"/>
          </w:tcPr>
          <w:p>
            <w:pPr>
              <w:spacing w:after="0"/>
            </w:pPr>
            <w:r>
              <w:rPr>
                <w:rFonts w:ascii="Calibri" w:hAnsi="Calibri"/>
                <w:sz w:val="19"/>
              </w:rPr>
              <w:t>localhost:5432</w:t>
            </w:r>
          </w:p>
        </w:tc>
        <w:tc>
          <w:tcPr>
            <w:tcW w:type="dxa" w:w="4260"/>
            <w:vAlign w:val="center"/>
          </w:tcPr>
          <w:p>
            <w:pPr>
              <w:spacing w:after="0"/>
            </w:pPr>
            <w:r>
              <w:rPr>
                <w:rFonts w:ascii="Calibri" w:hAnsi="Calibri"/>
                <w:sz w:val="19"/>
              </w:rPr>
              <w:t>atep / atep / database atep</w:t>
            </w:r>
          </w:p>
        </w:tc>
      </w:tr>
      <w:tr>
        <w:tc>
          <w:tcPr>
            <w:tcW w:type="dxa" w:w="2000"/>
            <w:vAlign w:val="center"/>
          </w:tcPr>
          <w:p>
            <w:pPr>
              <w:spacing w:after="0"/>
            </w:pPr>
            <w:r>
              <w:rPr>
                <w:rFonts w:ascii="Calibri" w:hAnsi="Calibri"/>
                <w:sz w:val="19"/>
              </w:rPr>
              <w:t>Redis</w:t>
            </w:r>
          </w:p>
        </w:tc>
        <w:tc>
          <w:tcPr>
            <w:tcW w:type="dxa" w:w="3100"/>
            <w:vAlign w:val="center"/>
          </w:tcPr>
          <w:p>
            <w:pPr>
              <w:spacing w:after="0"/>
            </w:pPr>
            <w:r>
              <w:rPr>
                <w:rFonts w:ascii="Calibri" w:hAnsi="Calibri"/>
                <w:sz w:val="19"/>
              </w:rPr>
              <w:t>localhost:6379</w:t>
            </w:r>
          </w:p>
        </w:tc>
        <w:tc>
          <w:tcPr>
            <w:tcW w:type="dxa" w:w="4260"/>
            <w:vAlign w:val="center"/>
          </w:tcPr>
          <w:p>
            <w:pPr>
              <w:spacing w:after="0"/>
            </w:pPr>
            <w:r>
              <w:rPr>
                <w:rFonts w:ascii="Calibri" w:hAnsi="Calibri"/>
                <w:sz w:val="19"/>
              </w:rPr>
              <w:t>No password in local Compose</w:t>
            </w:r>
          </w:p>
        </w:tc>
      </w:tr>
    </w:tbl>
    <w:p>
      <w:pPr>
        <w:spacing w:after="0"/>
      </w:pPr>
    </w:p>
    <w:p>
      <w:pPr>
        <w:pStyle w:val="Heading1"/>
      </w:pPr>
      <w:r>
        <w:t>8. Authenticate and make a protected request</w:t>
      </w:r>
    </w:p>
    <w:p>
      <w:pPr>
        <w:pStyle w:val="Heading2"/>
      </w:pPr>
      <w:r>
        <w:t>8.1 PowerShell method</w:t>
      </w:r>
    </w:p>
    <w:p>
      <w:pPr>
        <w:pStyle w:val="CodeBlock"/>
        <w:keepLines/>
        <w:spacing w:before="60" w:after="140"/>
        <w:ind w:left="259" w:right="259"/>
        <w:shd w:fill="F3F5F7"/>
      </w:pPr>
      <w:r>
        <w:rPr>
          <w:rFonts w:ascii="Consolas" w:hAnsi="Consolas"/>
          <w:sz w:val="18"/>
        </w:rPr>
        <w:t>$login = Invoke-RestMethod -Method Post `</w:t>
        <w:br/>
        <w:t xml:space="preserve">  -Uri http://localhost:8000/api/v1/auth/token `</w:t>
        <w:br/>
        <w:t xml:space="preserve">  -ContentType 'application/x-www-form-urlencoded' `</w:t>
        <w:br/>
        <w:t xml:space="preserve">  -Body @{ username = '&lt;your-email&gt;'; password = '&lt;your-password&gt;' }</w:t>
      </w:r>
    </w:p>
    <w:p>
      <w:pPr>
        <w:pStyle w:val="CodeBlock"/>
        <w:keepLines/>
        <w:spacing w:before="60" w:after="140"/>
        <w:ind w:left="259" w:right="259"/>
        <w:shd w:fill="F3F5F7"/>
      </w:pPr>
      <w:r>
        <w:rPr>
          <w:rFonts w:ascii="Consolas" w:hAnsi="Consolas"/>
          <w:sz w:val="18"/>
        </w:rPr>
        <w:t>$headers = @{ Authorization = "Bearer $($login.access_token)" }</w:t>
        <w:br/>
        <w:t>Invoke-RestMethod -Headers $headers http://localhost:8000/api/v1/auth/me | ConvertTo-Json -Depth 5</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FF4CE"/>
          </w:tcPr>
          <w:p>
            <w:pPr>
              <w:spacing w:after="0"/>
            </w:pPr>
            <w:r>
              <w:rPr>
                <w:rFonts w:ascii="Calibri" w:hAnsi="Calibri"/>
                <w:b/>
                <w:color w:val="1F4E79"/>
                <w:sz w:val="20"/>
              </w:rPr>
              <w:t xml:space="preserve">Token handling: </w:t>
            </w:r>
            <w:r>
              <w:rPr>
                <w:rFonts w:ascii="Calibri" w:hAnsi="Calibri"/>
                <w:sz w:val="20"/>
              </w:rPr>
              <w:t>Keep tokens only in the current terminal session. Do not paste them into source files, screenshots, issue descriptions, logs, or commits.</w:t>
            </w:r>
          </w:p>
        </w:tc>
      </w:tr>
    </w:tbl>
    <w:p>
      <w:pPr>
        <w:spacing w:after="0"/>
      </w:pPr>
    </w:p>
    <w:p>
      <w:pPr>
        <w:pStyle w:val="Heading2"/>
      </w:pPr>
      <w:r>
        <w:t>8.2 Swagger UI method</w:t>
      </w:r>
    </w:p>
    <w:p>
      <w:pPr>
        <w:pStyle w:val="ListNumber"/>
      </w:pPr>
      <w:r>
        <w:rPr>
          <w:b/>
        </w:rPr>
        <w:t>Open /docs</w:t>
      </w:r>
      <w:r>
        <w:t xml:space="preserve"> — Select Authorize near the top of the page.</w:t>
      </w:r>
    </w:p>
    <w:p>
      <w:pPr>
        <w:pStyle w:val="ListNumber"/>
      </w:pPr>
      <w:r>
        <w:rPr>
          <w:b/>
        </w:rPr>
        <w:t>Enter the bootstrap credentials</w:t>
      </w:r>
      <w:r>
        <w:t xml:space="preserve"> — The username field receives the administrator email.</w:t>
      </w:r>
    </w:p>
    <w:p>
      <w:pPr>
        <w:pStyle w:val="ListNumber"/>
      </w:pPr>
      <w:r>
        <w:rPr>
          <w:b/>
        </w:rPr>
        <w:t>Authorize</w:t>
      </w:r>
      <w:r>
        <w:t xml:space="preserve"> — Swagger stores the bearer token temporarily for protected requests in that browser tab.</w:t>
      </w:r>
    </w:p>
    <w:p>
      <w:pPr>
        <w:pStyle w:val="ListNumber"/>
      </w:pPr>
      <w:r>
        <w:rPr>
          <w:b/>
        </w:rPr>
        <w:t>Call GET /api/v1/auth/me</w:t>
      </w:r>
      <w:r>
        <w:t xml:space="preserve"> — A successful response shows the active user, platform-admin role, and permissions.</w:t>
      </w:r>
    </w:p>
    <w:p>
      <w:pPr>
        <w:pStyle w:val="Heading1"/>
      </w:pPr>
      <w:r>
        <w:t>9. Routine commands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tcMar>
              <w:top w:w="80" w:type="dxa"/>
              <w:start w:w="120" w:type="dxa"/>
              <w:bottom w:w="80" w:type="dxa"/>
              <w:end w:w="120" w:type="dxa"/>
            </w:tcMar>
            <w:shd w:fill="E8EEF5"/>
            <w:vAlign w:val="center"/>
          </w:tcPr>
          <w:p>
            <w:pPr>
              <w:spacing w:after="0"/>
            </w:pPr>
            <w:r>
              <w:rPr>
                <w:rFonts w:ascii="Calibri" w:hAnsi="Calibri"/>
                <w:b/>
                <w:color w:val="1F4E79"/>
                <w:sz w:val="19"/>
              </w:rPr>
              <w:t>Action</w:t>
            </w:r>
          </w:p>
        </w:tc>
        <w:tc>
          <w:tcPr>
            <w:tcW w:type="dxa" w:w="6360"/>
            <w:tcMar>
              <w:top w:w="80" w:type="dxa"/>
              <w:start w:w="120" w:type="dxa"/>
              <w:bottom w:w="80" w:type="dxa"/>
              <w:end w:w="120" w:type="dxa"/>
            </w:tcMar>
            <w:shd w:fill="E8EEF5"/>
            <w:vAlign w:val="center"/>
          </w:tcPr>
          <w:p>
            <w:pPr>
              <w:spacing w:after="0"/>
            </w:pPr>
            <w:r>
              <w:rPr>
                <w:rFonts w:ascii="Calibri" w:hAnsi="Calibri"/>
                <w:b/>
                <w:color w:val="1F4E79"/>
                <w:sz w:val="19"/>
              </w:rPr>
              <w:t>Command</w:t>
            </w:r>
          </w:p>
        </w:tc>
      </w:tr>
      <w:tr>
        <w:tc>
          <w:tcPr>
            <w:tcW w:type="dxa" w:w="3000"/>
            <w:vAlign w:val="center"/>
          </w:tcPr>
          <w:p>
            <w:pPr>
              <w:spacing w:after="0"/>
            </w:pPr>
            <w:r>
              <w:rPr>
                <w:rFonts w:ascii="Calibri" w:hAnsi="Calibri"/>
                <w:sz w:val="19"/>
              </w:rPr>
              <w:t>Show status</w:t>
            </w:r>
          </w:p>
        </w:tc>
        <w:tc>
          <w:tcPr>
            <w:tcW w:type="dxa" w:w="6360"/>
            <w:vAlign w:val="center"/>
          </w:tcPr>
          <w:p>
            <w:pPr>
              <w:spacing w:after="0"/>
            </w:pPr>
            <w:r>
              <w:rPr>
                <w:rFonts w:ascii="Calibri" w:hAnsi="Calibri"/>
                <w:sz w:val="19"/>
              </w:rPr>
              <w:t>docker compose ps -a</w:t>
            </w:r>
          </w:p>
        </w:tc>
      </w:tr>
      <w:tr>
        <w:tc>
          <w:tcPr>
            <w:tcW w:type="dxa" w:w="3000"/>
            <w:vAlign w:val="center"/>
          </w:tcPr>
          <w:p>
            <w:pPr>
              <w:spacing w:after="0"/>
            </w:pPr>
            <w:r>
              <w:rPr>
                <w:rFonts w:ascii="Calibri" w:hAnsi="Calibri"/>
                <w:sz w:val="19"/>
              </w:rPr>
              <w:t>Follow API logs</w:t>
            </w:r>
          </w:p>
        </w:tc>
        <w:tc>
          <w:tcPr>
            <w:tcW w:type="dxa" w:w="6360"/>
            <w:vAlign w:val="center"/>
          </w:tcPr>
          <w:p>
            <w:pPr>
              <w:spacing w:after="0"/>
            </w:pPr>
            <w:r>
              <w:rPr>
                <w:rFonts w:ascii="Calibri" w:hAnsi="Calibri"/>
                <w:sz w:val="19"/>
              </w:rPr>
              <w:t>docker compose logs -f api</w:t>
            </w:r>
          </w:p>
        </w:tc>
      </w:tr>
      <w:tr>
        <w:tc>
          <w:tcPr>
            <w:tcW w:type="dxa" w:w="3000"/>
            <w:vAlign w:val="center"/>
          </w:tcPr>
          <w:p>
            <w:pPr>
              <w:spacing w:after="0"/>
            </w:pPr>
            <w:r>
              <w:rPr>
                <w:rFonts w:ascii="Calibri" w:hAnsi="Calibri"/>
                <w:sz w:val="19"/>
              </w:rPr>
              <w:t>Restart API</w:t>
            </w:r>
          </w:p>
        </w:tc>
        <w:tc>
          <w:tcPr>
            <w:tcW w:type="dxa" w:w="6360"/>
            <w:vAlign w:val="center"/>
          </w:tcPr>
          <w:p>
            <w:pPr>
              <w:spacing w:after="0"/>
            </w:pPr>
            <w:r>
              <w:rPr>
                <w:rFonts w:ascii="Calibri" w:hAnsi="Calibri"/>
                <w:sz w:val="19"/>
              </w:rPr>
              <w:t>docker compose restart api</w:t>
            </w:r>
          </w:p>
        </w:tc>
      </w:tr>
      <w:tr>
        <w:tc>
          <w:tcPr>
            <w:tcW w:type="dxa" w:w="3000"/>
            <w:vAlign w:val="center"/>
          </w:tcPr>
          <w:p>
            <w:pPr>
              <w:spacing w:after="0"/>
            </w:pPr>
            <w:r>
              <w:rPr>
                <w:rFonts w:ascii="Calibri" w:hAnsi="Calibri"/>
                <w:sz w:val="19"/>
              </w:rPr>
              <w:t>Rebuild after code changes</w:t>
            </w:r>
          </w:p>
        </w:tc>
        <w:tc>
          <w:tcPr>
            <w:tcW w:type="dxa" w:w="6360"/>
            <w:vAlign w:val="center"/>
          </w:tcPr>
          <w:p>
            <w:pPr>
              <w:spacing w:after="0"/>
            </w:pPr>
            <w:r>
              <w:rPr>
                <w:rFonts w:ascii="Calibri" w:hAnsi="Calibri"/>
                <w:sz w:val="19"/>
              </w:rPr>
              <w:t>docker compose up --build -d</w:t>
            </w:r>
          </w:p>
        </w:tc>
      </w:tr>
      <w:tr>
        <w:tc>
          <w:tcPr>
            <w:tcW w:type="dxa" w:w="3000"/>
            <w:vAlign w:val="center"/>
          </w:tcPr>
          <w:p>
            <w:pPr>
              <w:spacing w:after="0"/>
            </w:pPr>
            <w:r>
              <w:rPr>
                <w:rFonts w:ascii="Calibri" w:hAnsi="Calibri"/>
                <w:sz w:val="19"/>
              </w:rPr>
              <w:t>Stop containers</w:t>
            </w:r>
          </w:p>
        </w:tc>
        <w:tc>
          <w:tcPr>
            <w:tcW w:type="dxa" w:w="6360"/>
            <w:vAlign w:val="center"/>
          </w:tcPr>
          <w:p>
            <w:pPr>
              <w:spacing w:after="0"/>
            </w:pPr>
            <w:r>
              <w:rPr>
                <w:rFonts w:ascii="Calibri" w:hAnsi="Calibri"/>
                <w:sz w:val="19"/>
              </w:rPr>
              <w:t>docker compose stop</w:t>
            </w:r>
          </w:p>
        </w:tc>
      </w:tr>
      <w:tr>
        <w:tc>
          <w:tcPr>
            <w:tcW w:type="dxa" w:w="3000"/>
            <w:vAlign w:val="center"/>
          </w:tcPr>
          <w:p>
            <w:pPr>
              <w:spacing w:after="0"/>
            </w:pPr>
            <w:r>
              <w:rPr>
                <w:rFonts w:ascii="Calibri" w:hAnsi="Calibri"/>
                <w:sz w:val="19"/>
              </w:rPr>
              <w:t>Start stopped containers</w:t>
            </w:r>
          </w:p>
        </w:tc>
        <w:tc>
          <w:tcPr>
            <w:tcW w:type="dxa" w:w="6360"/>
            <w:vAlign w:val="center"/>
          </w:tcPr>
          <w:p>
            <w:pPr>
              <w:spacing w:after="0"/>
            </w:pPr>
            <w:r>
              <w:rPr>
                <w:rFonts w:ascii="Calibri" w:hAnsi="Calibri"/>
                <w:sz w:val="19"/>
              </w:rPr>
              <w:t>docker compose start</w:t>
            </w:r>
          </w:p>
        </w:tc>
      </w:tr>
      <w:tr>
        <w:tc>
          <w:tcPr>
            <w:tcW w:type="dxa" w:w="3000"/>
            <w:vAlign w:val="center"/>
          </w:tcPr>
          <w:p>
            <w:pPr>
              <w:spacing w:after="0"/>
            </w:pPr>
            <w:r>
              <w:rPr>
                <w:rFonts w:ascii="Calibri" w:hAnsi="Calibri"/>
                <w:sz w:val="19"/>
              </w:rPr>
              <w:t>Stop and remove containers</w:t>
            </w:r>
          </w:p>
        </w:tc>
        <w:tc>
          <w:tcPr>
            <w:tcW w:type="dxa" w:w="6360"/>
            <w:vAlign w:val="center"/>
          </w:tcPr>
          <w:p>
            <w:pPr>
              <w:spacing w:after="0"/>
            </w:pPr>
            <w:r>
              <w:rPr>
                <w:rFonts w:ascii="Calibri" w:hAnsi="Calibri"/>
                <w:sz w:val="19"/>
              </w:rPr>
              <w:t>docker compose down</w:t>
            </w:r>
          </w:p>
        </w:tc>
      </w:tr>
      <w:tr>
        <w:tc>
          <w:tcPr>
            <w:tcW w:type="dxa" w:w="3000"/>
            <w:vAlign w:val="center"/>
          </w:tcPr>
          <w:p>
            <w:pPr>
              <w:spacing w:after="0"/>
            </w:pPr>
            <w:r>
              <w:rPr>
                <w:rFonts w:ascii="Calibri" w:hAnsi="Calibri"/>
                <w:sz w:val="19"/>
              </w:rPr>
              <w:t>Remove containers and local database volume</w:t>
            </w:r>
          </w:p>
        </w:tc>
        <w:tc>
          <w:tcPr>
            <w:tcW w:type="dxa" w:w="6360"/>
            <w:vAlign w:val="center"/>
          </w:tcPr>
          <w:p>
            <w:pPr>
              <w:spacing w:after="0"/>
            </w:pPr>
            <w:r>
              <w:rPr>
                <w:rFonts w:ascii="Calibri" w:hAnsi="Calibri"/>
                <w:sz w:val="19"/>
              </w:rPr>
              <w:t>docker compose down -v</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CE8E6"/>
          </w:tcPr>
          <w:p>
            <w:pPr>
              <w:spacing w:after="0"/>
            </w:pPr>
            <w:r>
              <w:rPr>
                <w:rFonts w:ascii="Calibri" w:hAnsi="Calibri"/>
                <w:b/>
                <w:color w:val="1F4E79"/>
                <w:sz w:val="20"/>
              </w:rPr>
              <w:t xml:space="preserve">Data loss warning: </w:t>
            </w:r>
            <w:r>
              <w:rPr>
                <w:rFonts w:ascii="Calibri" w:hAnsi="Calibri"/>
                <w:sz w:val="20"/>
              </w:rPr>
              <w:t>docker compose down -v removes the PostgreSQL volume and all local project data. Use it only when you intentionally want a fresh database.</w:t>
            </w:r>
          </w:p>
        </w:tc>
      </w:tr>
    </w:tbl>
    <w:p>
      <w:pPr>
        <w:spacing w:after="0"/>
      </w:pPr>
    </w:p>
    <w:p>
      <w:pPr>
        <w:pStyle w:val="Heading1"/>
      </w:pPr>
      <w:r>
        <w:t>10. Run local quality checks</w:t>
      </w:r>
    </w:p>
    <w:p>
      <w:r>
        <w:t>The platform itself can run entirely in Docker. Python 3.12+ is needed only when you want to execute the fast development checks directly on Windows.</w:t>
      </w:r>
    </w:p>
    <w:p>
      <w:pPr>
        <w:pStyle w:val="ListNumber"/>
      </w:pPr>
      <w:r>
        <w:rPr>
          <w:b/>
        </w:rPr>
        <w:t>Create the virtual environment once</w:t>
      </w:r>
      <w:r>
        <w:t xml:space="preserve"> — Run these commands at the repository root.</w:t>
      </w:r>
    </w:p>
    <w:p>
      <w:pPr>
        <w:pStyle w:val="CodeBlock"/>
        <w:keepLines/>
        <w:spacing w:before="60" w:after="140"/>
        <w:ind w:left="259" w:right="259"/>
        <w:shd w:fill="F3F5F7"/>
      </w:pPr>
      <w:r>
        <w:rPr>
          <w:rFonts w:ascii="Consolas" w:hAnsi="Consolas"/>
          <w:sz w:val="18"/>
        </w:rPr>
        <w:t>python -m venv .venv</w:t>
        <w:br/>
        <w:t>.\.venv\Scripts\Activate.ps1</w:t>
        <w:br/>
        <w:t>python -m pip install --require-hashes -r requirements-dev.lock</w:t>
        <w:br/>
        <w:t>python -m pip install --no-deps --no-build-isolation -e .</w:t>
      </w:r>
    </w:p>
    <w:p>
      <w:pPr>
        <w:pStyle w:val="ListNumber"/>
      </w:pPr>
      <w:r>
        <w:rPr>
          <w:b/>
        </w:rPr>
        <w:t>Run lightweight checks sequentially</w:t>
      </w:r>
      <w:r>
        <w:t xml:space="preserve"> — Sequential execution reduces temporary CPU and memory pressure.</w:t>
      </w:r>
    </w:p>
    <w:p>
      <w:pPr>
        <w:pStyle w:val="CodeBlock"/>
        <w:keepLines/>
        <w:spacing w:before="60" w:after="140"/>
        <w:ind w:left="259" w:right="259"/>
        <w:shd w:fill="F3F5F7"/>
      </w:pPr>
      <w:r>
        <w:rPr>
          <w:rFonts w:ascii="Consolas" w:hAnsi="Consolas"/>
          <w:sz w:val="18"/>
        </w:rPr>
        <w:t>pytest -q</w:t>
        <w:br/>
        <w:t>ruff check .</w:t>
        <w:br/>
        <w:t>ruff format --check .</w:t>
        <w:br/>
        <w:t>mypy src tests</w:t>
      </w:r>
    </w:p>
    <w:p>
      <w:pPr>
        <w:pStyle w:val="ListNumber"/>
      </w:pPr>
      <w:r>
        <w:rPr>
          <w:b/>
        </w:rPr>
        <w:t>Run the disposable integration suite only when needed</w:t>
      </w:r>
      <w:r>
        <w:t xml:space="preserve"> — It creates an isolated stack, executes tests and a restore drill, then removes its containers and volumes.</w:t>
      </w:r>
    </w:p>
    <w:p>
      <w:pPr>
        <w:pStyle w:val="CodeBlock"/>
        <w:keepLines/>
        <w:spacing w:before="60" w:after="140"/>
        <w:ind w:left="259" w:right="259"/>
        <w:shd w:fill="F3F5F7"/>
      </w:pPr>
      <w:r>
        <w:rPr>
          <w:rFonts w:ascii="Consolas" w:hAnsi="Consolas"/>
          <w:sz w:val="18"/>
        </w:rPr>
        <w:t>powershell -NoProfile -ExecutionPolicy Bypass -File .\tools\run_integration_tests.ps1</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8EEF5"/>
          </w:tcPr>
          <w:p>
            <w:pPr>
              <w:spacing w:after="0"/>
            </w:pPr>
            <w:r>
              <w:rPr>
                <w:rFonts w:ascii="Calibri" w:hAnsi="Calibri"/>
                <w:b/>
                <w:color w:val="1F4E79"/>
                <w:sz w:val="20"/>
              </w:rPr>
              <w:t xml:space="preserve">Resource usage: </w:t>
            </w:r>
            <w:r>
              <w:rPr>
                <w:rFonts w:ascii="Calibri" w:hAnsi="Calibri"/>
                <w:sz w:val="20"/>
              </w:rPr>
              <w:t>Docker builds and integration tests can consume CPU, memory, and disk, but the ATEP backend does not require GPU acceleration. Close Android emulators and unrelated builds when resources are constrained.</w:t>
            </w:r>
          </w:p>
        </w:tc>
      </w:tr>
    </w:tbl>
    <w:p>
      <w:pPr>
        <w:spacing w:after="0"/>
      </w:pPr>
    </w:p>
    <w:p>
      <w:pPr>
        <w:pStyle w:val="Heading1"/>
      </w:pPr>
      <w:r>
        <w:t>11. Troubleshooting</w:t>
      </w:r>
    </w:p>
    <w:tbl>
      <w:tblPr>
        <w:tblStyle w:val="TableGrid"/>
        <w:tblW w:type="dxa" w:w="9360"/>
        <w:jc w:val="left"/>
        <w:tblLayout w:type="fixed"/>
        <w:tblLook w:firstColumn="1" w:firstRow="1" w:lastColumn="0" w:lastRow="0" w:noHBand="0" w:noVBand="1" w:val="04A0"/>
        <w:tblInd w:w="120" w:type="dxa"/>
      </w:tblPr>
      <w:tblGrid>
        <w:gridCol w:w="2300"/>
        <w:gridCol w:w="3000"/>
        <w:gridCol w:w="4060"/>
      </w:tblGrid>
      <w:tr>
        <w:trPr>
          <w:tblHeader w:val="true"/>
        </w:trPr>
        <w:tc>
          <w:tcPr>
            <w:tcW w:type="dxa" w:w="2300"/>
            <w:tcMar>
              <w:top w:w="80" w:type="dxa"/>
              <w:start w:w="120" w:type="dxa"/>
              <w:bottom w:w="80" w:type="dxa"/>
              <w:end w:w="120" w:type="dxa"/>
            </w:tcMar>
            <w:shd w:fill="E8EEF5"/>
            <w:vAlign w:val="center"/>
          </w:tcPr>
          <w:p>
            <w:pPr>
              <w:spacing w:after="0"/>
            </w:pPr>
            <w:r>
              <w:rPr>
                <w:rFonts w:ascii="Calibri" w:hAnsi="Calibri"/>
                <w:b/>
                <w:color w:val="1F4E79"/>
                <w:sz w:val="19"/>
              </w:rPr>
              <w:t>Symptom</w:t>
            </w:r>
          </w:p>
        </w:tc>
        <w:tc>
          <w:tcPr>
            <w:tcW w:type="dxa" w:w="3000"/>
            <w:tcMar>
              <w:top w:w="80" w:type="dxa"/>
              <w:start w:w="120" w:type="dxa"/>
              <w:bottom w:w="80" w:type="dxa"/>
              <w:end w:w="120" w:type="dxa"/>
            </w:tcMar>
            <w:shd w:fill="E8EEF5"/>
            <w:vAlign w:val="center"/>
          </w:tcPr>
          <w:p>
            <w:pPr>
              <w:spacing w:after="0"/>
            </w:pPr>
            <w:r>
              <w:rPr>
                <w:rFonts w:ascii="Calibri" w:hAnsi="Calibri"/>
                <w:b/>
                <w:color w:val="1F4E79"/>
                <w:sz w:val="19"/>
              </w:rPr>
              <w:t>Check</w:t>
            </w:r>
          </w:p>
        </w:tc>
        <w:tc>
          <w:tcPr>
            <w:tcW w:type="dxa" w:w="4060"/>
            <w:tcMar>
              <w:top w:w="80" w:type="dxa"/>
              <w:start w:w="120" w:type="dxa"/>
              <w:bottom w:w="80" w:type="dxa"/>
              <w:end w:w="120" w:type="dxa"/>
            </w:tcMar>
            <w:shd w:fill="E8EEF5"/>
            <w:vAlign w:val="center"/>
          </w:tcPr>
          <w:p>
            <w:pPr>
              <w:spacing w:after="0"/>
            </w:pPr>
            <w:r>
              <w:rPr>
                <w:rFonts w:ascii="Calibri" w:hAnsi="Calibri"/>
                <w:b/>
                <w:color w:val="1F4E79"/>
                <w:sz w:val="19"/>
              </w:rPr>
              <w:t>Resolution</w:t>
            </w:r>
          </w:p>
        </w:tc>
      </w:tr>
      <w:tr>
        <w:tc>
          <w:tcPr>
            <w:tcW w:type="dxa" w:w="2300"/>
            <w:vAlign w:val="center"/>
          </w:tcPr>
          <w:p>
            <w:pPr>
              <w:spacing w:after="0"/>
            </w:pPr>
            <w:r>
              <w:rPr>
                <w:rFonts w:ascii="Calibri" w:hAnsi="Calibri"/>
                <w:sz w:val="19"/>
              </w:rPr>
              <w:t>Docker daemon unavailable</w:t>
            </w:r>
          </w:p>
        </w:tc>
        <w:tc>
          <w:tcPr>
            <w:tcW w:type="dxa" w:w="3000"/>
            <w:vAlign w:val="center"/>
          </w:tcPr>
          <w:p>
            <w:pPr>
              <w:spacing w:after="0"/>
            </w:pPr>
            <w:r>
              <w:rPr>
                <w:rFonts w:ascii="Calibri" w:hAnsi="Calibri"/>
                <w:sz w:val="19"/>
              </w:rPr>
              <w:t>docker version shows no Server</w:t>
            </w:r>
          </w:p>
        </w:tc>
        <w:tc>
          <w:tcPr>
            <w:tcW w:type="dxa" w:w="4060"/>
            <w:vAlign w:val="center"/>
          </w:tcPr>
          <w:p>
            <w:pPr>
              <w:spacing w:after="0"/>
            </w:pPr>
            <w:r>
              <w:rPr>
                <w:rFonts w:ascii="Calibri" w:hAnsi="Calibri"/>
                <w:sz w:val="19"/>
              </w:rPr>
              <w:t>Start Docker Desktop; verify WSL2 integration.</w:t>
            </w:r>
          </w:p>
        </w:tc>
      </w:tr>
      <w:tr>
        <w:tc>
          <w:tcPr>
            <w:tcW w:type="dxa" w:w="2300"/>
            <w:vAlign w:val="center"/>
          </w:tcPr>
          <w:p>
            <w:pPr>
              <w:spacing w:after="0"/>
            </w:pPr>
            <w:r>
              <w:rPr>
                <w:rFonts w:ascii="Calibri" w:hAnsi="Calibri"/>
                <w:sz w:val="19"/>
              </w:rPr>
              <w:t>Port already in use</w:t>
            </w:r>
          </w:p>
        </w:tc>
        <w:tc>
          <w:tcPr>
            <w:tcW w:type="dxa" w:w="3000"/>
            <w:vAlign w:val="center"/>
          </w:tcPr>
          <w:p>
            <w:pPr>
              <w:spacing w:after="0"/>
            </w:pPr>
            <w:r>
              <w:rPr>
                <w:rFonts w:ascii="Calibri" w:hAnsi="Calibri"/>
                <w:sz w:val="19"/>
              </w:rPr>
              <w:t>Ports 8000, 5432, 6379, 5672, or 15672</w:t>
            </w:r>
          </w:p>
        </w:tc>
        <w:tc>
          <w:tcPr>
            <w:tcW w:type="dxa" w:w="4060"/>
            <w:vAlign w:val="center"/>
          </w:tcPr>
          <w:p>
            <w:pPr>
              <w:spacing w:after="0"/>
            </w:pPr>
            <w:r>
              <w:rPr>
                <w:rFonts w:ascii="Calibri" w:hAnsi="Calibri"/>
                <w:sz w:val="19"/>
              </w:rPr>
              <w:t>Stop the conflicting application or Compose stack.</w:t>
            </w:r>
          </w:p>
        </w:tc>
      </w:tr>
      <w:tr>
        <w:tc>
          <w:tcPr>
            <w:tcW w:type="dxa" w:w="2300"/>
            <w:vAlign w:val="center"/>
          </w:tcPr>
          <w:p>
            <w:pPr>
              <w:spacing w:after="0"/>
            </w:pPr>
            <w:r>
              <w:rPr>
                <w:rFonts w:ascii="Calibri" w:hAnsi="Calibri"/>
                <w:sz w:val="19"/>
              </w:rPr>
              <w:t>API is not ready</w:t>
            </w:r>
          </w:p>
        </w:tc>
        <w:tc>
          <w:tcPr>
            <w:tcW w:type="dxa" w:w="3000"/>
            <w:vAlign w:val="center"/>
          </w:tcPr>
          <w:p>
            <w:pPr>
              <w:spacing w:after="0"/>
            </w:pPr>
            <w:r>
              <w:rPr>
                <w:rFonts w:ascii="Calibri" w:hAnsi="Calibri"/>
                <w:sz w:val="19"/>
              </w:rPr>
              <w:t>docker compose logs api migrate</w:t>
            </w:r>
          </w:p>
        </w:tc>
        <w:tc>
          <w:tcPr>
            <w:tcW w:type="dxa" w:w="4060"/>
            <w:vAlign w:val="center"/>
          </w:tcPr>
          <w:p>
            <w:pPr>
              <w:spacing w:after="0"/>
            </w:pPr>
            <w:r>
              <w:rPr>
                <w:rFonts w:ascii="Calibri" w:hAnsi="Calibri"/>
                <w:sz w:val="19"/>
              </w:rPr>
              <w:t>Fix the first migration/configuration error, then rebuild.</w:t>
            </w:r>
          </w:p>
        </w:tc>
      </w:tr>
      <w:tr>
        <w:tc>
          <w:tcPr>
            <w:tcW w:type="dxa" w:w="2300"/>
            <w:vAlign w:val="center"/>
          </w:tcPr>
          <w:p>
            <w:pPr>
              <w:spacing w:after="0"/>
            </w:pPr>
            <w:r>
              <w:rPr>
                <w:rFonts w:ascii="Calibri" w:hAnsi="Calibri"/>
                <w:sz w:val="19"/>
              </w:rPr>
              <w:t>PostgreSQL authentication error</w:t>
            </w:r>
          </w:p>
        </w:tc>
        <w:tc>
          <w:tcPr>
            <w:tcW w:type="dxa" w:w="3000"/>
            <w:vAlign w:val="center"/>
          </w:tcPr>
          <w:p>
            <w:pPr>
              <w:spacing w:after="0"/>
            </w:pPr>
            <w:r>
              <w:rPr>
                <w:rFonts w:ascii="Calibri" w:hAnsi="Calibri"/>
                <w:sz w:val="19"/>
              </w:rPr>
              <w:t>Compare .env with compose.yaml</w:t>
            </w:r>
          </w:p>
        </w:tc>
        <w:tc>
          <w:tcPr>
            <w:tcW w:type="dxa" w:w="4060"/>
            <w:vAlign w:val="center"/>
          </w:tcPr>
          <w:p>
            <w:pPr>
              <w:spacing w:after="0"/>
            </w:pPr>
            <w:r>
              <w:rPr>
                <w:rFonts w:ascii="Calibri" w:hAnsi="Calibri"/>
                <w:sz w:val="19"/>
              </w:rPr>
              <w:t>For Docker, keep host name postgres and local atep credentials.</w:t>
            </w:r>
          </w:p>
        </w:tc>
      </w:tr>
      <w:tr>
        <w:tc>
          <w:tcPr>
            <w:tcW w:type="dxa" w:w="2300"/>
            <w:vAlign w:val="center"/>
          </w:tcPr>
          <w:p>
            <w:pPr>
              <w:spacing w:after="0"/>
            </w:pPr>
            <w:r>
              <w:rPr>
                <w:rFonts w:ascii="Calibri" w:hAnsi="Calibri"/>
                <w:sz w:val="19"/>
              </w:rPr>
              <w:t>Redis/RabbitMQ unavailable</w:t>
            </w:r>
          </w:p>
        </w:tc>
        <w:tc>
          <w:tcPr>
            <w:tcW w:type="dxa" w:w="3000"/>
            <w:vAlign w:val="center"/>
          </w:tcPr>
          <w:p>
            <w:pPr>
              <w:spacing w:after="0"/>
            </w:pPr>
            <w:r>
              <w:rPr>
                <w:rFonts w:ascii="Calibri" w:hAnsi="Calibri"/>
                <w:sz w:val="19"/>
              </w:rPr>
              <w:t>docker compose ps -a</w:t>
            </w:r>
          </w:p>
        </w:tc>
        <w:tc>
          <w:tcPr>
            <w:tcW w:type="dxa" w:w="4060"/>
            <w:vAlign w:val="center"/>
          </w:tcPr>
          <w:p>
            <w:pPr>
              <w:spacing w:after="0"/>
            </w:pPr>
            <w:r>
              <w:rPr>
                <w:rFonts w:ascii="Calibri" w:hAnsi="Calibri"/>
                <w:sz w:val="19"/>
              </w:rPr>
              <w:t>Wait for health checks; inspect the relevant service logs.</w:t>
            </w:r>
          </w:p>
        </w:tc>
      </w:tr>
      <w:tr>
        <w:tc>
          <w:tcPr>
            <w:tcW w:type="dxa" w:w="2300"/>
            <w:vAlign w:val="center"/>
          </w:tcPr>
          <w:p>
            <w:pPr>
              <w:spacing w:after="0"/>
            </w:pPr>
            <w:r>
              <w:rPr>
                <w:rFonts w:ascii="Calibri" w:hAnsi="Calibri"/>
                <w:sz w:val="19"/>
              </w:rPr>
              <w:t>Administrator login fails</w:t>
            </w:r>
          </w:p>
        </w:tc>
        <w:tc>
          <w:tcPr>
            <w:tcW w:type="dxa" w:w="3000"/>
            <w:vAlign w:val="center"/>
          </w:tcPr>
          <w:p>
            <w:pPr>
              <w:spacing w:after="0"/>
            </w:pPr>
            <w:r>
              <w:rPr>
                <w:rFonts w:ascii="Calibri" w:hAnsi="Calibri"/>
                <w:sz w:val="19"/>
              </w:rPr>
              <w:t>Bootstrap variables and existing database</w:t>
            </w:r>
          </w:p>
        </w:tc>
        <w:tc>
          <w:tcPr>
            <w:tcW w:type="dxa" w:w="4060"/>
            <w:vAlign w:val="center"/>
          </w:tcPr>
          <w:p>
            <w:pPr>
              <w:spacing w:after="0"/>
            </w:pPr>
            <w:r>
              <w:rPr>
                <w:rFonts w:ascii="Calibri" w:hAnsi="Calibri"/>
                <w:sz w:val="19"/>
              </w:rPr>
              <w:t>Use the original password or intentionally recreate the local volume.</w:t>
            </w:r>
          </w:p>
        </w:tc>
      </w:tr>
      <w:tr>
        <w:tc>
          <w:tcPr>
            <w:tcW w:type="dxa" w:w="2300"/>
            <w:vAlign w:val="center"/>
          </w:tcPr>
          <w:p>
            <w:pPr>
              <w:spacing w:after="0"/>
            </w:pPr>
            <w:r>
              <w:rPr>
                <w:rFonts w:ascii="Calibri" w:hAnsi="Calibri"/>
                <w:sz w:val="19"/>
              </w:rPr>
              <w:t>PowerShell blocks activation</w:t>
            </w:r>
          </w:p>
        </w:tc>
        <w:tc>
          <w:tcPr>
            <w:tcW w:type="dxa" w:w="3000"/>
            <w:vAlign w:val="center"/>
          </w:tcPr>
          <w:p>
            <w:pPr>
              <w:spacing w:after="0"/>
            </w:pPr>
            <w:r>
              <w:rPr>
                <w:rFonts w:ascii="Calibri" w:hAnsi="Calibri"/>
                <w:sz w:val="19"/>
              </w:rPr>
              <w:t>Execution policy message</w:t>
            </w:r>
          </w:p>
        </w:tc>
        <w:tc>
          <w:tcPr>
            <w:tcW w:type="dxa" w:w="4060"/>
            <w:vAlign w:val="center"/>
          </w:tcPr>
          <w:p>
            <w:pPr>
              <w:spacing w:after="0"/>
            </w:pPr>
            <w:r>
              <w:rPr>
                <w:rFonts w:ascii="Calibri" w:hAnsi="Calibri"/>
                <w:sz w:val="19"/>
              </w:rPr>
              <w:t>Use Set-ExecutionPolicy -Scope Process RemoteSigned, then activate again.</w:t>
            </w:r>
          </w:p>
        </w:tc>
      </w:tr>
      <w:tr>
        <w:tc>
          <w:tcPr>
            <w:tcW w:type="dxa" w:w="2300"/>
            <w:vAlign w:val="center"/>
          </w:tcPr>
          <w:p>
            <w:pPr>
              <w:spacing w:after="0"/>
            </w:pPr>
            <w:r>
              <w:rPr>
                <w:rFonts w:ascii="Calibri" w:hAnsi="Calibri"/>
                <w:sz w:val="19"/>
              </w:rPr>
              <w:t>Build cache is too large</w:t>
            </w:r>
          </w:p>
        </w:tc>
        <w:tc>
          <w:tcPr>
            <w:tcW w:type="dxa" w:w="3000"/>
            <w:vAlign w:val="center"/>
          </w:tcPr>
          <w:p>
            <w:pPr>
              <w:spacing w:after="0"/>
            </w:pPr>
            <w:r>
              <w:rPr>
                <w:rFonts w:ascii="Calibri" w:hAnsi="Calibri"/>
                <w:sz w:val="19"/>
              </w:rPr>
              <w:t>Docker Desktop disk usage</w:t>
            </w:r>
          </w:p>
        </w:tc>
        <w:tc>
          <w:tcPr>
            <w:tcW w:type="dxa" w:w="4060"/>
            <w:vAlign w:val="center"/>
          </w:tcPr>
          <w:p>
            <w:pPr>
              <w:spacing w:after="0"/>
            </w:pPr>
            <w:r>
              <w:rPr>
                <w:rFonts w:ascii="Calibri" w:hAnsi="Calibri"/>
                <w:sz w:val="19"/>
              </w:rPr>
              <w:t>Use Docker Desktop cleanup carefully; do not remove volumes you need.</w:t>
            </w:r>
          </w:p>
        </w:tc>
      </w:tr>
    </w:tbl>
    <w:p>
      <w:pPr>
        <w:spacing w:after="0"/>
      </w:pPr>
    </w:p>
    <w:p>
      <w:pPr>
        <w:pStyle w:val="Heading2"/>
      </w:pPr>
      <w:r>
        <w:t>11.1 Focused diagnostic commands</w:t>
      </w:r>
    </w:p>
    <w:p>
      <w:pPr>
        <w:pStyle w:val="CodeBlock"/>
        <w:keepLines/>
        <w:spacing w:before="60" w:after="140"/>
        <w:ind w:left="259" w:right="259"/>
        <w:shd w:fill="F3F5F7"/>
      </w:pPr>
      <w:r>
        <w:rPr>
          <w:rFonts w:ascii="Consolas" w:hAnsi="Consolas"/>
          <w:sz w:val="18"/>
        </w:rPr>
        <w:t>docker compose ps -a</w:t>
        <w:br/>
        <w:t>docker compose logs --tail 200 api</w:t>
        <w:br/>
        <w:t>docker compose logs --tail 200 migrate</w:t>
        <w:br/>
        <w:t>docker compose logs --tail 200 postgres</w:t>
        <w:br/>
        <w:t>docker system df</w:t>
      </w:r>
    </w:p>
    <w:p>
      <w:pPr>
        <w:pStyle w:val="Heading2"/>
      </w:pPr>
      <w:r>
        <w:t>11.2 Check whether a port is occupied</w:t>
      </w:r>
    </w:p>
    <w:p>
      <w:pPr>
        <w:pStyle w:val="CodeBlock"/>
        <w:keepLines/>
        <w:spacing w:before="60" w:after="140"/>
        <w:ind w:left="259" w:right="259"/>
        <w:shd w:fill="F3F5F7"/>
      </w:pPr>
      <w:r>
        <w:rPr>
          <w:rFonts w:ascii="Consolas" w:hAnsi="Consolas"/>
          <w:sz w:val="18"/>
        </w:rPr>
        <w:t>Get-NetTCPConnection -LocalPort 8000 -ErrorAction SilentlyContinue</w:t>
        <w:br/>
        <w:t>Get-NetTCPConnection -LocalPort 5432 -ErrorAction SilentlyContinue</w:t>
      </w:r>
    </w:p>
    <w:p>
      <w:pPr>
        <w:pStyle w:val="Heading1"/>
      </w:pPr>
      <w:r>
        <w:t>12. Safe update procedure for later sessions</w:t>
      </w:r>
    </w:p>
    <w:p>
      <w:pPr>
        <w:pStyle w:val="ListNumber"/>
      </w:pPr>
      <w:r>
        <w:rPr>
          <w:b/>
        </w:rPr>
        <w:t>Stop the platform</w:t>
      </w:r>
      <w:r>
        <w:t xml:space="preserve"> — Use docker compose down; this preserves the PostgreSQL named volume.</w:t>
      </w:r>
    </w:p>
    <w:p>
      <w:pPr>
        <w:pStyle w:val="ListNumber"/>
      </w:pPr>
      <w:r>
        <w:rPr>
          <w:b/>
        </w:rPr>
        <w:t>Inspect Git state</w:t>
      </w:r>
      <w:r>
        <w:t xml:space="preserve"> — Confirm whether local files have changed.</w:t>
      </w:r>
    </w:p>
    <w:p>
      <w:pPr>
        <w:pStyle w:val="CodeBlock"/>
        <w:keepLines/>
        <w:spacing w:before="60" w:after="140"/>
        <w:ind w:left="259" w:right="259"/>
        <w:shd w:fill="F3F5F7"/>
      </w:pPr>
      <w:r>
        <w:rPr>
          <w:rFonts w:ascii="Consolas" w:hAnsi="Consolas"/>
          <w:sz w:val="18"/>
        </w:rPr>
        <w:t>git status --short</w:t>
        <w:br/>
        <w:t>git branch --show-current</w:t>
      </w:r>
    </w:p>
    <w:p>
      <w:pPr>
        <w:pStyle w:val="ListNumber"/>
      </w:pPr>
      <w:r>
        <w:rPr>
          <w:b/>
        </w:rPr>
        <w:t>Update only a clean main branch</w:t>
      </w:r>
      <w:r>
        <w:t xml:space="preserve"> — Use a fast-forward-only pull to avoid an unintended merge commit.</w:t>
      </w:r>
    </w:p>
    <w:p>
      <w:pPr>
        <w:pStyle w:val="CodeBlock"/>
        <w:keepLines/>
        <w:spacing w:before="60" w:after="140"/>
        <w:ind w:left="259" w:right="259"/>
        <w:shd w:fill="F3F5F7"/>
      </w:pPr>
      <w:r>
        <w:rPr>
          <w:rFonts w:ascii="Consolas" w:hAnsi="Consolas"/>
          <w:sz w:val="18"/>
        </w:rPr>
        <w:t>git switch main</w:t>
        <w:br/>
        <w:t>git pull --ff-only origin main</w:t>
      </w:r>
    </w:p>
    <w:p>
      <w:pPr>
        <w:pStyle w:val="ListNumber"/>
      </w:pPr>
      <w:r>
        <w:rPr>
          <w:b/>
        </w:rPr>
        <w:t>Rebuild</w:t>
      </w:r>
      <w:r>
        <w:t xml:space="preserve"> — Compose will apply any new migration before starting the API.</w:t>
      </w:r>
    </w:p>
    <w:p>
      <w:pPr>
        <w:pStyle w:val="CodeBlock"/>
        <w:keepLines/>
        <w:spacing w:before="60" w:after="140"/>
        <w:ind w:left="259" w:right="259"/>
        <w:shd w:fill="F3F5F7"/>
      </w:pPr>
      <w:r>
        <w:rPr>
          <w:rFonts w:ascii="Consolas" w:hAnsi="Consolas"/>
          <w:sz w:val="18"/>
        </w:rPr>
        <w:t>docker compose up --build -d</w:t>
        <w:br/>
        <w:t>docker compose ps -a</w:t>
        <w:br/>
        <w:t>Invoke-RestMethod http://localhost:8000/health/ready</w:t>
      </w:r>
    </w:p>
    <w:p>
      <w:pPr>
        <w:pStyle w:val="Heading1"/>
      </w:pPr>
      <w:r>
        <w:t>13. Completion checklist</w:t>
      </w:r>
    </w:p>
    <w:p>
      <w:pPr>
        <w:pStyle w:val="ListBullet"/>
      </w:pPr>
      <w:r>
        <w:t>Docker Desktop is running with the WSL2 backend.</w:t>
      </w:r>
    </w:p>
    <w:p>
      <w:pPr>
        <w:pStyle w:val="ListBullet"/>
      </w:pPr>
      <w:r>
        <w:t>The repository path and current Git branch are known.</w:t>
      </w:r>
    </w:p>
    <w:p>
      <w:pPr>
        <w:pStyle w:val="ListBullet"/>
      </w:pPr>
      <w:r>
        <w:t>Local changes, if any, are preserved.</w:t>
      </w:r>
    </w:p>
    <w:p>
      <w:pPr>
        <w:pStyle w:val="ListBullet"/>
      </w:pPr>
      <w:r>
        <w:t>.env exists locally and contains a strong JWT secret.</w:t>
      </w:r>
    </w:p>
    <w:p>
      <w:pPr>
        <w:pStyle w:val="ListBullet"/>
      </w:pPr>
      <w:r>
        <w:t>The migration container exited successfully.</w:t>
      </w:r>
    </w:p>
    <w:p>
      <w:pPr>
        <w:pStyle w:val="ListBullet"/>
      </w:pPr>
      <w:r>
        <w:t>API, PostgreSQL, Redis, RabbitMQ, and the outbox worker are running.</w:t>
      </w:r>
    </w:p>
    <w:p>
      <w:pPr>
        <w:pStyle w:val="ListBullet"/>
      </w:pPr>
      <w:r>
        <w:t>/health/live returns alive.</w:t>
      </w:r>
    </w:p>
    <w:p>
      <w:pPr>
        <w:pStyle w:val="ListBullet"/>
      </w:pPr>
      <w:r>
        <w:t>/health/ready returns ready for all dependencies.</w:t>
      </w:r>
    </w:p>
    <w:p>
      <w:pPr>
        <w:pStyle w:val="ListBullet"/>
      </w:pPr>
      <w:r>
        <w:t>The administrator can authenticate and call /api/v1/auth/me.</w:t>
      </w:r>
    </w:p>
    <w:p>
      <w:pPr>
        <w:pStyle w:val="ListBullet"/>
      </w:pPr>
      <w:r>
        <w:t>Secrets and tokens are absent from Git changes.</w:t>
      </w:r>
    </w:p>
    <w:p>
      <w:pPr>
        <w:pStyle w:val="Heading1"/>
      </w:pPr>
      <w:r>
        <w:t>14. Cost and local-resource note</w:t>
      </w:r>
    </w:p>
    <w:p>
      <w:r>
        <w:t>This local workflow uses only the computer, Docker images, and open-source components. It does not activate AWS infrastructure or call a paid AI API. Internet access is needed only to clone/pull the repository and download container images or Python packages that are not already cached.</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8F3EA"/>
          </w:tcPr>
          <w:p>
            <w:pPr>
              <w:spacing w:after="0"/>
            </w:pPr>
            <w:r>
              <w:rPr>
                <w:rFonts w:ascii="Calibri" w:hAnsi="Calibri"/>
                <w:b/>
                <w:color w:val="1F4E79"/>
                <w:sz w:val="20"/>
              </w:rPr>
              <w:t xml:space="preserve">Ready state: </w:t>
            </w:r>
            <w:r>
              <w:rPr>
                <w:rFonts w:ascii="Calibri" w:hAnsi="Calibri"/>
                <w:sz w:val="20"/>
              </w:rPr>
              <w:t>When all checklist items pass, the ATEP control plane is ready for study, API exploration, automated testing, and continued implementation.</w:t>
            </w:r>
          </w:p>
        </w:tc>
      </w:tr>
    </w:tbl>
    <w:p>
      <w:pPr>
        <w:spacing w:after="0"/>
      </w:pP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26C"/>
        <w:sz w:val="16"/>
      </w:rPr>
      <w:t>Automotive Test Engineering Platform  •  Windows / Docker Desktop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26C"/>
        <w:sz w:val="17"/>
      </w:rPr>
      <w:t>ATEP  |  Local execution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ATEP Local Execution Guide - Windows</dc:title>
  <dc:subject>Step-by-step Docker Desktop and WSL2 setup for the Automotive Test Engineering Platform</dc:subject>
  <dc:creator>ATEP Engineering</dc:creator>
  <cp:keywords>ATEP, Windows, Docker Desktop, WSL2, FastAPI, local setup</cp:keywords>
  <dc:description>generated by python-docx</dc:description>
  <cp:lastModifiedBy/>
  <cp:revision>1</cp:revision>
  <dcterms:created xsi:type="dcterms:W3CDTF">2013-12-23T23:15:00Z</dcterms:created>
  <dcterms:modified xsi:type="dcterms:W3CDTF">2013-12-23T23:15:00Z</dcterms:modified>
  <cp:category/>
</cp:coreProperties>
</file>