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0.43.0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12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AWS archive foundation audit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protected main-only GHCR publishing, non-replaceable commit tags, OCI source labels, signed SLSA provenance and CycloneDX SBOM attestations, aggregate release evidence, and exact provenance verification before promotion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132 fast Python tests, Ruff, strict mypy, workflow YAML parsing, and focused provenance policy tests passed locally; first live package/attestation execution remains an explicit operator gate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native Kubernetes image-admission boundary for ATEP Deployments and Jobs with explicit namespace scope, fail-closed evaluation, exact GHCR repository, non-zero lowercase SHA-256 digests, init-container coverage, denial, and audit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133 fast Python tests, Ruff, strict mypy, and six focused Kubernetes policy tests; live Kubernetes type-checking and denial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exact GitHub/Sigstore artifact-attestation admission contract with SLSA v1 provenance, repository/workflow/main-ref identity, namespace opt-in, official version-pinned chart procedure, and no image exemptions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134 fast Python tests, Ruff, strict mypy, seven focused Kubernetes policy tests, and four Kustomize renders; live chart-digest approval and cluster admission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Split protected release approval from an input-free reusable builder, bound the builder to its exact main-branch workflow identity, and updated promotion plus Kubernetes admission to trust that signer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135 fast Python tests, Ruff, strict mypy, workflow YAML parsing, cross-policy signer tests, structural/a11y workbook checks, and resource monitoring; hosted CI and first live release remain the completion gates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portable offline release archive with downloaded attestations, current trusted roots, exact-policy re-verification, SHA-256/size manifest, and a fail-closed evidence-preserving revocation runbook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140 fast Python tests, Ruff, strict mypy, workflow-policy tests, structural/a11y workbook checks, and resource monitoring; live archive export, restore, and revocation exercises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deterministic sealing, a content-addressed archive receipt, bounded traversal-safe restore, a fresh-job download/restore gate, and a vendor-neutral WORM provider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144 fast Python tests, Ruff, strict mypy, workflow-policy tests, structural/a11y workbook checks, and resource monitoring; provider selection, immutable upload, and live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normalized immutable-provider export gate that re-restores the local seal and validates exact object identity, strong read-back integrity, locked retention, encryption, workload identity, audit evidence, and time ordering before emitting a non-replacing receipt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153 fast Python tests, Ruff, strict mypy, structural/a11y workbook checks, and resource monitoring; provider adapter, provisioning, live upload, and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first concrete immutable provider adapter for AWS S3 Object Lock: version-history/delete-marker rejection, atomic conditional upload, full SHA-256, </w:t>
            </w:r>
            <w:r>
              <w:rPr>
                <w:rFonts w:ascii="Calibri" w:hAnsi="Calibri"/>
                <w:b w:val="0"/>
                <w:color w:val="111827"/>
                <w:sz w:val="16"/>
              </w:rPr>
              <w:t>COMPLIANCE</w:t>
            </w:r>
            <w:r>
              <w:rPr>
                <w:rFonts w:ascii="Calibri" w:hAnsi="Calibri"/>
                <w:b w:val="0"/>
                <w:color w:val="111827"/>
                <w:sz w:val="16"/>
              </w:rPr>
              <w:t xml:space="preserve"> retention, exact SSE-KMS key, STS assumed-role identity, immutable version metadata, streamed read-back, and normalized receipts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169 fast Python tests, Ruff, strict mypy, canonical Python 3.14 Linux locks, structural/a11y/visual workbook checks, and bounded resource monitoring; live AWS provisioning, upload, denial, and restore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a Terraform AWS archive foundation with a non-destroyable versioned Object Lock bucket, default/minimum </w:t>
            </w:r>
            <w:r>
              <w:rPr>
                <w:rFonts w:ascii="Calibri" w:hAnsi="Calibri"/>
                <w:b w:val="0"/>
                <w:color w:val="111827"/>
                <w:sz w:val="16"/>
              </w:rPr>
              <w:t>COMPLIANCE</w:t>
            </w:r>
            <w:r>
              <w:rPr>
                <w:rFonts w:ascii="Calibri" w:hAnsi="Calibri"/>
                <w:b w:val="0"/>
                <w:color w:val="111827"/>
                <w:sz w:val="16"/>
              </w:rPr>
              <w:t xml:space="preserve"> retention, rotated SSE-KMS key, fixed-prefix bucket denials, exact separate OIDC writer/restore roles, and externally delivered validated CloudTrail</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175 fast Python tests, Terraform 1.15.8 validation, five mocked positive/negative plans, AWS provider 6.58.0 Linux/Windows lock, Ruff, strict mypy, structural/a11y/visual workbook checks, and resource monitoring; live account review, apply, IAM simulation, upload/denial/restore, and CloudTrail correlation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operator-only read-only AWS foundation auditor for exact account, S3 Object Lock/encryption/private ownership/deny policy, KMS state/rotation, separate OIDC IAM roles, and external CloudTrail delivery with bounded non-replacing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185 fast Python tests, ten focused positive/negative/read-only auditor scenarios, Ruff, strict mypy, structural/a11y/visual workbook checks, and resource monitoring; approved apply, effective IAM simulation, retained upload/denial/restore, and CloudTrail event correlation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Initiated Volume II with one versioned digital-vehicle state aggregate covering operational mode, battery, powertrain, brakes, steering, and lighting; added safe defaults, cross-component invariants, independent RBAC, optimistic concurrency,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193 fast Python tests, Ruff, strict mypy, API-contract coverage, migration backfill, structural/a11y/visual workbook checks, and disposable integration delegated to hosted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a command-driven deterministic simulation clock and persisted </w:t>
            </w:r>
            <w:r>
              <w:rPr>
                <w:rFonts w:ascii="Calibri" w:hAnsi="Calibri"/>
                <w:b w:val="0"/>
                <w:color w:val="111827"/>
                <w:sz w:val="16"/>
              </w:rPr>
              <w:t>parked -&gt; ready -&gt; driving -&gt; parked</w:t>
            </w:r>
            <w:r>
              <w:rPr>
                <w:rFonts w:ascii="Calibri" w:hAnsi="Calibri"/>
                <w:b w:val="0"/>
                <w:color w:val="111827"/>
                <w:sz w:val="16"/>
              </w:rPr>
              <w:t xml:space="preserve"> transition engine with vehicle-scoped idempotency, optimistic versioning, replay metadata,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198 fast Python tests, Ruff, strict mypy, API/state-machine/retry/conflict coverage, migration </w:t>
            </w:r>
            <w:r>
              <w:rPr>
                <w:rFonts w:ascii="Calibri" w:hAnsi="Calibri"/>
                <w:b w:val="0"/>
                <w:color w:val="111827"/>
                <w:sz w:val="16"/>
              </w:rPr>
              <w:t>0014</w:t>
            </w:r>
            <w:r>
              <w:rPr>
                <w:rFonts w:ascii="Calibri" w:hAnsi="Calibri"/>
                <w:b w:val="0"/>
                <w:color w:val="111827"/>
                <w:sz w:val="16"/>
              </w:rPr>
              <w:t>, structural/a11y/visual workbook checks, and disposable integration delegated to hosted CI</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admission,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signed-release slice closes the declared source-to-image gap before promotion. A protected main-only workflow publishes one GHCR tag named from the exact commit, refuses to replace an existing tag, records OCI source/revision labels, and uses the immutable registry manifest digest as the subject of both signed SLSA provenance and CycloneDX SBOM attestations. A non-sensitive schema </w:t>
      </w:r>
      <w:r>
        <w:rPr>
          <w:rFonts w:ascii="Consolas" w:hAnsi="Consolas"/>
          <w:color w:val="1F4D78"/>
          <w:sz w:val="19"/>
        </w:rPr>
        <w:t>1.0.0</w:t>
      </w:r>
      <w:r>
        <w:rPr>
          <w:rFonts w:ascii="Calibri" w:hAnsi="Calibri"/>
          <w:color w:val="111827"/>
          <w:sz w:val="22"/>
        </w:rPr>
        <w:t xml:space="preserve"> report binds the source, digest, image reference, and attestation URLs. Promotion now rejects any image whose provenance does not match this repository, the fixed release workflow, the supplied main commit/ref, and a GitHub-hosted signing runner. The workflow is implemented but not automatically dispatched; the first external package remains an explicit operator-controlled evidence exercise.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0013</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Digital vehicle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Volume II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safe, versioned aggregate with component bounds, cross-component invariants, independent RBAC, atomic audit/outbox evidence, and idempotent exact retry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foundation/admission/migration/workload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native-policy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Namespace-scoped fail-closed Deployment/Job and init-container repository/digest enforcement with denial and audit actions; live cluster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Cryptographic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configuration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GitHub/Sigstore Policy Controller values restrict SLSA v1 provenance to the exact ATEP image, repository, release workflow, and main ref with no exemptions; live installation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image provenance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reusable-builder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Protected main-only approval, input-free exact-identity builder, immutable commit tag, signed SLSA and CycloneDX attestations, release report, and exact pre-promotion/admission verification; independently governed builder and first live publish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evidence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portable archive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Exact-digest attestation bundle, current roots, offline verification, manifest-bound report/SBOM/bundle/root, and evidence-first revocation procedure; immutable provider export and live revocation exercise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Sealed evidence restore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transfer/restore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non-replacing ZIP, content-addressed receipt, bounded safe extraction, fresh-job artifact download, restore verification, and WORM provider contract; real provider upload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Immutable provider export gate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provider-neutral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bounded provider evidence, local full restore, key/version/checksum/size/retention/encryption/identity/audit/time validation, and normalized non-replacing receipt; live adapter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S3 Object Lock adapter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 adapter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Pre-upload restore, expected account, assumed role, conditional </w:t>
            </w:r>
            <w:r>
              <w:rPr>
                <w:rFonts w:ascii="Calibri" w:hAnsi="Calibri"/>
                <w:b w:val="0"/>
                <w:color w:val="111827"/>
                <w:sz w:val="17"/>
              </w:rPr>
              <w:t>COMPLIANCE</w:t>
            </w:r>
            <w:r>
              <w:rPr>
                <w:rFonts w:ascii="Calibri" w:hAnsi="Calibri"/>
                <w:b w:val="0"/>
                <w:color w:val="111827"/>
                <w:sz w:val="17"/>
              </w:rPr>
              <w:t xml:space="preserve"> write, exact KMS key, version metadata, full read-back, and normalized evidence; live AWS acceptance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archive infrastructure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declarative foundation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Terraform defines S3 Object Lock, KMS, bucket policy, exact OIDC writer/restore roles, and externally governed CloudTrail delivery; CI cannot apply it and live AWS evidence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archive foundation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read-only acceptance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Operator-only STS/S3/KMS/IAM/CloudTrail inspection fails closed and emits one bounded non-replacing report; no AWS credentials are available in CI and no live report is claimed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185 fast tests plus expanded disposable black-box, alert-delivery, restore-drill, sealed release-archive/export-gate/AWS-adapter/Terraform/auditor-policy, and workflow scenarios, five mocked Terraform plans, 27 Android tests, Ruff, strict mypy, Android lint/build, Kustomize rendering, and integration/security/release/promotion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native and cryptographic admission evidence,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cluster-scoped admission,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2"/>
        <w:keepNext/>
        <w:keepLines/>
      </w:pPr>
      <w:r>
        <w:t>ADR-026 — Sign Hosted Release Provenance and Verify It before Promotion</w:t>
      </w:r>
    </w:p>
    <w:p>
      <w:r>
        <w:rPr>
          <w:rFonts w:ascii="Calibri" w:hAnsi="Calibri"/>
          <w:b/>
          <w:color w:val="111827"/>
          <w:sz w:val="22"/>
        </w:rPr>
        <w:t>Decision.</w:t>
      </w:r>
      <w:r>
        <w:rPr>
          <w:rFonts w:ascii="Calibri" w:hAnsi="Calibri"/>
          <w:color w:val="111827"/>
          <w:sz w:val="22"/>
        </w:rPr>
        <w:t xml:space="preserve"> Publish only </w:t>
      </w:r>
      <w:r>
        <w:rPr>
          <w:rFonts w:ascii="Consolas" w:hAnsi="Consolas"/>
          <w:color w:val="1F4D78"/>
          <w:sz w:val="19"/>
        </w:rPr>
        <w:t>sha-&lt;commit&gt;</w:t>
      </w:r>
      <w:r>
        <w:rPr>
          <w:rFonts w:ascii="Calibri" w:hAnsi="Calibri"/>
          <w:color w:val="111827"/>
          <w:sz w:val="22"/>
        </w:rPr>
        <w:t xml:space="preserve"> images from a fixed, protected, main-only GitHub-hosted release path. Refuse tag replacement; derive the immutable manifest digest from Buildx metadata; create signed SLSA provenance and CycloneDX SBOM attestations for the same fully qualified subject; and retain an aggregate release record. Before development, verify the OCI digest against this repository, </w:t>
      </w:r>
      <w:r>
        <w:rPr>
          <w:rFonts w:ascii="Consolas" w:hAnsi="Consolas"/>
          <w:color w:val="1F4D78"/>
          <w:sz w:val="19"/>
        </w:rPr>
        <w:t>.github/workflows/reusable-release-builder.yml</w:t>
      </w:r>
      <w:r>
        <w:rPr>
          <w:rFonts w:ascii="Calibri" w:hAnsi="Calibri"/>
          <w:color w:val="111827"/>
          <w:sz w:val="22"/>
        </w:rPr>
        <w:t xml:space="preserve">, the requested source commit, </w:t>
      </w:r>
      <w:r>
        <w:rPr>
          <w:rFonts w:ascii="Consolas" w:hAnsi="Consolas"/>
          <w:color w:val="1F4D78"/>
          <w:sz w:val="19"/>
        </w:rPr>
        <w:t>refs/heads/main</w:t>
      </w:r>
      <w:r>
        <w:rPr>
          <w:rFonts w:ascii="Calibri" w:hAnsi="Calibri"/>
          <w:color w:val="111827"/>
          <w:sz w:val="22"/>
        </w:rPr>
        <w:t>, and a non-self-hosted signing runner.</w:t>
      </w:r>
    </w:p>
    <w:p>
      <w:r>
        <w:rPr>
          <w:rFonts w:ascii="Calibri" w:hAnsi="Calibri"/>
          <w:b/>
          <w:color w:val="111827"/>
          <w:sz w:val="22"/>
        </w:rPr>
        <w:t>Rationale.</w:t>
      </w:r>
      <w:r>
        <w:rPr>
          <w:rFonts w:ascii="Calibri" w:hAnsi="Calibri"/>
          <w:color w:val="111827"/>
          <w:sz w:val="22"/>
        </w:rPr>
        <w:t xml:space="preserve"> A digest alone proves content identity but not origin. GitHub artifact attestations use a short-lived OIDC identity and Sigstore signing material to bind the digest to protected workflow context. Exact signer, source, and runner constraints reduce acceptance of a valid but unauthorized attestation, while the immutable commit tag improves discovery without becoming the deployment identity.</w:t>
      </w:r>
    </w:p>
    <w:p>
      <w:r>
        <w:rPr>
          <w:rFonts w:ascii="Calibri" w:hAnsi="Calibri"/>
          <w:b/>
          <w:color w:val="111827"/>
          <w:sz w:val="22"/>
        </w:rPr>
        <w:t>Consequences.</w:t>
      </w:r>
      <w:r>
        <w:rPr>
          <w:rFonts w:ascii="Calibri" w:hAnsi="Calibri"/>
          <w:color w:val="111827"/>
          <w:sz w:val="22"/>
        </w:rPr>
        <w:t xml:space="preserve"> The hosted workflow remains part of the trusted computing base and is not yet a separately governed reusable builder. The first publish requires explicit environment and package configuration. Long-term retention, multi-architecture output, emergency revocation, live admission execution, and automotive cybersecurity evidence remain production work.</w:t>
      </w:r>
    </w:p>
    <w:p>
      <w:pPr>
        <w:pStyle w:val="Heading2"/>
        <w:keepNext/>
        <w:keepLines/>
      </w:pPr>
      <w:r>
        <w:t>ADR-027 — Enforce Reviewed Image Identity at Kubernetes Admission</w:t>
      </w:r>
    </w:p>
    <w:p>
      <w:r>
        <w:rPr>
          <w:rFonts w:ascii="Calibri" w:hAnsi="Calibri"/>
          <w:b/>
          <w:color w:val="111827"/>
          <w:sz w:val="22"/>
        </w:rPr>
        <w:t>Decision.</w:t>
      </w:r>
      <w:r>
        <w:rPr>
          <w:rFonts w:ascii="Calibri" w:hAnsi="Calibri"/>
          <w:color w:val="111827"/>
          <w:sz w:val="22"/>
        </w:rPr>
        <w:t xml:space="preserve"> Install a native Kubernetes </w:t>
      </w:r>
      <w:r>
        <w:rPr>
          <w:rFonts w:ascii="Consolas" w:hAnsi="Consolas"/>
          <w:color w:val="1F4D78"/>
          <w:sz w:val="19"/>
        </w:rPr>
        <w:t>ValidatingAdmissionPolicy</w:t>
      </w:r>
      <w:r>
        <w:rPr>
          <w:rFonts w:ascii="Calibri" w:hAnsi="Calibri"/>
          <w:color w:val="111827"/>
          <w:sz w:val="22"/>
        </w:rPr>
        <w:t xml:space="preserve"> and binding in a separate cluster-scoped admission target applied after the namespaced foundation. Select only namespaces explicitly labelled </w:t>
      </w:r>
      <w:r>
        <w:rPr>
          <w:rFonts w:ascii="Consolas" w:hAnsi="Consolas"/>
          <w:color w:val="1F4D78"/>
          <w:sz w:val="19"/>
        </w:rPr>
        <w:t>atep.dev/image-policy=enforced</w:t>
      </w:r>
      <w:r>
        <w:rPr>
          <w:rFonts w:ascii="Calibri" w:hAnsi="Calibri"/>
          <w:color w:val="111827"/>
          <w:sz w:val="22"/>
        </w:rPr>
        <w:t>; fail closed on policy errors; and deny plus audit every ATEP Deployment or Job create/update whose application or init-container image does not use the exact approved GHCR repository and a non-zero lowercase SHA-256 manifest digest.</w:t>
      </w:r>
    </w:p>
    <w:p>
      <w:r>
        <w:rPr>
          <w:rFonts w:ascii="Calibri" w:hAnsi="Calibri"/>
          <w:b/>
          <w:color w:val="111827"/>
          <w:sz w:val="22"/>
        </w:rPr>
        <w:t>Rationale.</w:t>
      </w:r>
      <w:r>
        <w:rPr>
          <w:rFonts w:ascii="Calibri" w:hAnsi="Calibri"/>
          <w:color w:val="111827"/>
          <w:sz w:val="22"/>
        </w:rPr>
        <w:t xml:space="preserve"> Promotion-time verification can be bypassed if a privileged operator later applies a different workload manifest. Repeating the immutable repository/digest boundary at Kubernetes admission prevents mutable tags, foreign repositories, malformed digests, and the committed zero placeholder from reaching the ATEP namespace. Native CEL policy avoids a new webhook service and is stable from Kubernetes 1.30.</w:t>
      </w:r>
    </w:p>
    <w:p>
      <w:r>
        <w:rPr>
          <w:rFonts w:ascii="Calibri" w:hAnsi="Calibri"/>
          <w:b/>
          <w:color w:val="111827"/>
          <w:sz w:val="22"/>
        </w:rPr>
        <w:t>Consequences.</w:t>
      </w:r>
      <w:r>
        <w:rPr>
          <w:rFonts w:ascii="Calibri" w:hAnsi="Calibri"/>
          <w:color w:val="111827"/>
          <w:sz w:val="22"/>
        </w:rPr>
        <w:t xml:space="preserve"> The admission target requires cluster-level admissionregistration privileges and Kubernetes 1.30 or later. The native policy validates identity syntax and repository scope; it does not verify GitHub/Sigstore signatures. Exact attestation verification remains mandatory before promotion, and production still requires live type-checking/denial evidence plus a separately reviewed signature-aware admission control if cryptographic verification must occur inside the cluster.</w:t>
      </w:r>
    </w:p>
    <w:p>
      <w:pPr>
        <w:pStyle w:val="Heading2"/>
        <w:keepNext/>
        <w:keepLines/>
      </w:pPr>
      <w:r>
        <w:t>ADR-028 — Bind Cluster Admission to the Exact GitHub Release Workflow</w:t>
      </w:r>
    </w:p>
    <w:p>
      <w:r>
        <w:rPr>
          <w:rFonts w:ascii="Calibri" w:hAnsi="Calibri"/>
          <w:b/>
          <w:color w:val="111827"/>
          <w:sz w:val="22"/>
        </w:rPr>
        <w:t>Decision.</w:t>
      </w:r>
      <w:r>
        <w:rPr>
          <w:rFonts w:ascii="Calibri" w:hAnsi="Calibri"/>
          <w:color w:val="111827"/>
          <w:sz w:val="22"/>
        </w:rPr>
        <w:t xml:space="preserve"> Opt the </w:t>
      </w:r>
      <w:r>
        <w:rPr>
          <w:rFonts w:ascii="Consolas" w:hAnsi="Consolas"/>
          <w:color w:val="1F4D78"/>
          <w:sz w:val="19"/>
        </w:rPr>
        <w:t>atep</w:t>
      </w:r>
      <w:r>
        <w:rPr>
          <w:rFonts w:ascii="Calibri" w:hAnsi="Calibri"/>
          <w:color w:val="111827"/>
          <w:sz w:val="22"/>
        </w:rPr>
        <w:t xml:space="preserve"> namespace into the official GitHub/Sigstore Policy Controller and commit its trust-policy values. Require SLSA v1 provenance, the GitHub Actions OIDC issuer, the exact </w:t>
      </w:r>
      <w:r>
        <w:rPr>
          <w:rFonts w:ascii="Consolas" w:hAnsi="Consolas"/>
          <w:color w:val="1F4D78"/>
          <w:sz w:val="19"/>
        </w:rPr>
        <w:t>paulacristinaqa/automotive_test_engineering_platform</w:t>
      </w:r>
      <w:r>
        <w:rPr>
          <w:rFonts w:ascii="Calibri" w:hAnsi="Calibri"/>
          <w:color w:val="111827"/>
          <w:sz w:val="22"/>
        </w:rPr>
        <w:t xml:space="preserve"> repository, </w:t>
      </w:r>
      <w:r>
        <w:rPr>
          <w:rFonts w:ascii="Consolas" w:hAnsi="Consolas"/>
          <w:color w:val="1F4D78"/>
          <w:sz w:val="19"/>
        </w:rPr>
        <w:t>.github/workflows/reusable-release-builder.yml</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and the exact ATEP GHCR image pattern. Permit no exempt image. Retain the native repository/digest admission policy as an independent gate.</w:t>
      </w:r>
    </w:p>
    <w:p>
      <w:r>
        <w:rPr>
          <w:rFonts w:ascii="Calibri" w:hAnsi="Calibri"/>
          <w:b/>
          <w:color w:val="111827"/>
          <w:sz w:val="22"/>
        </w:rPr>
        <w:t>Rationale.</w:t>
      </w:r>
      <w:r>
        <w:rPr>
          <w:rFonts w:ascii="Calibri" w:hAnsi="Calibri"/>
          <w:color w:val="111827"/>
          <w:sz w:val="22"/>
        </w:rPr>
        <w:t xml:space="preserve"> Digest admission proves content identity but not who built that content. The release workflow already publishes OCI-attached GitHub/Sigstore provenance with </w:t>
      </w:r>
      <w:r>
        <w:rPr>
          <w:rFonts w:ascii="Consolas" w:hAnsi="Consolas"/>
          <w:color w:val="1F4D78"/>
          <w:sz w:val="19"/>
        </w:rPr>
        <w:t>push-to-registry: true</w:t>
      </w:r>
      <w:r>
        <w:rPr>
          <w:rFonts w:ascii="Calibri" w:hAnsi="Calibri"/>
          <w:color w:val="111827"/>
          <w:sz w:val="22"/>
        </w:rPr>
        <w:t>, so the official controller can cryptographically evaluate the same evidence inside Kubernetes. An exact certificate-subject regular expression is narrower than trusting every repository owned by the account and supports the current personal repository owner.</w:t>
      </w:r>
    </w:p>
    <w:p>
      <w:r>
        <w:rPr>
          <w:rFonts w:ascii="Calibri" w:hAnsi="Calibri"/>
          <w:b/>
          <w:color w:val="111827"/>
          <w:sz w:val="22"/>
        </w:rPr>
        <w:t>Consequences.</w:t>
      </w:r>
      <w:r>
        <w:rPr>
          <w:rFonts w:ascii="Calibri" w:hAnsi="Calibri"/>
          <w:color w:val="111827"/>
          <w:sz w:val="22"/>
        </w:rPr>
        <w:t xml:space="preserve"> Repository configuration alone does not deploy the controller. Operators must approve immutable OCI chart digests, install the reviewed Sigstore controller and GitHub trust policy, validate trust-root and policy status, and retain positive/negative admission evidence. Removing namespace opt-in, broadening the subject/image pattern, adding exemptions, or falling back to an unattested digest is a security-policy change requiring review. Kubernetes 1.30 remains the effective platform minimum because of the native policy.</w:t>
      </w:r>
    </w:p>
    <w:p>
      <w:pPr>
        <w:pStyle w:val="Heading2"/>
        <w:keepNext/>
        <w:keepLines/>
      </w:pPr>
      <w:r>
        <w:t>ADR-029 — Isolate Release Construction and Signing behind a Reusable Workflow</w:t>
      </w:r>
    </w:p>
    <w:p>
      <w:r>
        <w:rPr>
          <w:rFonts w:ascii="Calibri" w:hAnsi="Calibri"/>
          <w:b/>
          <w:color w:val="111827"/>
          <w:sz w:val="22"/>
        </w:rPr>
        <w:t>Decision.</w:t>
      </w:r>
      <w:r>
        <w:rPr>
          <w:rFonts w:ascii="Calibri" w:hAnsi="Calibri"/>
          <w:color w:val="111827"/>
          <w:sz w:val="22"/>
        </w:rPr>
        <w:t xml:space="preserve"> Keep environment approval and fail-closed enablement in the manual </w:t>
      </w:r>
      <w:r>
        <w:rPr>
          <w:rFonts w:ascii="Consolas" w:hAnsi="Consolas"/>
          <w:color w:val="1F4D78"/>
          <w:sz w:val="19"/>
        </w:rPr>
        <w:t>release.yml</w:t>
      </w:r>
      <w:r>
        <w:rPr>
          <w:rFonts w:ascii="Calibri" w:hAnsi="Calibri"/>
          <w:color w:val="111827"/>
          <w:sz w:val="22"/>
        </w:rPr>
        <w:t xml:space="preserve"> caller, then delegate construction, publication, SBOM generation, and both attestations to </w:t>
      </w:r>
      <w:r>
        <w:rPr>
          <w:rFonts w:ascii="Consolas" w:hAnsi="Consolas"/>
          <w:color w:val="1F4D78"/>
          <w:sz w:val="19"/>
        </w:rPr>
        <w:t>reusable-release-builder.yml</w:t>
      </w:r>
      <w:r>
        <w:rPr>
          <w:rFonts w:ascii="Calibri" w:hAnsi="Calibri"/>
          <w:color w:val="111827"/>
          <w:sz w:val="22"/>
        </w:rPr>
        <w:t xml:space="preserve">. Expose no workflow inputs or caller secrets. Grant write permissions only on the dependent call and require the called job's exact </w:t>
      </w:r>
      <w:r>
        <w:rPr>
          <w:rFonts w:ascii="Consolas" w:hAnsi="Consolas"/>
          <w:color w:val="1F4D78"/>
          <w:sz w:val="19"/>
        </w:rPr>
        <w:t>job.workflow_ref</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xml:space="preserve"> before registry authentication.</w:t>
      </w:r>
    </w:p>
    <w:p>
      <w:r>
        <w:rPr>
          <w:rFonts w:ascii="Calibri" w:hAnsi="Calibri"/>
          <w:b/>
          <w:color w:val="111827"/>
          <w:sz w:val="22"/>
        </w:rPr>
        <w:t>Rationale.</w:t>
      </w:r>
      <w:r>
        <w:rPr>
          <w:rFonts w:ascii="Calibri" w:hAnsi="Calibri"/>
          <w:color w:val="111827"/>
          <w:sz w:val="22"/>
        </w:rPr>
        <w:t xml:space="preserve"> GitHub identifies the workflow containing </w:t>
      </w:r>
      <w:r>
        <w:rPr>
          <w:rFonts w:ascii="Consolas" w:hAnsi="Consolas"/>
          <w:color w:val="1F4D78"/>
          <w:sz w:val="19"/>
        </w:rPr>
        <w:t>actions/attest</w:t>
      </w:r>
      <w:r>
        <w:rPr>
          <w:rFonts w:ascii="Calibri" w:hAnsi="Calibri"/>
          <w:color w:val="111827"/>
          <w:sz w:val="22"/>
        </w:rPr>
        <w:t xml:space="preserve"> as the signer. Moving build and signing together behind a narrow reusable boundary therefore gives promotion and cluster admission one explicit builder identity while eliminating arbitrary caller-controlled image, ref, registry, command, and credential inputs. The approval job cannot publish and the builder cannot elevate the caller's token permissions.</w:t>
      </w:r>
    </w:p>
    <w:p>
      <w:r>
        <w:rPr>
          <w:rFonts w:ascii="Calibri" w:hAnsi="Calibri"/>
          <w:b/>
          <w:color w:val="111827"/>
          <w:sz w:val="22"/>
        </w:rPr>
        <w:t>Consequences.</w:t>
      </w:r>
      <w:r>
        <w:rPr>
          <w:rFonts w:ascii="Calibri" w:hAnsi="Calibri"/>
          <w:color w:val="111827"/>
          <w:sz w:val="22"/>
        </w:rPr>
        <w:t xml:space="preserve"> Promotion and Sigstore admission must trust the reusable workflow rather than its caller, and signer changes must update both gates atomically. Because caller and builder remain in the same repository and commit, this is not yet independently governed SLSA Build Level 3 isolation. A future builder repository must be protected separately and referenced by reviewed immutable SHA.</w:t>
      </w:r>
    </w:p>
    <w:p>
      <w:pPr>
        <w:pStyle w:val="Heading2"/>
        <w:keepNext/>
        <w:keepLines/>
      </w:pPr>
      <w:r>
        <w:t>ADR-030 — Preserve Portable Evidence before Exact-Digest Revocation</w:t>
      </w:r>
    </w:p>
    <w:p>
      <w:r>
        <w:rPr>
          <w:rFonts w:ascii="Calibri" w:hAnsi="Calibri"/>
          <w:b/>
          <w:color w:val="111827"/>
          <w:sz w:val="22"/>
        </w:rPr>
        <w:t>Decision.</w:t>
      </w:r>
      <w:r>
        <w:rPr>
          <w:rFonts w:ascii="Calibri" w:hAnsi="Calibri"/>
          <w:color w:val="111827"/>
          <w:sz w:val="22"/>
        </w:rPr>
        <w:t xml:space="preserve"> After online attestation creation, download the exact image digest's GitHub bundle and current trusted roots, verify the archived SLSA provenance against the same repository/signer/source/runner policy, and emit a schema </w:t>
      </w:r>
      <w:r>
        <w:rPr>
          <w:rFonts w:ascii="Consolas" w:hAnsi="Consolas"/>
          <w:color w:val="1F4D78"/>
          <w:sz w:val="19"/>
        </w:rPr>
        <w:t>1.0.0</w:t>
      </w:r>
      <w:r>
        <w:rPr>
          <w:rFonts w:ascii="Calibri" w:hAnsi="Calibri"/>
          <w:color w:val="111827"/>
          <w:sz w:val="22"/>
        </w:rPr>
        <w:t xml:space="preserve"> manifest that hashes and sizes the release report, CycloneDX SBOM, bundle, and roots. Treat the 90-day Actions artifact as a transfer package. Require a separate, dual-reviewed runbook to preserve evidence before deleting exact-digest attestations, package versions, or OCI referrers.</w:t>
      </w:r>
    </w:p>
    <w:p>
      <w:r>
        <w:rPr>
          <w:rFonts w:ascii="Calibri" w:hAnsi="Calibri"/>
          <w:b/>
          <w:color w:val="111827"/>
          <w:sz w:val="22"/>
        </w:rPr>
        <w:t>Rationale.</w:t>
      </w:r>
      <w:r>
        <w:rPr>
          <w:rFonts w:ascii="Calibri" w:hAnsi="Calibri"/>
          <w:color w:val="111827"/>
          <w:sz w:val="22"/>
        </w:rPr>
        <w:t xml:space="preserve"> GitHub lifecycle guidance recommends downloading attestations before deletion, and offline verification requires both the bundle and trusted roots. Binding all evidence files detects accidental substitution or truncation and enables later verification without relying on the Actions artifact. Separating archival from revocation prevents a destructive convenience workflow from erasing evidence or withdrawing the wrong digest.</w:t>
      </w:r>
    </w:p>
    <w:p>
      <w:r>
        <w:rPr>
          <w:rFonts w:ascii="Calibri" w:hAnsi="Calibri"/>
          <w:b/>
          <w:color w:val="111827"/>
          <w:sz w:val="22"/>
        </w:rPr>
        <w:t>Consequences.</w:t>
      </w:r>
      <w:r>
        <w:rPr>
          <w:rFonts w:ascii="Calibri" w:hAnsi="Calibri"/>
          <w:color w:val="111827"/>
          <w:sz w:val="22"/>
        </w:rPr>
        <w:t xml:space="preserve"> An archived signature remains historical cryptographic evidence and is not a current authorization decision; offline verifiers must consult current revocation state. GitHub's 90-day retention is not product-lifetime storage. Production still needs immutable provider retention, encryption and ownership controls, restore exercises, an external revocation catalogue, consumer notification, and live negative verification/admission evidence.</w:t>
      </w:r>
    </w:p>
    <w:p>
      <w:pPr>
        <w:pStyle w:val="Heading2"/>
        <w:keepNext/>
        <w:keepLines/>
      </w:pPr>
      <w:r>
        <w:t>ADR-031 — Seal One Deterministic Object and Prove Restore across a Fresh Job</w:t>
      </w:r>
    </w:p>
    <w:p>
      <w:r>
        <w:rPr>
          <w:rFonts w:ascii="Calibri" w:hAnsi="Calibri"/>
          <w:b/>
          <w:color w:val="111827"/>
          <w:sz w:val="22"/>
        </w:rPr>
        <w:t>Decision.</w:t>
      </w:r>
      <w:r>
        <w:rPr>
          <w:rFonts w:ascii="Calibri" w:hAnsi="Calibri"/>
          <w:color w:val="111827"/>
          <w:sz w:val="22"/>
        </w:rPr>
        <w:t xml:space="preserve"> Seal the manifest and its four evidence files into one deterministic, uncompressed ZIP with fixed entry order, timestamp, permissions, names, and bounded sizes. Emit a separate schema </w:t>
      </w:r>
      <w:r>
        <w:rPr>
          <w:rFonts w:ascii="Consolas" w:hAnsi="Consolas"/>
          <w:color w:val="1F4D78"/>
          <w:sz w:val="19"/>
        </w:rPr>
        <w:t>1.0.0</w:t>
      </w:r>
      <w:r>
        <w:rPr>
          <w:rFonts w:ascii="Calibri" w:hAnsi="Calibri"/>
          <w:color w:val="111827"/>
          <w:sz w:val="22"/>
        </w:rPr>
        <w:t xml:space="preserve"> receipt that binds source SHA, image digest, manifest SHA-256, archive SHA-256/size/count, creation time, and deterministic provider object key. Refuse replacement. After upload to the workflow artifact service, require a fresh read-only job to download, validate, and restore into an empty workspace. Define a vendor-neutral WORM provider contract without embedding cloud credentials or selecting a provider prematurely.</w:t>
      </w:r>
    </w:p>
    <w:p>
      <w:r>
        <w:rPr>
          <w:rFonts w:ascii="Calibri" w:hAnsi="Calibri"/>
          <w:b/>
          <w:color w:val="111827"/>
          <w:sz w:val="22"/>
        </w:rPr>
        <w:t>Rationale.</w:t>
      </w:r>
      <w:r>
        <w:rPr>
          <w:rFonts w:ascii="Calibri" w:hAnsi="Calibri"/>
          <w:color w:val="111827"/>
          <w:sz w:val="22"/>
        </w:rPr>
        <w:t xml:space="preserve"> A single deterministic object is easier to content-address, transfer, retain, and restore than five loose files. The separate receipt avoids a circular self-hash and lets an exporter compare a provider read-back with the local seal. A fresh job tests the real workflow transport boundary, while safe-basename, exact-entry, ZIP_STORED, size, hash, and empty-destination checks reduce traversal, zip-bomb, substitution, and partial-restore risks.</w:t>
      </w:r>
    </w:p>
    <w:p>
      <w:r>
        <w:rPr>
          <w:rFonts w:ascii="Calibri" w:hAnsi="Calibri"/>
          <w:b/>
          <w:color w:val="111827"/>
          <w:sz w:val="22"/>
        </w:rPr>
        <w:t>Consequences.</w:t>
      </w:r>
      <w:r>
        <w:rPr>
          <w:rFonts w:ascii="Calibri" w:hAnsi="Calibri"/>
          <w:color w:val="111827"/>
          <w:sz w:val="22"/>
        </w:rPr>
        <w:t xml:space="preserve"> GitHub artifact restoration proves packaging and transport only, not product-lifetime immutability. Production must select and configure locked WORM retention, object version identity, legal/event holds, independent keys/audit, non-deleting short-lived writer identity, strong checksum read-back, provider receipt retention, and scheduled clean-host restore. The deterministic key must never be overwritten even if a provider retains older versions.</w:t>
      </w:r>
    </w:p>
    <w:p>
      <w:pPr>
        <w:pStyle w:val="Heading2"/>
        <w:keepNext/>
        <w:keepLines/>
      </w:pPr>
      <w:r>
        <w:t>ADR-032 — Normalize Provider Evidence before Accepting an Immutable Export</w:t>
      </w:r>
    </w:p>
    <w:p>
      <w:r>
        <w:rPr>
          <w:rFonts w:ascii="Calibri" w:hAnsi="Calibri"/>
          <w:b/>
          <w:color w:val="111827"/>
          <w:sz w:val="22"/>
        </w:rPr>
        <w:t>Decision.</w:t>
      </w:r>
      <w:r>
        <w:rPr>
          <w:rFonts w:ascii="Calibri" w:hAnsi="Calibri"/>
          <w:color w:val="111827"/>
          <w:sz w:val="22"/>
        </w:rPr>
        <w:t xml:space="preserve"> Require each future provider adapter to translate its upload, retention-state, identity, audit, and read-back response into one exact non-sensitive JSON schema. Re-validate and fully restore the local seal, require the provider's exact deterministic key, immutable version, SHA-256 upload/read-back value, byte size, locked retention at or beyond an explicit minimum, approved encryption mode, bounded writer/audit identifiers, and chronological timestamps. Emit a separate normalized receipt that hashes both source evidence files and cannot replace an existing receipt.</w:t>
      </w:r>
    </w:p>
    <w:p>
      <w:r>
        <w:rPr>
          <w:rFonts w:ascii="Calibri" w:hAnsi="Calibri"/>
          <w:b/>
          <w:color w:val="111827"/>
          <w:sz w:val="22"/>
        </w:rPr>
        <w:t>Rationale.</w:t>
      </w:r>
      <w:r>
        <w:rPr>
          <w:rFonts w:ascii="Calibri" w:hAnsi="Calibri"/>
          <w:color w:val="111827"/>
          <w:sz w:val="22"/>
        </w:rPr>
        <w:t xml:space="preserve"> AWS, Azure, Google Cloud, and future providers expose different names and response shapes for equivalent controls. A narrow normalization boundary keeps provider credentials and raw response bodies out of retained evidence, gives policy and tests one stable contract, and prevents a nominal upload-success response from being confused with verified immutable retention and recoverability.</w:t>
      </w:r>
    </w:p>
    <w:p>
      <w:r>
        <w:rPr>
          <w:rFonts w:ascii="Calibri" w:hAnsi="Calibri"/>
          <w:b/>
          <w:color w:val="111827"/>
          <w:sz w:val="22"/>
        </w:rPr>
        <w:t>Consequences.</w:t>
      </w:r>
      <w:r>
        <w:rPr>
          <w:rFonts w:ascii="Calibri" w:hAnsi="Calibri"/>
          <w:color w:val="111827"/>
          <w:sz w:val="22"/>
        </w:rPr>
        <w:t xml:space="preserve"> The gate proves consistency of the evidence supplied by an adapter; it cannot independently prove that a provider API response is truthful or that account policy remains locked. Production still needs an approved adapter using short-lived identity, independently reviewed provisioning, real denial/audit/read-back evidence, retention monitoring, and scheduled clean-host restoration.</w:t>
      </w:r>
    </w:p>
    <w:p>
      <w:pPr>
        <w:pStyle w:val="Heading2"/>
        <w:keepNext/>
        <w:keepLines/>
      </w:pPr>
      <w:r>
        <w:t>ADR-033 — Implement the First Provider Adapter with S3 Object Lock Compliance Mode</w:t>
      </w:r>
    </w:p>
    <w:p>
      <w:r>
        <w:rPr>
          <w:rFonts w:ascii="Calibri" w:hAnsi="Calibri"/>
          <w:b/>
          <w:color w:val="111827"/>
          <w:sz w:val="22"/>
        </w:rPr>
        <w:t>Decision.</w:t>
      </w:r>
      <w:r>
        <w:rPr>
          <w:rFonts w:ascii="Calibri" w:hAnsi="Calibri"/>
          <w:color w:val="111827"/>
          <w:sz w:val="22"/>
        </w:rPr>
        <w:t xml:space="preserve"> Implement one AWS S3 adapter that validates and restores the local seal, requires an STS assumed-role session in the expected archive account, and uses one conditional </w:t>
      </w:r>
      <w:r>
        <w:rPr>
          <w:rFonts w:ascii="Consolas" w:hAnsi="Consolas"/>
          <w:color w:val="1F4D78"/>
          <w:sz w:val="19"/>
        </w:rPr>
        <w:t>PutObject</w:t>
      </w:r>
      <w:r>
        <w:rPr>
          <w:rFonts w:ascii="Calibri" w:hAnsi="Calibri"/>
          <w:color w:val="111827"/>
          <w:sz w:val="22"/>
        </w:rPr>
        <w:t xml:space="preserve"> with full-object SHA-256, </w:t>
      </w:r>
      <w:r>
        <w:rPr>
          <w:rFonts w:ascii="Consolas" w:hAnsi="Consolas"/>
          <w:color w:val="1F4D78"/>
          <w:sz w:val="19"/>
        </w:rPr>
        <w:t>If-None-Match: *</w:t>
      </w:r>
      <w:r>
        <w:rPr>
          <w:rFonts w:ascii="Calibri" w:hAnsi="Calibri"/>
          <w:color w:val="111827"/>
          <w:sz w:val="22"/>
        </w:rPr>
        <w:t xml:space="preserve">, explicit </w:t>
      </w:r>
      <w:r>
        <w:rPr>
          <w:rFonts w:ascii="Consolas" w:hAnsi="Consolas"/>
          <w:color w:val="1F4D78"/>
          <w:sz w:val="19"/>
        </w:rPr>
        <w:t>COMPLIANCE</w:t>
      </w:r>
      <w:r>
        <w:rPr>
          <w:rFonts w:ascii="Calibri" w:hAnsi="Calibri"/>
          <w:color w:val="111827"/>
          <w:sz w:val="22"/>
        </w:rPr>
        <w:t xml:space="preserve"> retention, exact customer-managed KMS key, and S3 Bucket Key. Treat the returned </w:t>
      </w:r>
      <w:r>
        <w:rPr>
          <w:rFonts w:ascii="Consolas" w:hAnsi="Consolas"/>
          <w:color w:val="1F4D78"/>
          <w:sz w:val="19"/>
        </w:rPr>
        <w:t>VersionId</w:t>
      </w:r>
      <w:r>
        <w:rPr>
          <w:rFonts w:ascii="Calibri" w:hAnsi="Calibri"/>
          <w:color w:val="111827"/>
          <w:sz w:val="22"/>
        </w:rPr>
        <w:t xml:space="preserve"> as the immutable provider identity; verify metadata and fully stream that exact version back before emitting provider evidence and the normalized export receipt. Do not provision AWS resources or activate the adapter in release CI in this slice.</w:t>
      </w:r>
    </w:p>
    <w:p>
      <w:r>
        <w:rPr>
          <w:rFonts w:ascii="Calibri" w:hAnsi="Calibri"/>
          <w:b/>
          <w:color w:val="111827"/>
          <w:sz w:val="22"/>
        </w:rPr>
        <w:t>Rationale.</w:t>
      </w:r>
      <w:r>
        <w:rPr>
          <w:rFonts w:ascii="Calibri" w:hAnsi="Calibri"/>
          <w:color w:val="111827"/>
          <w:sz w:val="22"/>
        </w:rPr>
        <w:t xml:space="preserve"> S3 Object Lock protects versions rather than key names, so retention alone does not prevent another version under the deterministic key. The conditional write is the atomic non-replacement boundary. Explicit compliance retention prevents governance bypass, while exact account, temporary role, KMS, version, checksum, and read-back checks make provider assumptions executable rather than documentary.</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COMPLIANCE</w:t>
      </w:r>
      <w:r>
        <w:rPr>
          <w:rFonts w:ascii="Calibri" w:hAnsi="Calibri"/>
          <w:color w:val="111827"/>
          <w:sz w:val="22"/>
        </w:rPr>
        <w:t xml:space="preserve"> retention cannot be shortened, so live testing requires a disposable object and approved duration. The adapter's fake client proves request/response policy, not AWS account truth. Production needs a versioned Object Lock bucket, policy conditions, separate KMS administration, OIDC trust, CloudTrail data events, IAM simulation, denial tests, monitoring, cost/account ownership, catalogue registration, and a clean-host restore.</w:t>
      </w:r>
    </w:p>
    <w:p>
      <w:pPr>
        <w:pStyle w:val="Heading2"/>
        <w:keepNext/>
        <w:keepLines/>
      </w:pPr>
      <w:r>
        <w:t>ADR-034 — Define the AWS Archive Foundation without Granting CI a Deployment Path</w:t>
      </w:r>
    </w:p>
    <w:p>
      <w:r>
        <w:rPr>
          <w:rFonts w:ascii="Calibri" w:hAnsi="Calibri"/>
          <w:b/>
          <w:color w:val="111827"/>
          <w:sz w:val="22"/>
        </w:rPr>
        <w:t>Decision.</w:t>
      </w:r>
      <w:r>
        <w:rPr>
          <w:rFonts w:ascii="Calibri" w:hAnsi="Calibri"/>
          <w:color w:val="111827"/>
          <w:sz w:val="22"/>
        </w:rPr>
        <w:t xml:space="preserve"> Define the archive bucket, customer-managed KMS key, bucket policy, separate writer and restore roles, and CloudTrail as a Terraform root module. Enable Object Lock when creating a non-destroyable versioned bucket; enforce default and minimum </w:t>
      </w:r>
      <w:r>
        <w:rPr>
          <w:rFonts w:ascii="Consolas" w:hAnsi="Consolas"/>
          <w:color w:val="1F4D78"/>
          <w:sz w:val="19"/>
        </w:rPr>
        <w:t>COMPLIANCE</w:t>
      </w:r>
      <w:r>
        <w:rPr>
          <w:rFonts w:ascii="Calibri" w:hAnsi="Calibri"/>
          <w:color w:val="111827"/>
          <w:sz w:val="22"/>
        </w:rPr>
        <w:t xml:space="preserve"> retention, KMS encryption, Bucket Key, private ownership, fixed prefix, TLS, and exact short-lived GitHub OIDC subjects. Deliver validated multi-Region management and archive-object data events to an externally governed bucket/key. Accept the account-wide OIDC provider, KMS administrator roles, audit destination, and remote state as external inputs. Routine CI may format, initialize without a backend, validate, and execute mocked plans only; it receives no AWS credential or </w:t>
      </w:r>
      <w:r>
        <w:rPr>
          <w:rFonts w:ascii="Consolas" w:hAnsi="Consolas"/>
          <w:color w:val="1F4D78"/>
          <w:sz w:val="19"/>
        </w:rPr>
        <w:t>apply</w:t>
      </w:r>
      <w:r>
        <w:rPr>
          <w:rFonts w:ascii="Calibri" w:hAnsi="Calibri"/>
          <w:color w:val="111827"/>
          <w:sz w:val="22"/>
        </w:rPr>
        <w:t xml:space="preserve"> path.</w:t>
      </w:r>
    </w:p>
    <w:p>
      <w:r>
        <w:rPr>
          <w:rFonts w:ascii="Calibri" w:hAnsi="Calibri"/>
          <w:b/>
          <w:color w:val="111827"/>
          <w:sz w:val="22"/>
        </w:rPr>
        <w:t>Rationale.</w:t>
      </w:r>
      <w:r>
        <w:rPr>
          <w:rFonts w:ascii="Calibri" w:hAnsi="Calibri"/>
          <w:color w:val="111827"/>
          <w:sz w:val="22"/>
        </w:rPr>
        <w:t xml:space="preserve"> Provider-adapter correctness cannot compensate for a weak bucket, broad role, mutable audit trail, or accidental destructive IaC. Declaring the controls makes review and drift intent reproducible, while keeping state, audit storage, key administration, and provisioning authority outside the data-plane roles reduces circular trust. Mocked positive and negative plans verify structure without creating retained objects or billable infrastructure.</w:t>
      </w:r>
    </w:p>
    <w:p>
      <w:r>
        <w:rPr>
          <w:rFonts w:ascii="Calibri" w:hAnsi="Calibri"/>
          <w:b/>
          <w:color w:val="111827"/>
          <w:sz w:val="22"/>
        </w:rPr>
        <w:t>Consequences.</w:t>
      </w:r>
      <w:r>
        <w:rPr>
          <w:rFonts w:ascii="Calibri" w:hAnsi="Calibri"/>
          <w:color w:val="111827"/>
          <w:sz w:val="22"/>
        </w:rPr>
        <w:t xml:space="preserve"> A mock provider cannot prove AWS account ownership, provider API behavior, external audit policies, actual OIDC claims, environment protection, IAM effective permissions, cost, or recoverability. The explicit root delegation in the KMS policy preserves account recovery and IAM authorization, so organizational root/IAM governance remains a trusted control. Live use still requires a protected two-reviewer plan/apply, exact-claim capture, IAM simulation, CloudTrail delivery proof, disposable retained upload, denial matrix, and clean-host restore.</w:t>
      </w:r>
    </w:p>
    <w:p>
      <w:pPr>
        <w:pStyle w:val="Heading2"/>
        <w:keepNext/>
        <w:keepLines/>
      </w:pPr>
      <w:r>
        <w:t>ADR-035 — Separate Read-Only Foundation Conformance from Destructive Acceptance</w:t>
      </w:r>
    </w:p>
    <w:p>
      <w:r>
        <w:rPr>
          <w:rFonts w:ascii="Calibri" w:hAnsi="Calibri"/>
          <w:b/>
          <w:color w:val="111827"/>
          <w:sz w:val="22"/>
        </w:rPr>
        <w:t>Decision.</w:t>
      </w:r>
      <w:r>
        <w:rPr>
          <w:rFonts w:ascii="Calibri" w:hAnsi="Calibri"/>
          <w:color w:val="111827"/>
          <w:sz w:val="22"/>
        </w:rPr>
        <w:t xml:space="preserve"> Add an operator-invoked Python auditor that receives only explicit expected resource identities and uses read operations against STS, S3, KMS, IAM, and CloudTrail. Verify the observed account, versioning/Object Lock retention, exact default KMS encryption, private ownership, named bucket-policy denials, customer-key state and rotation, exact separate GitHub OIDC role trust/actions, and external validated CloudTrail delivery. Emit one schema-versioned non-replacing JSON report only after every check passes. Exclude caller session identity, full policies, credentials, tokens, and raw AWS responses. Do not make the auditor a credentialed routine CI job.</w:t>
      </w:r>
    </w:p>
    <w:p>
      <w:r>
        <w:rPr>
          <w:rFonts w:ascii="Calibri" w:hAnsi="Calibri"/>
          <w:b/>
          <w:color w:val="111827"/>
          <w:sz w:val="22"/>
        </w:rPr>
        <w:t>Rationale.</w:t>
      </w:r>
      <w:r>
        <w:rPr>
          <w:rFonts w:ascii="Calibri" w:hAnsi="Calibri"/>
          <w:color w:val="111827"/>
          <w:sz w:val="22"/>
        </w:rPr>
        <w:t xml:space="preserve"> Terraform mock plans prove declared intent but not deployed state. A read-only conformance phase closes part of that evidence gap without combining observation with provisioning or irreversible retained-object tests. Exact operator-supplied account/resource identity prevents discovery from silently selecting an unintended environment, while fail-closed output prevents a partial result from appearing successful.</w:t>
      </w:r>
    </w:p>
    <w:p>
      <w:r>
        <w:rPr>
          <w:rFonts w:ascii="Calibri" w:hAnsi="Calibri"/>
          <w:b/>
          <w:color w:val="111827"/>
          <w:sz w:val="22"/>
        </w:rPr>
        <w:t>Consequences.</w:t>
      </w:r>
      <w:r>
        <w:rPr>
          <w:rFonts w:ascii="Calibri" w:hAnsi="Calibri"/>
          <w:color w:val="111827"/>
          <w:sz w:val="22"/>
        </w:rPr>
        <w:t xml:space="preserve"> The auditor needs a separately governed read-only identity and its result is a point-in-time observation. Named bucket-policy statements and exact role actions intentionally reject undocumented customization. It cannot prove effective permissions, environment reviewer protection, retained-object semantics, write/delete/retention denials, CloudTrail event arrival, cost, or recoverability; those remain independent controlled acceptance exercises.</w:t>
      </w:r>
    </w:p>
    <w:p>
      <w:pPr>
        <w:pStyle w:val="Heading2"/>
        <w:keepNext/>
        <w:keepLines/>
      </w:pPr>
      <w:r>
        <w:t>ADR-036 — Establish a Versioned Digital-Vehicle State Aggregate before Physics Simulation</w:t>
      </w:r>
    </w:p>
    <w:p>
      <w:r>
        <w:rPr>
          <w:rFonts w:ascii="Calibri" w:hAnsi="Calibri"/>
          <w:b/>
          <w:color w:val="111827"/>
          <w:sz w:val="22"/>
        </w:rPr>
        <w:t>Decision.</w:t>
      </w:r>
      <w:r>
        <w:rPr>
          <w:rFonts w:ascii="Calibri" w:hAnsi="Calibri"/>
          <w:color w:val="111827"/>
          <w:sz w:val="22"/>
        </w:rPr>
        <w:t xml:space="preserve"> Give every vehicle exactly one complete state aggregate containing operational mode, battery, powertrain, brake, steering, and lighting components. Validate all components together, replace state using an expected version and row lock, treat an exact immediate retry as idempotent, and atomically emit audit plus </w:t>
      </w:r>
      <w:r>
        <w:rPr>
          <w:rFonts w:ascii="Consolas" w:hAnsi="Consolas"/>
          <w:color w:val="1F4D78"/>
          <w:sz w:val="19"/>
        </w:rPr>
        <w:t>atep.digital_vehicle.state.updated.v1</w:t>
      </w:r>
      <w:r>
        <w:rPr>
          <w:rFonts w:ascii="Calibri" w:hAnsi="Calibri"/>
          <w:color w:val="111827"/>
          <w:sz w:val="22"/>
        </w:rPr>
        <w:t xml:space="preserve"> outbox evidence.</w:t>
      </w:r>
    </w:p>
    <w:p>
      <w:r>
        <w:rPr>
          <w:rFonts w:ascii="Calibri" w:hAnsi="Calibri"/>
          <w:b/>
          <w:color w:val="111827"/>
          <w:sz w:val="22"/>
        </w:rPr>
        <w:t>Rationale.</w:t>
      </w:r>
      <w:r>
        <w:rPr>
          <w:rFonts w:ascii="Calibri" w:hAnsi="Calibri"/>
          <w:color w:val="111827"/>
          <w:sz w:val="22"/>
        </w:rPr>
        <w:t xml:space="preserve"> A deterministic domain contract is required before physics engines, ECUs, CAN, diagnostics, or Android adapters can interoperate safely. Complete replacement keeps invariants visible and prevents partial component writes from creating contradictory vehicle snapshots.</w:t>
      </w:r>
    </w:p>
    <w:p>
      <w:r>
        <w:rPr>
          <w:rFonts w:ascii="Calibri" w:hAnsi="Calibri"/>
          <w:b/>
          <w:color w:val="111827"/>
          <w:sz w:val="22"/>
        </w:rPr>
        <w:t>Consequences.</w:t>
      </w:r>
      <w:r>
        <w:rPr>
          <w:rFonts w:ascii="Calibri" w:hAnsi="Calibri"/>
          <w:color w:val="111827"/>
          <w:sz w:val="22"/>
        </w:rPr>
        <w:t xml:space="preserve"> The current model is an authoritative snapshot rather than a time-stepped simulation. Clients must handle version conflicts. Future engines and gateways must translate through this public contract instead of accessing persistence directly.</w:t>
      </w:r>
    </w:p>
    <w:p>
      <w:pPr>
        <w:pStyle w:val="Heading2"/>
        <w:keepNext/>
        <w:keepLines/>
      </w:pPr>
      <w:r>
        <w:t>ADR-037 — Advance Simulation Time Only through Persisted Commands</w:t>
      </w:r>
    </w:p>
    <w:p>
      <w:r>
        <w:rPr>
          <w:rFonts w:ascii="Calibri" w:hAnsi="Calibri"/>
          <w:b/>
          <w:color w:val="111827"/>
          <w:sz w:val="22"/>
        </w:rPr>
        <w:t>Decision.</w:t>
      </w:r>
      <w:r>
        <w:rPr>
          <w:rFonts w:ascii="Calibri" w:hAnsi="Calibri"/>
          <w:color w:val="111827"/>
          <w:sz w:val="22"/>
        </w:rPr>
        <w:t xml:space="preserve"> Store simulation time as integer milliseconds in the vehicle aggregate and advance it only when a bounded transition command is accepted. Persist each command by vehicle and identifier, enforce the initial </w:t>
      </w:r>
      <w:r>
        <w:rPr>
          <w:rFonts w:ascii="Consolas" w:hAnsi="Consolas"/>
          <w:color w:val="1F4D78"/>
          <w:sz w:val="19"/>
        </w:rPr>
        <w:t>parked -&gt; ready -&gt; driving -&gt; parked</w:t>
      </w:r>
      <w:r>
        <w:rPr>
          <w:rFonts w:ascii="Calibri" w:hAnsi="Calibri"/>
          <w:color w:val="111827"/>
          <w:sz w:val="22"/>
        </w:rPr>
        <w:t xml:space="preserve"> state machine, and commit the new state, replay metadata, audit record, and versioned outbox event atomically.</w:t>
      </w:r>
    </w:p>
    <w:p>
      <w:r>
        <w:rPr>
          <w:rFonts w:ascii="Calibri" w:hAnsi="Calibri"/>
          <w:b/>
          <w:color w:val="111827"/>
          <w:sz w:val="22"/>
        </w:rPr>
        <w:t>Rationale.</w:t>
      </w:r>
      <w:r>
        <w:rPr>
          <w:rFonts w:ascii="Calibri" w:hAnsi="Calibri"/>
          <w:color w:val="111827"/>
          <w:sz w:val="22"/>
        </w:rPr>
        <w:t xml:space="preserve"> Wall-clock loops introduce scheduling jitter, background resource use, and non-repeatable tests. A command-driven logical clock makes the same ordered inputs produce the same state versions and timestamps, while persisted command identity makes network retries safe.</w:t>
      </w:r>
    </w:p>
    <w:p>
      <w:r>
        <w:rPr>
          <w:rFonts w:ascii="Calibri" w:hAnsi="Calibri"/>
          <w:b/>
          <w:color w:val="111827"/>
          <w:sz w:val="22"/>
        </w:rPr>
        <w:t>Consequences.</w:t>
      </w:r>
      <w:r>
        <w:rPr>
          <w:rFonts w:ascii="Calibri" w:hAnsi="Calibri"/>
          <w:color w:val="111827"/>
          <w:sz w:val="22"/>
        </w:rPr>
        <w:t xml:space="preserve"> Time does not pass unless a client advances it. The first engine models discrete mode changes rather than continuous physics. Future sensor integration, seeded noise, and fault injection must derive from the logical clock and retain explicit scenario inputs.</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Boto3</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provider adapter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S3 Object Lock, checksum, retention, KMS, and STS APIs through the standard short-lived credential chain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Hash-locked dependency; live use requires an independently reviewed AWS foundation and never accepts command-line access keys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Terraform 1.15 / AWS provider 6.58</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archive infrastructure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Reviewable S3 Object Lock, KMS, IAM/OIDC, bucket-policy, and CloudTrail intent with native mocked plan tests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provider lock covers Linux/Windows; state and apply authority remain external, and CI has no cloud credential or apply path</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Artifact Attestations / Sigstore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Signed release and admission identity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SLSA provenance and CycloneDX predicates bind the GHCR digest to repository, workflow, source, and hosted runner context; the Policy Controller contract repeats exact provenance verification in-cluster</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code remains trusted; live release/admission evidence, retention, revocation, and trusted-builder separation remain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admission, migration, and workload targets shall render independently so cluster policy precedes migration and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 K8S-006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 SHA and image digest shall traverse fixed development, staging, and production validation in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environment shall retain source/digest-bound foundation/admission/migration/workload fingerprints and timestamps.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Promotion evidence schema </w:t>
            </w:r>
            <w:r>
              <w:rPr>
                <w:rFonts w:ascii="Calibri" w:hAnsi="Calibri"/>
                <w:b w:val="0"/>
                <w:color w:val="111827"/>
                <w:sz w:val="16"/>
              </w:rPr>
              <w:t>1.1.0</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reject literal Secrets, unexpected registries, mutable/zero identifiers, and non-main source commits.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Negative promotion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protected main-only workflow shall publish one non-replaceable GHCR commit tag.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PROV-001 through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image digest shall receive signed SLSA provenance and CycloneDX SBOM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GitHub/Sigstore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PROV-005, PROV-006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verify repository, signer workflow, source SHA/ref, and hosted runner before development.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 attestation verify</w:t>
            </w:r>
            <w:r>
              <w:rPr>
                <w:rFonts w:ascii="Calibri" w:hAnsi="Calibri"/>
                <w:b w:val="0"/>
                <w:color w:val="111827"/>
                <w:sz w:val="16"/>
              </w:rPr>
              <w:t xml:space="preserve">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release evidence shall bind source, immutable tag, digest/reference, and both attestation URLs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shall deny ATEP Deployment and Job creation/update when any application or init-container image is mutable, foreign, malformed, or uses the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admission policy and binding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ATEP namespace shall enforce SLSA v1 provenance for the exact image, repository, reusable signer workflow, and </w:t>
            </w:r>
            <w:r>
              <w:rPr>
                <w:rFonts w:ascii="Calibri" w:hAnsi="Calibri"/>
                <w:b w:val="0"/>
                <w:color w:val="111827"/>
                <w:sz w:val="16"/>
              </w:rPr>
              <w:t>main</w:t>
            </w:r>
            <w:r>
              <w:rPr>
                <w:rFonts w:ascii="Calibri" w:hAnsi="Calibri"/>
                <w:b w:val="0"/>
                <w:color w:val="111827"/>
                <w:sz w:val="16"/>
              </w:rPr>
              <w:t xml:space="preserve"> ref through the GitHub/Sigstore Policy Controller without exemptions.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Trust-policy values and namespace opt-in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approval shall delegate build, publication, SBOM, and signing to an input-free reusable workflow with exact identity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Caller/builder workflow boundary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successful release shall verify and manifest-bind its report, CycloneDX SBOM, attestation bundle, and current trusted roots for portable offline 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manifest and reusable builder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revocation shall preserve evidence first and prove withdrawal through online verification, promotion, and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Manifest-bound evidence shall be sealed deterministically with a separate content-addressed receipt and no 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tool and receipt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fresh read-only job shall download and restore the sealed workflow artifact before release success.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 workflow restore job</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exact bounded provider evidence shall bind an immutable version, key, checksum/read-back, size, retention, encryption, writer identity, audit event, and timestamps to the local seal.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acceptance shall fully restore the local seal and emit a normalized non-replacing receipt hashing both source evidence 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and PROV-029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AWS adapter shall pre-restore the seal and atomically upload the deterministic key with full SHA-256, </w:t>
            </w:r>
            <w:r>
              <w:rPr>
                <w:rFonts w:ascii="Calibri" w:hAnsi="Calibri"/>
                <w:b w:val="0"/>
                <w:color w:val="111827"/>
                <w:sz w:val="16"/>
              </w:rPr>
              <w:t>COMPLIANCE</w:t>
            </w:r>
            <w:r>
              <w:rPr>
                <w:rFonts w:ascii="Calibri" w:hAnsi="Calibri"/>
                <w:b w:val="0"/>
                <w:color w:val="111827"/>
                <w:sz w:val="16"/>
              </w:rPr>
              <w:t xml:space="preserve"> retention, exact KMS key, and expected account.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through PROV-032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AWS adapter shall verify retention-aware metadata and fully read back the exact returned version before normalized receipt emission.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PROV-033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an STS assumed-role session in the expected archive account may act as the AWS writer.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AWS foundation shall declare a new non-destroyable private versioned bucket with Object Lock at creation, default </w:t>
            </w:r>
            <w:r>
              <w:rPr>
                <w:rFonts w:ascii="Calibri" w:hAnsi="Calibri"/>
                <w:b w:val="0"/>
                <w:color w:val="111827"/>
                <w:sz w:val="16"/>
              </w:rPr>
              <w:t>COMPLIANCE</w:t>
            </w:r>
            <w:r>
              <w:rPr>
                <w:rFonts w:ascii="Calibri" w:hAnsi="Calibri"/>
                <w:b w:val="0"/>
                <w:color w:val="111827"/>
                <w:sz w:val="16"/>
              </w:rPr>
              <w:t xml:space="preserve"> retention, exact SSE-KMS, Bucket Key, and fixed archive prefix.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PROV-036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Distinct short-lived writer and restore roles shall trust exact wildcard-free GitHub OIDC subjects and grant only required S3/KMS data-plane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PROV-037, PROV-038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Validated multi-Region CloudTrail shall record management and archive-object data events into externally governed audit storage and encryption.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Routine CI shall validate only backend-free mocked Terraform plans without AWS credentials, OIDC token issuance, or apply.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operator-only read-only auditor shall verify the expected account, archive S3 controls, archive KMS key, exact writer/restore IAM trust/actions, and external CloudTrail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foundation auditor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PROV-042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AWS foundation auditor shall emit one bounded non-replacing JSON report only after every check passes and retain no caller session identity, raw policy, credential, token, or response body.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foundation auditor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PROV-043</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exact environment enablement prevents promotion evidence generation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separation of duties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production environment supports required reviewers, self-review prevention, branch policy, and bypass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source/digest pair and per-environment concurrency apply across the ordered chain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REL-005, REL-008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contents; package/OIDC/attestation writes only in release; short-lived registry token removed after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PROV-002,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Serialized workflow rejects an existing commit tag and never publishes a floating tag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PROV-003,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Provenance trust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signer workflow, source SHA/ref, SLSA predicate, and hosted signing runner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Digests, source identity, public attestation URLs, and timestamps only; no credentials or image 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Cluster image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Fail-closed CEL evaluation, explicit namespace scope, denial plus audit, exact GHCR repository, and non-zero lowercase SHA-256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admission trust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Actions issuer, exact workflow subject, SLSA v1 predicate, GitHub/Sigstore roots, no exemptions, reviewed chart versions/digests, and promotion-identical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Reusable-builder input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inputs or caller secrets; exact reusable workflow ref; reviewed main SHA; no permission elevation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Portable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distinct filenames, structured JSON/JSONL, source/image consistency, regular non-empty files, SHA-256, byte size, and no secrets/layers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digest, preserved evidence, incident authority, independent review, known-good replacement, and negative evidence before re-enablement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restoration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 destination, exact uncompressed entries, safe basenames, bounded sizes, receipt/manifest hashes, atomic output, and rejection of replacement/traversal/tampering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provider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WORM retention, version identity, strong checksum/read-back, deterministic non-replacing key, short-lived separated identities, independent keys/audit, and scheduled restore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evidence minimization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bounded identifiers only; unknown fields, credentials, URLs with queries, and raw provider bodies are rejected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Full local restore, exact provider binding, adequate locked retention, ordered UTC times, and no receipt replacement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Exact-prefix history rejects versions/delete markers; mandatory </w:t>
            </w:r>
            <w:r>
              <w:rPr>
                <w:rFonts w:ascii="Calibri" w:hAnsi="Calibri"/>
                <w:b w:val="0"/>
                <w:color w:val="111827"/>
                <w:sz w:val="16"/>
              </w:rPr>
              <w:t>If-None-Match: *</w:t>
            </w:r>
            <w:r>
              <w:rPr>
                <w:rFonts w:ascii="Calibri" w:hAnsi="Calibri"/>
                <w:b w:val="0"/>
                <w:color w:val="111827"/>
                <w:sz w:val="16"/>
              </w:rPr>
              <w:t xml:space="preserve"> rejects races without alternate key/version retry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Short-lived writer without delete, bypass, hold, lifecycle, bucket/KMS/IAM/audit administration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PROV-034 and live IAM simulation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bounded verification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Streaming size-bounded local restore and exact-version read-back with no credential/raw-response retention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through PROV-033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IaC destruction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prevent_destroy</w:t>
            </w:r>
            <w:r>
              <w:rPr>
                <w:rFonts w:ascii="Calibri" w:hAnsi="Calibri"/>
                <w:b w:val="0"/>
                <w:color w:val="111827"/>
                <w:sz w:val="16"/>
              </w:rPr>
              <w:t xml:space="preserve"> on bucket/key, no </w:t>
            </w:r>
            <w:r>
              <w:rPr>
                <w:rFonts w:ascii="Calibri" w:hAnsi="Calibri"/>
                <w:b w:val="0"/>
                <w:color w:val="111827"/>
                <w:sz w:val="16"/>
              </w:rPr>
              <w:t>force_destroy</w:t>
            </w:r>
            <w:r>
              <w:rPr>
                <w:rFonts w:ascii="Calibri" w:hAnsi="Calibri"/>
                <w:b w:val="0"/>
                <w:color w:val="111827"/>
                <w:sz w:val="16"/>
              </w:rPr>
              <w:t>, Object Lock at creation, and no routine apply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PROV-036,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administrative separation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Writer, restore, key administration, audit storage/encryption, state, and provisioning remain separate; data roles have no destructive or administrative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PROV-037 through 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Terraform/provider, Linux/Windows provider checksums, formatting, validation, and mocked positive/negative plans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independence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Log-file validation plus management/object coverage, with audit destination and key outside the archive stack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audit non-mutation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STS/S3/KMS/IAM/CloudTrail read APIs are allowed; no plan/apply, role assumption, cryptographic operation, object/retention write, or logging mutation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audit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Wrong/shared/weak/ambiguous/truncated configuration or pre-existing output prevents evidence emission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PROV-042, PROV-043</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admission,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four targets render independently; cluster-scoped admission resources have no namespace; every reference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image policy, binding, namespace selector, matched operations/resources, failure mode, and validation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fail-closed policy covers Deployment and Job create/update, including init containers; one binding selects only labelled namespaces and uses Deny plus Audit.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approved digest, mutable tag, foreign repository, uppercase/malformed digest, and zero-digest workloads to a Kubernetes 1.30+ test cluster.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approved repository with a non-zero lowercase SHA-256 digest is admitted; every rejection is visible in the API result and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negative matrix passed; live cluster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opt-in and GitHub trust-policy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Enforcement is enabled; SLSA v1, exact repository/workflow/main-ref subject, exact ATEP image pattern, GitHub/Sigstore trust, and an empty exemption list are present; release publishes registry attestations.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Install reviewed controller/chart digests and submit attested plus unsigned, wrong-repository, wrong-workflow, wrong-ref, and revoked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valid provenance is admitted; all negative samples fail closed and retain controller plus Kubernetes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Runbook/configuration implemented; live cluster exercise pending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Four secret-free manifests and schema </w:t>
            </w:r>
            <w:r>
              <w:rPr>
                <w:rFonts w:ascii="Calibri" w:hAnsi="Calibri"/>
                <w:b w:val="0"/>
                <w:color w:val="111827"/>
                <w:sz w:val="16"/>
              </w:rPr>
              <w:t>1.1.0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 gate; first 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2"/>
        <w:keepNext/>
        <w:keepLines/>
      </w:pPr>
      <w:r>
        <w:t>11.17 Signed Image Provenance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Dispatch release from a ref other than </w:t>
            </w:r>
            <w:r>
              <w:rPr>
                <w:rFonts w:ascii="Calibri" w:hAnsi="Calibri"/>
                <w:b w:val="0"/>
                <w:color w:val="111827"/>
                <w:sz w:val="16"/>
              </w:rPr>
              <w:t>main</w:t>
            </w:r>
            <w:r>
              <w:rPr>
                <w:rFonts w:ascii="Calibri" w:hAnsi="Calibri"/>
                <w:b w:val="0"/>
                <w:color w:val="111827"/>
                <w:sz w:val="16"/>
              </w:rPr>
              <w:t xml:space="preserve"> or with a checkout different from </w:t>
            </w:r>
            <w:r>
              <w:rPr>
                <w:rFonts w:ascii="Calibri" w:hAnsi="Calibri"/>
                <w:b w:val="0"/>
                <w:color w:val="111827"/>
                <w:sz w:val="16"/>
              </w:rPr>
              <w:t>github.sha</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stops before registry authentication or build.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ATEP_RELEASE_ENABLED</w:t>
            </w:r>
            <w:r>
              <w:rPr>
                <w:rFonts w:ascii="Calibri" w:hAnsi="Calibri"/>
                <w:b w:val="0"/>
                <w:color w:val="111827"/>
                <w:sz w:val="16"/>
              </w:rPr>
              <w:t xml:space="preserve"> absent or inspect release job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fails closed; contents stay read-only and only the release job has package/OIDC/attestation writes.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the first </w:t>
            </w:r>
            <w:r>
              <w:rPr>
                <w:rFonts w:ascii="Calibri" w:hAnsi="Calibri"/>
                <w:b w:val="0"/>
                <w:color w:val="111827"/>
                <w:sz w:val="16"/>
              </w:rPr>
              <w:t>sha-&lt;commit&gt;</w:t>
            </w:r>
            <w:r>
              <w:rPr>
                <w:rFonts w:ascii="Calibri" w:hAnsi="Calibri"/>
                <w:b w:val="0"/>
                <w:color w:val="111827"/>
                <w:sz w:val="16"/>
              </w:rPr>
              <w:t xml:space="preserve"> tag and inspect image labels.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GHCR stores the exact commit tag with source, revision, and title labels; no floating tag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complete; first live publish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Re-run release for an already published commit.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tag is detected and replacement is refused.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missing, non-string, mutable, malformed, or zero Buildx digest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generation rejects it before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SLSA and CycloneDX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signed predicates identify the same fully qualified image and immutable manifest digest and are attached to GHCR.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workflow implemented; live GitHub/Sigstore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digest with no attestation or an invalid signature.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verification fails before development.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gate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provenance signed by another repository or workflow.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and signer-workflow policy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source SHA or source ref different from signed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Verification rejects the mismatch before environment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provenance produced by a self-hosted runner.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--deny-self-hosted-runners</w:t>
            </w:r>
            <w:r>
              <w:rPr>
                <w:rFonts w:ascii="Calibri" w:hAnsi="Calibri"/>
                <w:b w:val="0"/>
                <w:color w:val="111827"/>
                <w:sz w:val="16"/>
              </w:rPr>
              <w:t xml:space="preserve">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release evidence schema, tag, reference, UTC timestamp, and attestation URLs.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deterministically binds only reviewed public release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report, workflow, artifacts, and cleanup for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token or environment value is retained; registry credentials are removed even after failure.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test and implementation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manual release caller and reusable workflow interface.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Approval uses the protected </w:t>
            </w:r>
            <w:r>
              <w:rPr>
                <w:rFonts w:ascii="Calibri" w:hAnsi="Calibri"/>
                <w:b w:val="0"/>
                <w:color w:val="111827"/>
                <w:sz w:val="16"/>
              </w:rPr>
              <w:t>release</w:t>
            </w:r>
            <w:r>
              <w:rPr>
                <w:rFonts w:ascii="Calibri" w:hAnsi="Calibri"/>
                <w:b w:val="0"/>
                <w:color w:val="111827"/>
                <w:sz w:val="16"/>
              </w:rPr>
              <w:t xml:space="preserve"> environment; the builder runs only after approval and declares no workflow inputs or caller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Invoke or alter the builder identity/ref away from the exact workflow on </w:t>
            </w:r>
            <w:r>
              <w:rPr>
                <w:rFonts w:ascii="Calibri" w:hAnsi="Calibri"/>
                <w:b w:val="0"/>
                <w:color w:val="111827"/>
                <w:sz w:val="16"/>
              </w:rPr>
              <w:t>refs/heads/main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builder fails before registry authentication, publication, or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contract; live negative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an image attested by the caller or another workflow while promotion and admission expect the reusable builder.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exact signer gates reject the mismatched provenance; the reusable signer is accepted only with the required source SHA/ref and hosted runner.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cross-policy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a release archive manifest from matching report, CycloneDX SBOM, attestation JSONL, and trusted-root JSONL.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binds source/ref, image digest/reference, signer, timestamp, fixed roles/names, byte sizes, and SHA-256 values.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malformed JSON/JSONL, empty, symlinked, duplicate, renamed, or source/image-mismatched archive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generation fails closed without producing trusted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malformed, empty, mismatch, duplicate, and rename coverage; symlink check implemented with platform-specific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reusable builder's download and verification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bundle and current roots are non-empty; archived SLSA provenance passes exact signer/source/runner policy before upload.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test; live GitHub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Alter one byte in each archived file and restore the package on a clean verifier.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comparison detects every mutation; intact evidence verifies offline with the retained roots.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hashing implemented; live mutation/restore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Revoke a disposable exact digest after preserving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Attestation and package/referrers are withdrawn under dual review; online verification, promotion, and admission reject it while another digest remains 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 implemented; live destructive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the same manifest and evidence twice in clean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ZIP and receipt bytes are identical; fixed object key, entry count, source/image identity, manifest hash, archive hash, and size match.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valid sealed archive and receipt into an empty directory.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exact manifest entry is extracted, re-hashed, re-sized, and bound to the receipt without partial output.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round-trip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with the ZIP or receipt; add traversal, duplicate, extra, compressed, empty, or oversized entries; or target an existing output.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fails closed before trusted output replaces any existing path.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traversal/extra, and existing-output coverage implemented; remaining negative matrix structurally enforced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the seal and receipt, then download them in a fresh read-only job.</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separate job restores successfully before the reusable release workflow completes.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contract implemented; first hosted release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selected immutable provider with existing-key, retention, identity, integrity, read-back, audit, and clean-host restore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non-replacing, checksum-matching object under locked adequate retention is catalogued; negative permissions and policy tests fail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Provider-neutral contract implemented; provider selection/live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 complete normalized provider response against a valid local seal and approved minimum retention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archive fully restores and one receipt binds the exact source/image, key/version, checksums, size, locked retention, encryption, identity, audit event, and ordered times.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object key, upload checksum, read-back checksum, size, retention mode, encryption mode, or immutable-until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fails closed and emits no trusted receipt.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negative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an unknown credential-like field or provide unsafe, unbounded, non-canonical provider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exact schema and identifier policy reject the response before evidence retention.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schema/identifier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Reverse upload/read-back/validation chronology or target an existing export receipt.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time reversal and never replaces retained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chronology/replacement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 valid seal through the S3 fake client and inspect every upload, metadata, read-back, provider-evidence, and normalized-receipt field.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Conditional full-SHA-256 upload uses </w:t>
            </w:r>
            <w:r>
              <w:rPr>
                <w:rFonts w:ascii="Calibri" w:hAnsi="Calibri"/>
                <w:b w:val="0"/>
                <w:color w:val="111827"/>
                <w:sz w:val="16"/>
              </w:rPr>
              <w:t>COMPLIANCE</w:t>
            </w:r>
            <w:r>
              <w:rPr>
                <w:rFonts w:ascii="Calibri" w:hAnsi="Calibri"/>
                <w:b w:val="0"/>
                <w:color w:val="111827"/>
                <w:sz w:val="16"/>
              </w:rPr>
              <w:t>, exact KMS/account/key, one immutable version, complete matching read-back, and both receipts.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Make the key/version or delete marker exist before upload, or introduce a concurrent </w:t>
            </w:r>
            <w:r>
              <w:rPr>
                <w:rFonts w:ascii="Calibri" w:hAnsi="Calibri"/>
                <w:b w:val="0"/>
                <w:color w:val="111827"/>
                <w:sz w:val="16"/>
              </w:rPr>
              <w:t>412 PreconditionFailed</w:t>
            </w:r>
            <w:r>
              <w:rPr>
                <w:rFonts w:ascii="Calibri" w:hAnsi="Calibri"/>
                <w:b w:val="0"/>
                <w:color w:val="111827"/>
                <w:sz w:val="16"/>
              </w:rPr>
              <w:t xml:space="preserve"> at the conditional write.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replacement or alternate version/key is attempted; export fails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history/delete-marker/concurrency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retention mode/date, provider checksum/version, encryption algorithm/key, or Bucket Key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Metadata validation rejects every weak or inconsistent provider response before trusted receipt emission.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seven-case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Return different bytes for the exact versioned read-back.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Streamed SHA-256/size comparison rejects the object and closes the response body.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tamper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a permanent IAM-user ARN or ambiguous bucket/account/KMS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Identity/configuration validation fails before upload; only an assumed role in the exact archive account is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identity/configuration evidence; live OIDC/IAM simulation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Format and validate the root module, initialize without a backend, and run the mock-provider test suite.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1.15.8 accepts the AWS provider 6.58.0 schema and all five plan-only runs pass without AWS credentials or resources.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Terraform validation/mocked-plan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planned bucket, versioning, retention, encryption, public-access, and lifecycle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Object Lock is enabled at creation, versioning and </w:t>
            </w:r>
            <w:r>
              <w:rPr>
                <w:rFonts w:ascii="Calibri" w:hAnsi="Calibri"/>
                <w:b w:val="0"/>
                <w:color w:val="111827"/>
                <w:sz w:val="16"/>
              </w:rPr>
              <w:t>COMPLIANCE</w:t>
            </w:r>
            <w:r>
              <w:rPr>
                <w:rFonts w:ascii="Calibri" w:hAnsi="Calibri"/>
                <w:b w:val="0"/>
                <w:color w:val="111827"/>
                <w:sz w:val="16"/>
              </w:rPr>
              <w:t xml:space="preserve"> are enabled, KMS/Bucket Key are exact, destruction is prevented, and </w:t>
            </w:r>
            <w:r>
              <w:rPr>
                <w:rFonts w:ascii="Calibri" w:hAnsi="Calibri"/>
                <w:b w:val="0"/>
                <w:color w:val="111827"/>
                <w:sz w:val="16"/>
              </w:rPr>
              <w:t>force_destroy</w:t>
            </w:r>
            <w:r>
              <w:rPr>
                <w:rFonts w:ascii="Calibri" w:hAnsi="Calibri"/>
                <w:b w:val="0"/>
                <w:color w:val="111827"/>
                <w:sz w:val="16"/>
              </w:rPr>
              <w:t xml:space="preserve"> is false.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mocked plan and static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writer/restore trust and identity policies for session duration, audience, subjects, prefix, data actions, and forbidden authorities.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distinct short-lived roles have only required S3/KMS data-plane actions; delete, bypass, hold, IAM, KMS administration, and audit administration are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least-privilege evidence; live IAM simulation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wildcard writer subject or reuse the writer subject for restore.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Variable validation rejects ambiguous or shared OIDC trust before a plan can succeed.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mocked-plan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the archive bucket as the audit destination or inspect CloudTrail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separation check rejects circular audit storage; the valid plan enables log-file validation, global/multi-Region management events, and archive-object data events to an external bucket/key.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positive/negative mocked-plan evidence; live delivery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routine IaC CI for backend, credential, OIDC, and execution authority.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job has read-only repository access, no AWS credential or </w:t>
            </w:r>
            <w:r>
              <w:rPr>
                <w:rFonts w:ascii="Calibri" w:hAnsi="Calibri"/>
                <w:b w:val="0"/>
                <w:color w:val="111827"/>
                <w:sz w:val="16"/>
              </w:rPr>
              <w:t>id-token</w:t>
            </w:r>
            <w:r>
              <w:rPr>
                <w:rFonts w:ascii="Calibri" w:hAnsi="Calibri"/>
                <w:b w:val="0"/>
                <w:color w:val="111827"/>
                <w:sz w:val="16"/>
              </w:rPr>
              <w:t xml:space="preserve">, uses the locked provider, and runs only format/init-without-backend/validate/test with no </w:t>
            </w:r>
            <w:r>
              <w:rPr>
                <w:rFonts w:ascii="Calibri" w:hAnsi="Calibri"/>
                <w:b w:val="0"/>
                <w:color w:val="111827"/>
                <w:sz w:val="16"/>
              </w:rPr>
              <w:t>apply</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a fully conforming foundation through simulated STS, S3, KMS, IAM, and CloudTrail clients.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Eleven exact checks pass and one schema-versioned report is atomically emitted without caller/session identity, raw policies, credentials, tokens, or response bodies.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read-only audit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account, retention, KMS binding/rotation, IAM actions, or CloudTrail logging; share audit/archive storage or writer/restore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auditor fails closed at the violated boundary and writes no report.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six provider-control negatives plus boundary negatives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auditor when its output already exists or inspect its code/API calls.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evidence is never replaced; only documented read methods are invoked and no partial temporary report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non-replacement and static review evidence / P0</w:t>
            </w:r>
          </w:p>
        </w:tc>
      </w:tr>
    </w:tbl>
    <w:p>
      <w:pPr>
        <w:spacing w:after="60"/>
      </w:pPr>
    </w:p>
    <w:p>
      <w:pPr>
        <w:pStyle w:val="Heading2"/>
        <w:keepNext/>
        <w:keepLines/>
      </w:pPr>
      <w:r>
        <w:t>11.18 Digital Vehicle State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vehicle and inspect its initial aggregate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Safe parked baseline, version 1, no traction or charging activity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values outside the component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invalid SOC, SOH, temperature, speed, torque, steering, or brake values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contradictory moving and operational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Moving requires driving mode, valid gear, enabled motor, closed contactors, and released parking brake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contradictory charging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requires charging mode, park gear, zero speed, disabled motor, and closed contactors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Replace a valid aggregate using its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persists and version increments exactly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transaction evidence after a 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bounded audit record, and versioned outbox event are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the exact immediately preceding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state is returned without duplicate transition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Replace from a stale version with different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HTTP 409 </w:t>
            </w:r>
            <w:r>
              <w:rPr>
                <w:rFonts w:ascii="Calibri" w:hAnsi="Calibri"/>
                <w:b w:val="0"/>
                <w:color w:val="111827"/>
                <w:sz w:val="16"/>
              </w:rPr>
              <w:t>vehicle_state_version_conflict</w:t>
            </w:r>
            <w:r>
              <w:rPr>
                <w:rFonts w:ascii="Calibri" w:hAnsi="Calibri"/>
                <w:b w:val="0"/>
                <w:color w:val="111827"/>
                <w:sz w:val="16"/>
              </w:rPr>
              <w:t xml:space="preserve"> reports only the current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read and write with separately scoped roles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permission grants only its intended operation;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Apply migration </w:t>
            </w:r>
            <w:r>
              <w:rPr>
                <w:rFonts w:ascii="Calibri" w:hAnsi="Calibri"/>
                <w:b w:val="0"/>
                <w:color w:val="111827"/>
                <w:sz w:val="16"/>
              </w:rPr>
              <w:t>0013</w:t>
            </w:r>
            <w:r>
              <w:rPr>
                <w:rFonts w:ascii="Calibri" w:hAnsi="Calibri"/>
                <w:b w:val="0"/>
                <w:color w:val="111827"/>
                <w:sz w:val="16"/>
              </w:rPr>
              <w:t xml:space="preserve"> over an existing vehicle catalogue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existing vehicle receives one safe state aggregate and the schema reaches the expected head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integration / P0</w:t>
            </w:r>
          </w:p>
        </w:tc>
      </w:tr>
    </w:tbl>
    <w:p>
      <w:pPr>
        <w:spacing w:after="60"/>
      </w:pPr>
    </w:p>
    <w:p>
      <w:pPr>
        <w:pStyle w:val="Heading2"/>
        <w:keepNext/>
        <w:keepLines/>
      </w:pPr>
      <w:r>
        <w:t>11.19 Deterministic Vehicle Simulation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w:t>
            </w:r>
            <w:r>
              <w:rPr>
                <w:rFonts w:ascii="Calibri" w:hAnsi="Calibri"/>
                <w:b w:val="0"/>
                <w:color w:val="111827"/>
                <w:sz w:val="16"/>
              </w:rPr>
              <w:t>parked -&gt; ready -&gt; driving -&gt; parked</w:t>
            </w:r>
            <w:r>
              <w:rPr>
                <w:rFonts w:ascii="Calibri" w:hAnsi="Calibri"/>
                <w:b w:val="0"/>
                <w:color w:val="111827"/>
                <w:sz w:val="16"/>
              </w:rPr>
              <w:t xml:space="preserve"> with explicit durations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Modes, state versions, and cumulative logical milliseconds are exact and repeatable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the same vehicle-scoped command identifier and payload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Original result returns with </w:t>
            </w:r>
            <w:r>
              <w:rPr>
                <w:rFonts w:ascii="Calibri" w:hAnsi="Calibri"/>
                <w:b w:val="0"/>
                <w:color w:val="111827"/>
                <w:sz w:val="16"/>
              </w:rPr>
              <w:t>duplicate=true</w:t>
            </w:r>
            <w:r>
              <w:rPr>
                <w:rFonts w:ascii="Calibri" w:hAnsi="Calibri"/>
                <w:b w:val="0"/>
                <w:color w:val="111827"/>
                <w:sz w:val="16"/>
              </w:rPr>
              <w:t>; time and evidence do not advance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 command identifier with different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simulation-command conflict; no mutation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required mode or request an unsupported target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 conflict reports current and requested mode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 stale expected aggregate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vehicle-state version conflict reports current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 successful transition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Aggregate, replay row, audit, and </w:t>
            </w:r>
            <w:r>
              <w:rPr>
                <w:rFonts w:ascii="Calibri" w:hAnsi="Calibri"/>
                <w:b w:val="0"/>
                <w:color w:val="111827"/>
                <w:sz w:val="16"/>
              </w:rPr>
              <w:t>atep.digital_vehicle.simulation.transitioned.v1</w:t>
            </w:r>
            <w:r>
              <w:rPr>
                <w:rFonts w:ascii="Calibri" w:hAnsi="Calibri"/>
                <w:b w:val="0"/>
                <w:color w:val="111827"/>
                <w:sz w:val="16"/>
              </w:rPr>
              <w:t xml:space="preserve"> event commit together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transition input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missing driving speed, speed on non-driving targets, or duration outside 1-600,000 ms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Apply migration </w:t>
            </w:r>
            <w:r>
              <w:rPr>
                <w:rFonts w:ascii="Calibri" w:hAnsi="Calibri"/>
                <w:b w:val="0"/>
                <w:color w:val="111827"/>
                <w:sz w:val="16"/>
              </w:rPr>
              <w:t>0014</w:t>
            </w:r>
            <w:r>
              <w:rPr>
                <w:rFonts w:ascii="Calibri" w:hAnsi="Calibri"/>
                <w:b w:val="0"/>
                <w:color w:val="111827"/>
                <w:sz w:val="16"/>
              </w:rPr>
              <w:t xml:space="preserve"> to existing digital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Logical time backfills to zero and transition schema reaches the expected head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integration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 and release:</w:t>
      </w:r>
      <w:r>
        <w:rPr>
          <w:rFonts w:ascii="Calibri" w:hAnsi="Calibri"/>
          <w:color w:val="111827"/>
          <w:sz w:val="22"/>
        </w:rPr>
        <w:t xml:space="preserve"> immutable commit-tagged image, labels, SBOM, vulnerability scan, signed SLSA/SBOM attestations, and aggregate release evidence.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verify exact signed provenance, then bind source SHA and image digest and render/fingerprint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graphs, immutable inputs, scanning, input-free reusable release builder, signed provenance/SBOM, pre-promotion verification, and exact in-cluster attestation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independently governed builder hosting, long-term evidence, live controller enforcement,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scanning, and an input-free exact-identity reusable builder are implemented, but caller and builder remain in the same repository and commit.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 of reviewed workflow code or its hosted execution context could still produce valid provenance for malicious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Move the builder to a separately governed repository, reference a reviewed immutable SHA, enforce independent branch protection, and retain external verification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now verifies signed source-to-image provenance, but GitHub environment protections and the first live release/promotion evidence cannot be encoded or proven by workflow YAML alone.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 repository settings could permit an unauthorized release or bypass separation of duties despite correct workflow logic.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audit release and promotion environments, require reviewers with self-review/bypass disabled, and retain the settings plus first live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deterministic seal, restore gate, normalized receipt, AWS adapter, Terraform foundation, and read-only conformance auditor exist, but Actions retains evidence for only 90 days and no protected AWS apply, live report, archive acceptance, or admission/revocation exercise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Simulated audit evidence cannot prove real account ownership, effective IAM/KMS controls, retained-object behavior, CloudTrail event arrival, cost, or clean-host recovery.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review the account/external controls, protect two-reviewer plan/apply, run the read-only audit, simulate IAM denials, then retain live upload/repeat-write/delete/shorten/bypass/CloudTrail/restore evidence before production use.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R-020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GitHub repository currently has one direct collaborator, so required independent review with self-review prevention would deadlock the first protected release.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Weakening the rule would invalidate the documented separation-of-duties control; enabling it with only the initiator would make release impossible.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 a trusted read-or-higher collaborator as release reviewer, configure the protected </w:t>
            </w:r>
            <w:r>
              <w:rPr>
                <w:rFonts w:ascii="Calibri" w:hAnsi="Calibri"/>
                <w:b w:val="0"/>
                <w:color w:val="111827"/>
                <w:sz w:val="16"/>
              </w:rPr>
              <w:t>release</w:t>
            </w:r>
            <w:r>
              <w:rPr>
                <w:rFonts w:ascii="Calibri" w:hAnsi="Calibri"/>
                <w:b w:val="0"/>
                <w:color w:val="111827"/>
                <w:sz w:val="16"/>
              </w:rPr>
              <w:t xml:space="preserve"> environment, retain settings evidence, and only then execute the first publish.</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native namespace-scoped Kubernetes repository/digest admission - implemented initial slice;</w:t>
      </w:r>
    </w:p>
    <w:p>
      <w:r>
        <w:rPr>
          <w:rFonts w:ascii="Calibri" w:hAnsi="Calibri"/>
          <w:color w:val="111827"/>
          <w:sz w:val="22"/>
        </w:rPr>
        <w:t>live CEL type-checking and denial/audit evidence remain;</w:t>
      </w:r>
    </w:p>
    <w:p>
      <w:pPr>
        <w:pStyle w:val="ListBullet"/>
        <w:numPr>
          <w:ilvl w:val="0"/>
          <w:numId w:val="33"/>
        </w:numPr>
      </w:pPr>
      <w:r>
        <w:rPr>
          <w:rFonts w:ascii="Calibri" w:hAnsi="Calibri"/>
          <w:color w:val="111827"/>
          <w:sz w:val="22"/>
        </w:rPr>
        <w:t>exact GitHub/Sigstore artifact-attestation admission configuration - implemented initial slice;</w:t>
      </w:r>
    </w:p>
    <w:p>
      <w:r>
        <w:rPr>
          <w:rFonts w:ascii="Calibri" w:hAnsi="Calibri"/>
          <w:color w:val="111827"/>
          <w:sz w:val="22"/>
        </w:rPr>
        <w:t>immutable chart approval, controller installation, trust status, and live positive/negative evidence remain;</w:t>
      </w:r>
    </w:p>
    <w:p>
      <w:pPr>
        <w:pStyle w:val="ListBullet"/>
        <w:numPr>
          <w:ilvl w:val="0"/>
          <w:numId w:val="34"/>
        </w:numPr>
      </w:pPr>
      <w:r>
        <w:rPr>
          <w:rFonts w:ascii="Calibri" w:hAnsi="Calibri"/>
          <w:color w:val="111827"/>
          <w:sz w:val="22"/>
        </w:rPr>
        <w:t>validating mTLS proxy, certificate lifecycle, direct-path denial, and live identity evidence;</w:t>
      </w:r>
    </w:p>
    <w:p>
      <w:pPr>
        <w:pStyle w:val="ListBullet"/>
        <w:numPr>
          <w:ilvl w:val="0"/>
          <w:numId w:val="34"/>
        </w:numPr>
      </w:pPr>
      <w:r>
        <w:rPr>
          <w:rFonts w:ascii="Calibri" w:hAnsi="Calibri"/>
          <w:color w:val="111827"/>
          <w:sz w:val="22"/>
        </w:rPr>
        <w:t>logical PostgreSQL restore drill and aggregate CI evidence - implemented initial slice;</w:t>
      </w:r>
    </w:p>
    <w:p>
      <w:pPr>
        <w:pStyle w:val="ListBullet"/>
        <w:numPr>
          <w:ilvl w:val="0"/>
          <w:numId w:val="34"/>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4"/>
        </w:numPr>
      </w:pPr>
      <w:r>
        <w:rPr>
          <w:rFonts w:ascii="Calibri" w:hAnsi="Calibri"/>
          <w:color w:val="111827"/>
          <w:sz w:val="22"/>
        </w:rPr>
        <w:t>performance, resilience, and security-policy calibration;</w:t>
      </w:r>
    </w:p>
    <w:p>
      <w:pPr>
        <w:pStyle w:val="ListBullet"/>
        <w:numPr>
          <w:ilvl w:val="0"/>
          <w:numId w:val="34"/>
        </w:numPr>
      </w:pPr>
      <w:r>
        <w:rPr>
          <w:rFonts w:ascii="Calibri" w:hAnsi="Calibri"/>
          <w:color w:val="111827"/>
          <w:sz w:val="22"/>
        </w:rPr>
        <w:t>ordered development/staging/production promotion validation and retained render evidence â€” implemented initial slice;</w:t>
      </w:r>
    </w:p>
    <w:p>
      <w:pPr>
        <w:pStyle w:val="ListBullet"/>
        <w:numPr>
          <w:ilvl w:val="0"/>
          <w:numId w:val="34"/>
        </w:numPr>
      </w:pPr>
      <w:r>
        <w:rPr>
          <w:rFonts w:ascii="Calibri" w:hAnsi="Calibri"/>
          <w:color w:val="111827"/>
          <w:sz w:val="22"/>
        </w:rPr>
        <w:t>protected GHCR release, input-free reusable builder, signed SLSA/CycloneDX attestations, and exact pre-promotion verification - implemented initial same-repository builder slice;</w:t>
      </w:r>
    </w:p>
    <w:p>
      <w:pPr>
        <w:pStyle w:val="ListBullet"/>
        <w:numPr>
          <w:ilvl w:val="0"/>
          <w:numId w:val="34"/>
        </w:numPr>
      </w:pPr>
      <w:r>
        <w:rPr>
          <w:rFonts w:ascii="Calibri" w:hAnsi="Calibri"/>
          <w:color w:val="111827"/>
          <w:sz w:val="22"/>
        </w:rPr>
        <w:t>independently governed trusted builder, product-lifetime immutable evidence provider, live attestation-admission/revocation evidence, and real provider deployment across protected environments -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5"/>
        </w:numPr>
      </w:pPr>
      <w:r>
        <w:rPr>
          <w:rFonts w:ascii="Calibri" w:hAnsi="Calibri"/>
          <w:color w:val="111827"/>
          <w:sz w:val="22"/>
        </w:rPr>
        <w:t>Provide environment-specific URLs and secrets.</w:t>
      </w:r>
    </w:p>
    <w:p>
      <w:pPr>
        <w:pStyle w:val="ListNumber"/>
        <w:numPr>
          <w:ilvl w:val="0"/>
          <w:numId w:val="35"/>
        </w:numPr>
      </w:pPr>
      <w:r>
        <w:rPr>
          <w:rFonts w:ascii="Calibri" w:hAnsi="Calibri"/>
          <w:color w:val="111827"/>
          <w:sz w:val="22"/>
        </w:rPr>
        <w:t>Start PostgreSQL, Redis, and RabbitMQ and wait for health.</w:t>
      </w:r>
    </w:p>
    <w:p>
      <w:pPr>
        <w:pStyle w:val="ListNumber"/>
        <w:numPr>
          <w:ilvl w:val="0"/>
          <w:numId w:val="35"/>
        </w:numPr>
      </w:pPr>
      <w:r>
        <w:rPr>
          <w:rFonts w:ascii="Calibri" w:hAnsi="Calibri"/>
          <w:color w:val="111827"/>
          <w:sz w:val="22"/>
        </w:rPr>
        <w:t>Apply Alembic migrations exactly once per release.</w:t>
      </w:r>
    </w:p>
    <w:p>
      <w:pPr>
        <w:pStyle w:val="ListNumber"/>
        <w:numPr>
          <w:ilvl w:val="0"/>
          <w:numId w:val="35"/>
        </w:numPr>
      </w:pPr>
      <w:r>
        <w:rPr>
          <w:rFonts w:ascii="Calibri" w:hAnsi="Calibri"/>
          <w:color w:val="111827"/>
          <w:sz w:val="22"/>
        </w:rPr>
        <w:t>Start the API and outbox worker from the same immutable image.</w:t>
      </w:r>
    </w:p>
    <w:p>
      <w:pPr>
        <w:pStyle w:val="ListNumber"/>
        <w:numPr>
          <w:ilvl w:val="0"/>
          <w:numId w:val="35"/>
        </w:numPr>
      </w:pPr>
      <w:r>
        <w:rPr>
          <w:rFonts w:ascii="Calibri" w:hAnsi="Calibri"/>
          <w:color w:val="111827"/>
          <w:sz w:val="22"/>
        </w:rPr>
        <w:t>Verify liveness and readiness.</w:t>
      </w:r>
    </w:p>
    <w:p>
      <w:pPr>
        <w:pStyle w:val="ListNumber"/>
        <w:numPr>
          <w:ilvl w:val="0"/>
          <w:numId w:val="35"/>
        </w:numPr>
      </w:pPr>
      <w:r>
        <w:rPr>
          <w:rFonts w:ascii="Calibri" w:hAnsi="Calibri"/>
          <w:color w:val="111827"/>
          <w:sz w:val="22"/>
        </w:rPr>
        <w:t>Authenticate a controlled test account and publish one smoke-test event.</w:t>
      </w:r>
    </w:p>
    <w:p>
      <w:pPr>
        <w:pStyle w:val="ListNumber"/>
        <w:numPr>
          <w:ilvl w:val="0"/>
          <w:numId w:val="35"/>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6"/>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6"/>
        </w:numPr>
      </w:pPr>
      <w:r>
        <w:rPr>
          <w:rFonts w:ascii="Calibri" w:hAnsi="Calibri"/>
          <w:color w:val="111827"/>
          <w:sz w:val="22"/>
        </w:rPr>
        <w:t>search structured logs by correlation ID and timestamp;</w:t>
      </w:r>
    </w:p>
    <w:p>
      <w:pPr>
        <w:pStyle w:val="ListBullet"/>
        <w:numPr>
          <w:ilvl w:val="0"/>
          <w:numId w:val="36"/>
        </w:numPr>
      </w:pPr>
      <w:r>
        <w:rPr>
          <w:rFonts w:ascii="Calibri" w:hAnsi="Calibri"/>
          <w:color w:val="111827"/>
          <w:sz w:val="22"/>
        </w:rPr>
        <w:t>inspect database pool, Redis availability, or RabbitMQ connection/channel state;</w:t>
      </w:r>
    </w:p>
    <w:p>
      <w:pPr>
        <w:pStyle w:val="ListBullet"/>
        <w:numPr>
          <w:ilvl w:val="0"/>
          <w:numId w:val="36"/>
        </w:numPr>
      </w:pPr>
      <w:r>
        <w:rPr>
          <w:rFonts w:ascii="Calibri" w:hAnsi="Calibri"/>
          <w:color w:val="111827"/>
          <w:sz w:val="22"/>
        </w:rPr>
        <w:t>avoid deleting outbox rows to resolve a broker outage;</w:t>
      </w:r>
    </w:p>
    <w:p>
      <w:pPr>
        <w:pStyle w:val="ListBullet"/>
        <w:numPr>
          <w:ilvl w:val="0"/>
          <w:numId w:val="36"/>
        </w:numPr>
      </w:pPr>
      <w:r>
        <w:rPr>
          <w:rFonts w:ascii="Calibri" w:hAnsi="Calibri"/>
          <w:color w:val="111827"/>
          <w:sz w:val="22"/>
        </w:rPr>
        <w:t>restore the dependency, verify automatic recovery, and review backlog age;</w:t>
      </w:r>
    </w:p>
    <w:p>
      <w:pPr>
        <w:pStyle w:val="ListBullet"/>
        <w:numPr>
          <w:ilvl w:val="0"/>
          <w:numId w:val="36"/>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 vehicle state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 </w:t>
            </w:r>
            <w:r>
              <w:rPr>
                <w:rFonts w:ascii="Calibri" w:hAnsi="Calibri"/>
                <w:b w:val="0"/>
                <w:color w:val="111827"/>
                <w:sz w:val="17"/>
              </w:rPr>
              <w:t>0013_digital_vehicle_state.py</w:t>
            </w:r>
            <w:r>
              <w:rPr>
                <w:rFonts w:ascii="Calibri" w:hAnsi="Calibri"/>
                <w:b w:val="0"/>
                <w:color w:val="111827"/>
                <w:sz w:val="17"/>
              </w:rPr>
              <w:t xml:space="preserve">, </w:t>
            </w:r>
            <w:r>
              <w:rPr>
                <w:rFonts w:ascii="Calibri" w:hAnsi="Calibri"/>
                <w:b w:val="0"/>
                <w:color w:val="111827"/>
                <w:sz w:val="17"/>
              </w:rPr>
              <w:t>tests/test_digital_vehicle_state.py</w:t>
            </w:r>
            <w:r>
              <w:rPr>
                <w:rFonts w:ascii="Calibri" w:hAnsi="Calibri"/>
                <w:b w:val="0"/>
                <w:color w:val="111827"/>
                <w:sz w:val="17"/>
              </w:rPr>
              <w:t xml:space="preserve">, API/integration contracts, and </w:t>
            </w:r>
            <w:r>
              <w:rPr>
                <w:rFonts w:ascii="Calibri" w:hAnsi="Calibri"/>
                <w:b w:val="0"/>
                <w:color w:val="111827"/>
                <w:sz w:val="17"/>
              </w:rPr>
              <w:t>docs/digital-vehicle-state.md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vehicle simulation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transition engine in </w:t>
            </w:r>
            <w:r>
              <w:rPr>
                <w:rFonts w:ascii="Calibri" w:hAnsi="Calibri"/>
                <w:b w:val="0"/>
                <w:color w:val="111827"/>
                <w:sz w:val="17"/>
              </w:rPr>
              <w:t>src/atep/vehicles/</w:t>
            </w:r>
            <w:r>
              <w:rPr>
                <w:rFonts w:ascii="Calibri" w:hAnsi="Calibri"/>
                <w:b w:val="0"/>
                <w:color w:val="111827"/>
                <w:sz w:val="17"/>
              </w:rPr>
              <w:t xml:space="preserve">, migration </w:t>
            </w:r>
            <w:r>
              <w:rPr>
                <w:rFonts w:ascii="Calibri" w:hAnsi="Calibri"/>
                <w:b w:val="0"/>
                <w:color w:val="111827"/>
                <w:sz w:val="17"/>
              </w:rPr>
              <w:t>0014_deterministic_vehicle_simulation.py</w:t>
            </w:r>
            <w:r>
              <w:rPr>
                <w:rFonts w:ascii="Calibri" w:hAnsi="Calibri"/>
                <w:b w:val="0"/>
                <w:color w:val="111827"/>
                <w:sz w:val="17"/>
              </w:rPr>
              <w:t xml:space="preserve">, </w:t>
            </w:r>
            <w:r>
              <w:rPr>
                <w:rFonts w:ascii="Calibri" w:hAnsi="Calibri"/>
                <w:b w:val="0"/>
                <w:color w:val="111827"/>
                <w:sz w:val="17"/>
              </w:rPr>
              <w:t>tests/test_digital_vehicle_state.py</w:t>
            </w:r>
            <w:r>
              <w:rPr>
                <w:rFonts w:ascii="Calibri" w:hAnsi="Calibri"/>
                <w:b w:val="0"/>
                <w:color w:val="111827"/>
                <w:sz w:val="17"/>
              </w:rPr>
              <w:t>, and Volume II requirements/roadmap</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0014_deterministic_vehicle_simulation.py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release provenance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tools/build_release_evidence.py</w:t>
            </w:r>
            <w:r>
              <w:rPr>
                <w:rFonts w:ascii="Calibri" w:hAnsi="Calibri"/>
                <w:b w:val="0"/>
                <w:color w:val="111827"/>
                <w:sz w:val="17"/>
              </w:rPr>
              <w:t xml:space="preserve">, </w:t>
            </w:r>
            <w:r>
              <w:rPr>
                <w:rFonts w:ascii="Calibri" w:hAnsi="Calibri"/>
                <w:b w:val="0"/>
                <w:color w:val="111827"/>
                <w:sz w:val="17"/>
              </w:rPr>
              <w:t>tests/test_release_provenance.py</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and </w:t>
            </w:r>
            <w:r>
              <w:rPr>
                <w:rFonts w:ascii="Calibri" w:hAnsi="Calibri"/>
                <w:b w:val="0"/>
                <w:color w:val="111827"/>
                <w:sz w:val="17"/>
              </w:rPr>
              <w:t>docs/release-provenance.md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evidence lifecycle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tools/build_release_archive_manifest.py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docs/release-evidence-lifecycle.md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Sealed archive and provider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tools/seal_release_archive.py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provider export gate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tools/validate_archive_export.py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S3 Object Lock adapter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tools/export_archive_to_s3.py</w:t>
            </w:r>
            <w:r>
              <w:rPr>
                <w:rFonts w:ascii="Calibri" w:hAnsi="Calibri"/>
                <w:b w:val="0"/>
                <w:color w:val="111827"/>
                <w:sz w:val="17"/>
              </w:rPr>
              <w:t xml:space="preserve">, </w:t>
            </w:r>
            <w:r>
              <w:rPr>
                <w:rFonts w:ascii="Calibri" w:hAnsi="Calibri"/>
                <w:b w:val="0"/>
                <w:color w:val="111827"/>
                <w:sz w:val="17"/>
              </w:rPr>
              <w:t>tests/test_s3_archive_export.py</w:t>
            </w:r>
            <w:r>
              <w:rPr>
                <w:rFonts w:ascii="Calibri" w:hAnsi="Calibri"/>
                <w:b w:val="0"/>
                <w:color w:val="111827"/>
                <w:sz w:val="17"/>
              </w:rPr>
              <w:t xml:space="preserve">, </w:t>
            </w:r>
            <w:r>
              <w:rPr>
                <w:rFonts w:ascii="Calibri" w:hAnsi="Calibri"/>
                <w:b w:val="0"/>
                <w:color w:val="111827"/>
                <w:sz w:val="17"/>
              </w:rPr>
              <w:t>docs/aws-s3-object-lock-adapter.md</w:t>
            </w:r>
            <w:r>
              <w:rPr>
                <w:rFonts w:ascii="Calibri" w:hAnsi="Calibri"/>
                <w:b w:val="0"/>
                <w:color w:val="111827"/>
                <w:sz w:val="17"/>
              </w:rPr>
              <w:t>, and the hash-locked Boto3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archive Terraform foundation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deploy/terraform/aws-archive-foundation/</w:t>
            </w:r>
            <w:r>
              <w:rPr>
                <w:rFonts w:ascii="Calibri" w:hAnsi="Calibri"/>
                <w:b w:val="0"/>
                <w:color w:val="111827"/>
                <w:sz w:val="17"/>
              </w:rPr>
              <w:t xml:space="preserve">, </w:t>
            </w:r>
            <w:r>
              <w:rPr>
                <w:rFonts w:ascii="Calibri" w:hAnsi="Calibri"/>
                <w:b w:val="0"/>
                <w:color w:val="111827"/>
                <w:sz w:val="17"/>
              </w:rPr>
              <w:t>.terraform.lock.hcl</w:t>
            </w:r>
            <w:r>
              <w:rPr>
                <w:rFonts w:ascii="Calibri" w:hAnsi="Calibri"/>
                <w:b w:val="0"/>
                <w:color w:val="111827"/>
                <w:sz w:val="17"/>
              </w:rPr>
              <w:t xml:space="preserve">, </w:t>
            </w:r>
            <w:r>
              <w:rPr>
                <w:rFonts w:ascii="Calibri" w:hAnsi="Calibri"/>
                <w:b w:val="0"/>
                <w:color w:val="111827"/>
                <w:sz w:val="17"/>
              </w:rPr>
              <w:t>tests/test_terraform_archive_foundation.py</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and </w:t>
            </w:r>
            <w:r>
              <w:rPr>
                <w:rFonts w:ascii="Calibri" w:hAnsi="Calibri"/>
                <w:b w:val="0"/>
                <w:color w:val="111827"/>
                <w:sz w:val="17"/>
              </w:rPr>
              <w:t>.github/dependabot.yml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archive foundation 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tools/audit_aws_archive_foundation.py</w:t>
            </w:r>
            <w:r>
              <w:rPr>
                <w:rFonts w:ascii="Calibri" w:hAnsi="Calibri"/>
                <w:b w:val="0"/>
                <w:color w:val="111827"/>
                <w:sz w:val="17"/>
              </w:rPr>
              <w:t xml:space="preserve">, </w:t>
            </w:r>
            <w:r>
              <w:rPr>
                <w:rFonts w:ascii="Calibri" w:hAnsi="Calibri"/>
                <w:b w:val="0"/>
                <w:color w:val="111827"/>
                <w:sz w:val="17"/>
              </w:rPr>
              <w:t>tests/test_aws_archive_foundation_audit.py</w:t>
            </w:r>
            <w:r>
              <w:rPr>
                <w:rFonts w:ascii="Calibri" w:hAnsi="Calibri"/>
                <w:b w:val="0"/>
                <w:color w:val="111827"/>
                <w:sz w:val="17"/>
              </w:rPr>
              <w:t xml:space="preserve">, and </w:t>
            </w:r>
            <w:r>
              <w:rPr>
                <w:rFonts w:ascii="Calibri" w:hAnsi="Calibri"/>
                <w:b w:val="0"/>
                <w:color w:val="111827"/>
                <w:sz w:val="17"/>
              </w:rPr>
              <w:t>docs/aws-archive-foundation-audit.md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w:t>
            </w:r>
            <w:r>
              <w:rPr>
                <w:rFonts w:ascii="Calibri" w:hAnsi="Calibri"/>
                <w:b w:val="0"/>
                <w:color w:val="111827"/>
                <w:sz w:val="17"/>
              </w:rPr>
              <w:t>test_release_archive.py</w:t>
            </w:r>
            <w:r>
              <w:rPr>
                <w:rFonts w:ascii="Calibri" w:hAnsi="Calibri"/>
                <w:b w:val="0"/>
                <w:color w:val="111827"/>
                <w:sz w:val="17"/>
              </w:rPr>
              <w:t xml:space="preserve">, </w:t>
            </w:r>
            <w:r>
              <w:rPr>
                <w:rFonts w:ascii="Calibri" w:hAnsi="Calibri"/>
                <w:b w:val="0"/>
                <w:color w:val="111827"/>
                <w:sz w:val="17"/>
              </w:rPr>
              <w:t>test_s3_archive_export.py</w:t>
            </w:r>
            <w:r>
              <w:rPr>
                <w:rFonts w:ascii="Calibri" w:hAnsi="Calibri"/>
                <w:b w:val="0"/>
                <w:color w:val="111827"/>
                <w:sz w:val="17"/>
              </w:rPr>
              <w:t xml:space="preserve">, </w:t>
            </w:r>
            <w:r>
              <w:rPr>
                <w:rFonts w:ascii="Calibri" w:hAnsi="Calibri"/>
                <w:b w:val="0"/>
                <w:color w:val="111827"/>
                <w:sz w:val="17"/>
              </w:rPr>
              <w:t>test_terraform_archive_foundation.py</w:t>
            </w:r>
            <w:r>
              <w:rPr>
                <w:rFonts w:ascii="Calibri" w:hAnsi="Calibri"/>
                <w:b w:val="0"/>
                <w:color w:val="111827"/>
                <w:sz w:val="17"/>
              </w:rPr>
              <w:t xml:space="preserve">, </w:t>
            </w:r>
            <w:r>
              <w:rPr>
                <w:rFonts w:ascii="Calibri" w:hAnsi="Calibri"/>
                <w:b w:val="0"/>
                <w:color w:val="111827"/>
                <w:sz w:val="17"/>
              </w:rPr>
              <w:t>test_aws_archive_foundation_audit.py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7"/>
        </w:numPr>
      </w:pPr>
      <w:r>
        <w:rPr>
          <w:rFonts w:ascii="Calibri" w:hAnsi="Calibri"/>
          <w:color w:val="111827"/>
          <w:sz w:val="22"/>
        </w:rPr>
        <w:t>update the document version and revision history;</w:t>
      </w:r>
    </w:p>
    <w:p>
      <w:pPr>
        <w:pStyle w:val="ListBullet"/>
        <w:numPr>
          <w:ilvl w:val="0"/>
          <w:numId w:val="37"/>
        </w:numPr>
      </w:pPr>
      <w:r>
        <w:rPr>
          <w:rFonts w:ascii="Calibri" w:hAnsi="Calibri"/>
          <w:color w:val="111827"/>
          <w:sz w:val="22"/>
        </w:rPr>
        <w:t>reconcile capability status against the repository;</w:t>
      </w:r>
    </w:p>
    <w:p>
      <w:pPr>
        <w:pStyle w:val="ListBullet"/>
        <w:numPr>
          <w:ilvl w:val="0"/>
          <w:numId w:val="37"/>
        </w:numPr>
      </w:pPr>
      <w:r>
        <w:rPr>
          <w:rFonts w:ascii="Calibri" w:hAnsi="Calibri"/>
          <w:color w:val="111827"/>
          <w:sz w:val="22"/>
        </w:rPr>
        <w:t>add or revise requirements and acceptance criteria;</w:t>
      </w:r>
    </w:p>
    <w:p>
      <w:pPr>
        <w:pStyle w:val="ListBullet"/>
        <w:numPr>
          <w:ilvl w:val="0"/>
          <w:numId w:val="37"/>
        </w:numPr>
      </w:pPr>
      <w:r>
        <w:rPr>
          <w:rFonts w:ascii="Calibri" w:hAnsi="Calibri"/>
          <w:color w:val="111827"/>
          <w:sz w:val="22"/>
        </w:rPr>
        <w:t>record architecture decisions and superseded decisions;</w:t>
      </w:r>
    </w:p>
    <w:p>
      <w:pPr>
        <w:pStyle w:val="ListBullet"/>
        <w:numPr>
          <w:ilvl w:val="0"/>
          <w:numId w:val="37"/>
        </w:numPr>
      </w:pPr>
      <w:r>
        <w:rPr>
          <w:rFonts w:ascii="Calibri" w:hAnsi="Calibri"/>
          <w:color w:val="111827"/>
          <w:sz w:val="22"/>
        </w:rPr>
        <w:t>update the test catalogue and executed evidence;</w:t>
      </w:r>
    </w:p>
    <w:p>
      <w:pPr>
        <w:pStyle w:val="ListBullet"/>
        <w:numPr>
          <w:ilvl w:val="0"/>
          <w:numId w:val="37"/>
        </w:numPr>
      </w:pPr>
      <w:r>
        <w:rPr>
          <w:rFonts w:ascii="Calibri" w:hAnsi="Calibri"/>
          <w:color w:val="111827"/>
          <w:sz w:val="22"/>
        </w:rPr>
        <w:t>review threat model, risk register, and technical debt;</w:t>
      </w:r>
    </w:p>
    <w:p>
      <w:pPr>
        <w:pStyle w:val="ListBullet"/>
        <w:numPr>
          <w:ilvl w:val="0"/>
          <w:numId w:val="37"/>
        </w:numPr>
      </w:pPr>
      <w:r>
        <w:rPr>
          <w:rFonts w:ascii="Calibri" w:hAnsi="Calibri"/>
          <w:color w:val="111827"/>
          <w:sz w:val="22"/>
        </w:rPr>
        <w:t>confirm roadmap priorities and Volume I exit criteria;</w:t>
      </w:r>
    </w:p>
    <w:p>
      <w:pPr>
        <w:pStyle w:val="ListBullet"/>
        <w:numPr>
          <w:ilvl w:val="0"/>
          <w:numId w:val="37"/>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0.43.0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10"/>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