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ATEP Volume IX AI Test Engineer Engineering Workbook</w:t>
      </w:r>
    </w:p>
    <w:p>
      <w:pPr>
        <w:jc w:val="center"/>
      </w:pPr>
      <w:r>
        <w:rPr>
          <w:b/>
        </w:rPr>
        <w:t>Version 0.3.0  Deterministic Log Intelligence</w:t>
      </w:r>
    </w:p>
    <w:p>
      <w:r>
        <w:t>This workbook records the governed AI boundary and deterministic analysis worker for ATEP. IX-1 captures analysis intent, IX-2 produces structured advisory results, and IX-3 converts bounded logs into sanitized timelines and anomaly evidence without a paid service, model download, network call, or GPU.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shd w:fill="1F4E78"/>
            <w:vAlign w:val="center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7488"/>
            <w:shd w:fill="1F4E78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t>Status</w:t>
            </w:r>
          </w:p>
        </w:tc>
        <w:tc>
          <w:tcPr>
            <w:tcW w:type="dxa" w:w="7488"/>
            <w:vAlign w:val="center"/>
          </w:tcPr>
          <w:p>
            <w:r>
              <w:t>IX-1 through IX-3 implemented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AF1F8"/>
          </w:tcPr>
          <w:p>
            <w:r>
              <w:t>Cost</w:t>
            </w:r>
          </w:p>
        </w:tc>
        <w:tc>
          <w:tcPr>
            <w:tcW w:type="dxa" w:w="7488"/>
            <w:vAlign w:val="center"/>
            <w:shd w:fill="EAF1F8"/>
          </w:tcPr>
          <w:p>
            <w:r>
              <w:t>Local first and no paid dependency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t>Migrations</w:t>
            </w:r>
          </w:p>
        </w:tc>
        <w:tc>
          <w:tcPr>
            <w:tcW w:type="dxa" w:w="7488"/>
            <w:vAlign w:val="center"/>
          </w:tcPr>
          <w:p>
            <w:r>
              <w:t>0057 foundation, 0059 workers, 0060 log intelligence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AF1F8"/>
          </w:tcPr>
          <w:p>
            <w:r>
              <w:t>Next</w:t>
            </w:r>
          </w:p>
        </w:tc>
        <w:tc>
          <w:tcPr>
            <w:tcW w:type="dxa" w:w="7488"/>
            <w:vAlign w:val="center"/>
            <w:shd w:fill="EAF1F8"/>
          </w:tcPr>
          <w:p>
            <w:r>
              <w:t>IX-4 reviewed test generation</w:t>
            </w:r>
          </w:p>
        </w:tc>
      </w:tr>
    </w:tbl>
    <w:p/>
    <w:p>
      <w:pPr>
        <w:pStyle w:val="Heading1"/>
      </w:pPr>
      <w:r>
        <w:t>1 Scope and Architecture</w:t>
      </w:r>
    </w:p>
    <w:p>
      <w:r>
        <w:t>FastAPI accepts bounded provider-neutral requests. A domain service applies idempotency and data-classification policy. PostgreSQL preserves queued intent, while RBAC, audit, and outbox evidence provide a traceable boundary. A synchronous application worker uses versioned local rules behind the same interface reserved for future adapters.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448"/>
            <w:shd w:fill="1F4E78"/>
            <w:vAlign w:val="center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7344"/>
            <w:shd w:fill="1F4E78"/>
            <w:vAlign w:val="center"/>
          </w:tcPr>
          <w:p>
            <w:r>
              <w:rPr>
                <w:b/>
                <w:color w:val="FFFFFF"/>
              </w:rPr>
              <w:t>Responsibility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API</w:t>
            </w:r>
          </w:p>
        </w:tc>
        <w:tc>
          <w:tcPr>
            <w:tcW w:type="dxa" w:w="7344"/>
            <w:vAlign w:val="center"/>
          </w:tcPr>
          <w:p>
            <w:r>
              <w:t>Validation, pagination, filtering, and RBAC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Domain service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Policy, idempotency, audit, and outbox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PostgreSQL</w:t>
            </w:r>
          </w:p>
        </w:tc>
        <w:tc>
          <w:tcPr>
            <w:tcW w:type="dxa" w:w="7344"/>
            <w:vAlign w:val="center"/>
          </w:tcPr>
          <w:p>
            <w:r>
              <w:t>Immutable request intent, attempts, results, and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Local worker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Deterministic versioned rules and safe failure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Adapter boundary</w:t>
            </w:r>
          </w:p>
        </w:tc>
        <w:tc>
          <w:tcPr>
            <w:tcW w:type="dxa" w:w="7344"/>
            <w:vAlign w:val="center"/>
          </w:tcPr>
          <w:p>
            <w:r>
              <w:t>Common interface with unknown providers disabled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Log intelligence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Sanitization, timeline, clustering, anomalies, and explanation</w:t>
            </w:r>
          </w:p>
        </w:tc>
      </w:tr>
    </w:tbl>
    <w:p/>
    <w:p>
      <w:pPr>
        <w:pStyle w:val="Heading1"/>
      </w:pPr>
      <w:r>
        <w:t>2 Contract and Governance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3240"/>
            <w:shd w:fill="1F4E78"/>
            <w:vAlign w:val="center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4320"/>
            <w:shd w:fill="1F4E78"/>
            <w:vAlign w:val="center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Provider policy</w:t>
            </w:r>
          </w:p>
        </w:tc>
        <w:tc>
          <w:tcPr>
            <w:tcW w:type="dxa" w:w="3240"/>
            <w:vAlign w:val="center"/>
          </w:tcPr>
          <w:p>
            <w:r>
              <w:t>Local only by default</w:t>
            </w:r>
          </w:p>
        </w:tc>
        <w:tc>
          <w:tcPr>
            <w:tcW w:type="dxa" w:w="4320"/>
            <w:vAlign w:val="center"/>
          </w:tcPr>
          <w:p>
            <w:r>
              <w:t>No mandatory external cost or data egress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Classification</w:t>
            </w:r>
          </w:p>
        </w:tc>
        <w:tc>
          <w:tcPr>
            <w:tcW w:type="dxa" w:w="3240"/>
            <w:vAlign w:val="center"/>
            <w:shd w:fill="EAF1F8"/>
          </w:tcPr>
          <w:p>
            <w:r>
              <w:t>Restricted requires local only</w:t>
            </w:r>
          </w:p>
        </w:tc>
        <w:tc>
          <w:tcPr>
            <w:tcW w:type="dxa" w:w="4320"/>
            <w:vAlign w:val="center"/>
            <w:shd w:fill="EAF1F8"/>
          </w:tcPr>
          <w:p>
            <w:r>
              <w:t>Prevent unsafe transmission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Context</w:t>
            </w:r>
          </w:p>
        </w:tc>
        <w:tc>
          <w:tcPr>
            <w:tcW w:type="dxa" w:w="3240"/>
            <w:vAlign w:val="center"/>
          </w:tcPr>
          <w:p>
            <w:r>
              <w:t>16384 encoded bytes</w:t>
            </w:r>
          </w:p>
        </w:tc>
        <w:tc>
          <w:tcPr>
            <w:tcW w:type="dxa" w:w="4320"/>
            <w:vAlign w:val="center"/>
          </w:tcPr>
          <w:p>
            <w:r>
              <w:t>Bound storage and processing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Evidence</w:t>
            </w:r>
          </w:p>
        </w:tc>
        <w:tc>
          <w:tcPr>
            <w:tcW w:type="dxa" w:w="3240"/>
            <w:vAlign w:val="center"/>
            <w:shd w:fill="EAF1F8"/>
          </w:tcPr>
          <w:p>
            <w:r>
              <w:t>50 unique references</w:t>
            </w:r>
          </w:p>
        </w:tc>
        <w:tc>
          <w:tcPr>
            <w:tcW w:type="dxa" w:w="4320"/>
            <w:vAlign w:val="center"/>
            <w:shd w:fill="EAF1F8"/>
          </w:tcPr>
          <w:p>
            <w:r>
              <w:t>Reference artifacts without copying them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Authority</w:t>
            </w:r>
          </w:p>
        </w:tc>
        <w:tc>
          <w:tcPr>
            <w:tcW w:type="dxa" w:w="3240"/>
            <w:vAlign w:val="center"/>
          </w:tcPr>
          <w:p>
            <w:r>
              <w:t>AI remains advisory</w:t>
            </w:r>
          </w:p>
        </w:tc>
        <w:tc>
          <w:tcPr>
            <w:tcW w:type="dxa" w:w="4320"/>
            <w:vAlign w:val="center"/>
          </w:tcPr>
          <w:p>
            <w:r>
              <w:t>Prevent direct vehicle or test mutation</w:t>
            </w:r>
          </w:p>
        </w:tc>
      </w:tr>
    </w:tbl>
    <w:p/>
    <w:p>
      <w:pPr>
        <w:pStyle w:val="Heading1"/>
      </w:pPr>
      <w:r>
        <w:t>3 Tasks and Subjects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Dimension</w:t>
            </w:r>
          </w:p>
        </w:tc>
        <w:tc>
          <w:tcPr>
            <w:tcW w:type="dxa" w:w="7560"/>
            <w:shd w:fill="1F4E78"/>
            <w:vAlign w:val="center"/>
          </w:tcPr>
          <w:p>
            <w:r>
              <w:rPr>
                <w:b/>
                <w:color w:val="FFFFFF"/>
              </w:rPr>
              <w:t>Supported values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Tasks</w:t>
            </w:r>
          </w:p>
        </w:tc>
        <w:tc>
          <w:tcPr>
            <w:tcW w:type="dxa" w:w="7560"/>
            <w:vAlign w:val="center"/>
          </w:tcPr>
          <w:p>
            <w:r>
              <w:t>Log analysis, failure explanation, test suggestion, root cause, risk analysis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Subjects</w:t>
            </w:r>
          </w:p>
        </w:tc>
        <w:tc>
          <w:tcPr>
            <w:tcW w:type="dxa" w:w="7560"/>
            <w:vAlign w:val="center"/>
            <w:shd w:fill="EAF1F8"/>
          </w:tcPr>
          <w:p>
            <w:r>
              <w:t>Test run, automation report, fault execution, mutation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Lifecycle</w:t>
            </w:r>
          </w:p>
        </w:tc>
        <w:tc>
          <w:tcPr>
            <w:tcW w:type="dxa" w:w="7560"/>
            <w:vAlign w:val="center"/>
          </w:tcPr>
          <w:p>
            <w:r>
              <w:t>Queued, running, succeeded, or failed with three attempts maximum</w:t>
            </w:r>
          </w:p>
        </w:tc>
      </w:tr>
    </w:tbl>
    <w:p/>
    <w:p>
      <w:pPr>
        <w:pStyle w:val="Heading1"/>
      </w:pPr>
      <w:r>
        <w:t>4 Deterministic Worker</w:t>
      </w:r>
    </w:p>
    <w:p>
      <w:r>
        <w:t>The local-rules-v1 adapter evaluates only structured facts supplied in the governed request. It identifies DTC presence, positive failure counts, and failed performance thresholds. A no-match result states that no deterministic signal was found instead of inventing a conclusion.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2952"/>
            <w:shd w:fill="1F4E78"/>
            <w:vAlign w:val="center"/>
          </w:tcPr>
          <w:p>
            <w:r>
              <w:rPr>
                <w:b/>
                <w:color w:val="FFFFFF"/>
              </w:rPr>
              <w:t>Bound</w:t>
            </w:r>
          </w:p>
        </w:tc>
        <w:tc>
          <w:tcPr>
            <w:tcW w:type="dxa" w:w="4608"/>
            <w:shd w:fill="1F4E78"/>
            <w:vAlign w:val="center"/>
          </w:tcPr>
          <w:p>
            <w:r>
              <w:rPr>
                <w:b/>
                <w:color w:val="FFFFFF"/>
              </w:rPr>
              <w:t>Engineering purpose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Attempts</w:t>
            </w:r>
          </w:p>
        </w:tc>
        <w:tc>
          <w:tcPr>
            <w:tcW w:type="dxa" w:w="2952"/>
            <w:vAlign w:val="center"/>
          </w:tcPr>
          <w:p>
            <w:r>
              <w:t>Three per request</w:t>
            </w:r>
          </w:p>
        </w:tc>
        <w:tc>
          <w:tcPr>
            <w:tcW w:type="dxa" w:w="4608"/>
            <w:vAlign w:val="center"/>
          </w:tcPr>
          <w:p>
            <w:r>
              <w:t>Bound retries and resource exposure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Execution identity</w:t>
            </w:r>
          </w:p>
        </w:tc>
        <w:tc>
          <w:tcPr>
            <w:tcW w:type="dxa" w:w="2952"/>
            <w:vAlign w:val="center"/>
            <w:shd w:fill="EAF1F8"/>
          </w:tcPr>
          <w:p>
            <w:r>
              <w:t>Idempotent</w:t>
            </w:r>
          </w:p>
        </w:tc>
        <w:tc>
          <w:tcPr>
            <w:tcW w:type="dxa" w:w="4608"/>
            <w:vAlign w:val="center"/>
            <w:shd w:fill="EAF1F8"/>
          </w:tcPr>
          <w:p>
            <w:r>
              <w:t>Make worker delivery retry safe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Evidence</w:t>
            </w:r>
          </w:p>
        </w:tc>
        <w:tc>
          <w:tcPr>
            <w:tcW w:type="dxa" w:w="2952"/>
            <w:vAlign w:val="center"/>
          </w:tcPr>
          <w:p>
            <w:r>
              <w:t>Request references only</w:t>
            </w:r>
          </w:p>
        </w:tc>
        <w:tc>
          <w:tcPr>
            <w:tcW w:type="dxa" w:w="4608"/>
            <w:vAlign w:val="center"/>
          </w:tcPr>
          <w:p>
            <w:r>
              <w:t>Keep conclusions reviewable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Failure</w:t>
            </w:r>
          </w:p>
        </w:tc>
        <w:tc>
          <w:tcPr>
            <w:tcW w:type="dxa" w:w="2952"/>
            <w:vAlign w:val="center"/>
            <w:shd w:fill="EAF1F8"/>
          </w:tcPr>
          <w:p>
            <w:r>
              <w:t>Stable adapter_failure</w:t>
            </w:r>
          </w:p>
        </w:tc>
        <w:tc>
          <w:tcPr>
            <w:tcW w:type="dxa" w:w="4608"/>
            <w:vAlign w:val="center"/>
            <w:shd w:fill="EAF1F8"/>
          </w:tcPr>
          <w:p>
            <w:r>
              <w:t>Avoid leaking internal exception details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Authority</w:t>
            </w:r>
          </w:p>
        </w:tc>
        <w:tc>
          <w:tcPr>
            <w:tcW w:type="dxa" w:w="2952"/>
            <w:vAlign w:val="center"/>
          </w:tcPr>
          <w:p>
            <w:r>
              <w:t>Advisory output</w:t>
            </w:r>
          </w:p>
        </w:tc>
        <w:tc>
          <w:tcPr>
            <w:tcW w:type="dxa" w:w="4608"/>
            <w:vAlign w:val="center"/>
          </w:tcPr>
          <w:p>
            <w:r>
              <w:t>Prevent direct state mutation</w:t>
            </w:r>
          </w:p>
        </w:tc>
      </w:tr>
    </w:tbl>
    <w:p/>
    <w:p>
      <w:pPr>
        <w:pStyle w:val="Heading1"/>
      </w:pPr>
      <w:r>
        <w:t>5 Provider Policy and Cost</w:t>
      </w:r>
    </w:p>
    <w:p>
      <w:r>
        <w:t>Only local-rules is enabled. Unknown providers are rejected before execution. Future external adapters must satisfy the request provider policy and data classification; restricted data can never leave the local boundary. IX-2 requires no API key, model, cloud account, network access, paid service, or GPU.</w:t>
      </w:r>
    </w:p>
    <w:p>
      <w:pPr>
        <w:pStyle w:val="Heading1"/>
      </w:pPr>
      <w:r>
        <w:t>6 Log Intelligence</w:t>
      </w:r>
    </w:p>
    <w:p>
      <w:r>
        <w:t>IX-3 accepts up to 500 timestamped lines, sanitizes sensitive values before persistence, orders timezone-aware events, and clusters messages after replacing volatile identifiers and numbers. Severe levels and repeated ten-second bursts become deterministic signals.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160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3096"/>
            <w:shd w:fill="1F4E78"/>
            <w:vAlign w:val="center"/>
          </w:tcPr>
          <w:p>
            <w:r>
              <w:rPr>
                <w:b/>
                <w:color w:val="FFFFFF"/>
              </w:rPr>
              <w:t>Bound</w:t>
            </w:r>
          </w:p>
        </w:tc>
        <w:tc>
          <w:tcPr>
            <w:tcW w:type="dxa" w:w="4536"/>
            <w:shd w:fill="1F4E78"/>
            <w:vAlign w:val="center"/>
          </w:tcPr>
          <w:p>
            <w:r>
              <w:rPr>
                <w:b/>
                <w:color w:val="FFFFFF"/>
              </w:rPr>
              <w:t>Engineering purpose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Batch</w:t>
            </w:r>
          </w:p>
        </w:tc>
        <w:tc>
          <w:tcPr>
            <w:tcW w:type="dxa" w:w="3096"/>
            <w:vAlign w:val="center"/>
          </w:tcPr>
          <w:p>
            <w:r>
              <w:t>500 lines and 256000 bytes</w:t>
            </w:r>
          </w:p>
        </w:tc>
        <w:tc>
          <w:tcPr>
            <w:tcW w:type="dxa" w:w="4536"/>
            <w:vAlign w:val="center"/>
          </w:tcPr>
          <w:p>
            <w:r>
              <w:t>Bound memory and CPU exposure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Timeline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Seven days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Prevent misleading unbounded correlation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Sanitization</w:t>
            </w:r>
          </w:p>
        </w:tc>
        <w:tc>
          <w:tcPr>
            <w:tcW w:type="dxa" w:w="3096"/>
            <w:vAlign w:val="center"/>
          </w:tcPr>
          <w:p>
            <w:r>
              <w:t>Credentials, email, and VIN</w:t>
            </w:r>
          </w:p>
        </w:tc>
        <w:tc>
          <w:tcPr>
            <w:tcW w:type="dxa" w:w="4536"/>
            <w:vAlign w:val="center"/>
          </w:tcPr>
          <w:p>
            <w:r>
              <w:t>Reduce sensitive-data persistence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Clustering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Normalized message fingerprint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Group changing IDs and values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Explanation</w:t>
            </w:r>
          </w:p>
        </w:tc>
        <w:tc>
          <w:tcPr>
            <w:tcW w:type="dxa" w:w="3096"/>
            <w:vAlign w:val="center"/>
          </w:tcPr>
          <w:p>
            <w:r>
              <w:t>Line numbers and evidence refs</w:t>
            </w:r>
          </w:p>
        </w:tc>
        <w:tc>
          <w:tcPr>
            <w:tcW w:type="dxa" w:w="4536"/>
            <w:vAlign w:val="center"/>
          </w:tcPr>
          <w:p>
            <w:r>
              <w:t>Keep findings reviewable</w:t>
            </w:r>
          </w:p>
        </w:tc>
      </w:tr>
    </w:tbl>
    <w:p/>
    <w:p>
      <w:r>
        <w:t>Unsupported lines are counted without preserving their content. Explanations describe observed structure, severity, and proximity and explicitly avoid claiming causality.</w:t>
      </w:r>
    </w:p>
    <w:p>
      <w:pPr>
        <w:pStyle w:val="Heading1"/>
      </w:pPr>
      <w:r>
        <w:t>7 Verification Catalogue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7776"/>
            <w:shd w:fill="1F4E78"/>
            <w:vAlign w:val="center"/>
          </w:tcPr>
          <w:p>
            <w:r>
              <w:rPr>
                <w:b/>
                <w:color w:val="FFFFFF"/>
              </w:rPr>
              <w:t>Objective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AI-T-001</w:t>
            </w:r>
          </w:p>
        </w:tc>
        <w:tc>
          <w:tcPr>
            <w:tcW w:type="dxa" w:w="7776"/>
            <w:vAlign w:val="center"/>
          </w:tcPr>
          <w:p>
            <w:r>
              <w:t>Validate schema and resource bounds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AI-T-002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local-only defaults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AI-T-003</w:t>
            </w:r>
          </w:p>
        </w:tc>
        <w:tc>
          <w:tcPr>
            <w:tcW w:type="dxa" w:w="7776"/>
            <w:vAlign w:val="center"/>
          </w:tcPr>
          <w:p>
            <w:r>
              <w:t>Reject restricted external processing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AI-T-004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idempotency and 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AI-T-005</w:t>
            </w:r>
          </w:p>
        </w:tc>
        <w:tc>
          <w:tcPr>
            <w:tcW w:type="dxa" w:w="7776"/>
            <w:vAlign w:val="center"/>
          </w:tcPr>
          <w:p>
            <w:r>
              <w:t>Verify minimized audit and event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AI-T-006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RBAC and OpenAPI contracts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AI-T-007</w:t>
            </w:r>
          </w:p>
        </w:tc>
        <w:tc>
          <w:tcPr>
            <w:tcW w:type="dxa" w:w="7776"/>
            <w:vAlign w:val="center"/>
          </w:tcPr>
          <w:p>
            <w:r>
              <w:t>Apply migration through hosted Docker integration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AI-T-008 to 009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deterministic rules and complete lifecycle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AI-T-010 to 011</w:t>
            </w:r>
          </w:p>
        </w:tc>
        <w:tc>
          <w:tcPr>
            <w:tcW w:type="dxa" w:w="7776"/>
            <w:vAlign w:val="center"/>
          </w:tcPr>
          <w:p>
            <w:r>
              <w:t>Verify retries, replay, adapter policy, and conflicts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AI-T-012 to 013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cited output, minimized evidence, API, and RBAC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AI-T-014</w:t>
            </w:r>
          </w:p>
        </w:tc>
        <w:tc>
          <w:tcPr>
            <w:tcW w:type="dxa" w:w="7776"/>
            <w:vAlign w:val="center"/>
          </w:tcPr>
          <w:p>
            <w:r>
              <w:t>Apply migration 0059 through hosted Docker integration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AI-T-015 to 017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parsing, sanitization, ordering, and clustering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AI-T-018 to 019</w:t>
            </w:r>
          </w:p>
        </w:tc>
        <w:tc>
          <w:tcPr>
            <w:tcW w:type="dxa" w:w="7776"/>
            <w:vAlign w:val="center"/>
          </w:tcPr>
          <w:p>
            <w:r>
              <w:t>Verify anomaly evidence and grounded explanations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AI-T-020 to 021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bounds, replay, APIs, RBAC, and minimized events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AI-T-022</w:t>
            </w:r>
          </w:p>
        </w:tc>
        <w:tc>
          <w:tcPr>
            <w:tcW w:type="dxa" w:w="7776"/>
            <w:vAlign w:val="center"/>
          </w:tcPr>
          <w:p>
            <w:r>
              <w:t>Apply migration 0060 through hosted Docker integration</w:t>
            </w:r>
          </w:p>
        </w:tc>
      </w:tr>
    </w:tbl>
    <w:p/>
    <w:p>
      <w:pPr>
        <w:pStyle w:val="Heading1"/>
      </w:pPr>
      <w:r>
        <w:t>8 Risks and Next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168"/>
            <w:shd w:fill="1F4E78"/>
            <w:vAlign w:val="center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6624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Sensitive data egress</w:t>
            </w:r>
          </w:p>
        </w:tc>
        <w:tc>
          <w:tcPr>
            <w:tcW w:type="dxa" w:w="6624"/>
            <w:vAlign w:val="center"/>
          </w:tcPr>
          <w:p>
            <w:r>
              <w:t>Classification and provider policy gate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Hallucinated authority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Advisory-only boundary and future citations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Unexpected cost</w:t>
            </w:r>
          </w:p>
        </w:tc>
        <w:tc>
          <w:tcPr>
            <w:tcW w:type="dxa" w:w="6624"/>
            <w:vAlign w:val="center"/>
          </w:tcPr>
          <w:p>
            <w:r>
              <w:t>No provider call and local-only default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Resource consumption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No model or GPU in IX-1 through IX-3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Prompt leakage</w:t>
            </w:r>
          </w:p>
        </w:tc>
        <w:tc>
          <w:tcPr>
            <w:tcW w:type="dxa" w:w="6624"/>
            <w:vAlign w:val="center"/>
          </w:tcPr>
          <w:p>
            <w:r>
              <w:t>Minimized audit and outbox metadata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Unbounded retries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Three immutable attempts maximum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Worker exception leakage</w:t>
            </w:r>
          </w:p>
        </w:tc>
        <w:tc>
          <w:tcPr>
            <w:tcW w:type="dxa" w:w="6624"/>
            <w:vAlign w:val="center"/>
          </w:tcPr>
          <w:p>
            <w:r>
              <w:t>Stable error code without exception 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Sensitive log values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Sanitize before persistence and omit rejected text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False causal claim</w:t>
            </w:r>
          </w:p>
        </w:tc>
        <w:tc>
          <w:tcPr>
            <w:tcW w:type="dxa" w:w="6624"/>
            <w:vAlign w:val="center"/>
          </w:tcPr>
          <w:p>
            <w:r>
              <w:t>Report signals, citations, and explicit limitations</w:t>
            </w:r>
          </w:p>
        </w:tc>
      </w:tr>
    </w:tbl>
    <w:p/>
    <w:p>
      <w:r>
        <w:t>IX-4 will add requirement-aware test suggestions with human review, rejection evidence, and controlled promotion into the catalog. Generated content will remain inactive until an authorized reviewer accepts it.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