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0008</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55 fast tests plus one expanded disposable black-box integration scenario, 24 Android tests, Ruff, strict mypy, Android lint/build, and CI workflow</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OpenTelemetry traces and Prometheus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and correlation propagation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is a development-stage workload mechanism and must be protected on the Android side; managed OAuth2 workload tokens or mTLS remain production follow-ups. REST telemetry, command delivery, offline buffering, and CarPropertyManager integration now establish the baseline. WebSocket test-run updates and durable command-acknowledgement buffering remain subsequent slices.</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0008</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same contracts are covered within the 55-test Python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bl>
    <w:p>
      <w:pPr>
        <w:spacing w:after="60"/>
      </w:pPr>
    </w:p>
    <w:p>
      <w:pPr>
        <w:pStyle w:val="Heading2"/>
        <w:keepNext/>
        <w:keepLines/>
      </w:pPr>
      <w:r>
        <w:t>9.3 Evidence Limitations</w:t>
      </w:r>
    </w:p>
    <w:p>
      <w:r>
        <w:rPr>
          <w:rFonts w:ascii="Calibri" w:hAnsi="Calibri"/>
          <w:color w:val="111827"/>
          <w:sz w:val="22"/>
        </w:rPr>
        <w:t>The automated local run proves clean-database repeatability and the happy-path interaction among PostgreSQL, Redis, RabbitMQ, migrations, API, and publisher worker on one developer workstation. The CI workflow is defined but has not yet produced remote execution evidence. Broker/database outage recovery, sustained retry behavior, multi-replica limiter concurrency, production availability, latency objectives,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logged with safe context and correlation ID,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repository for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Python dependencies for known vulnerabilities.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unaccepted critical/high vulnerability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static application security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container image and generate an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findings fail release; SBOM is retained with the artifact.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and ignored </w:t>
            </w:r>
            <w:r>
              <w:rPr>
                <w:rFonts w:ascii="Calibri" w:hAnsi="Calibri"/>
                <w:b w:val="0"/>
                <w:color w:val="111827"/>
                <w:sz w:val="17"/>
              </w:rPr>
              <w:t>.env</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scanning, rotation runbooks, and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and parameterization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SAST;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 ranges and isolated image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lock file, SBOM, signature verification, and automated advisory scanning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versions use ranges without a committed lock file.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Builds may change over 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Adopt deterministic dependency locking and update automation.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telemetry metrics or distributed traces.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Performance and failure investigation remain log-centric.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OpenTelemetry and Prometheus instrumentation.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WebSocket test-run updates - planned after REST command evidence;</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scheduler boundary and job lifecycle;</w:t>
      </w:r>
    </w:p>
    <w:p>
      <w:pPr>
        <w:pStyle w:val="ListBullet"/>
        <w:numPr>
          <w:ilvl w:val="0"/>
          <w:numId w:val="30"/>
        </w:numPr>
      </w:pPr>
      <w:r>
        <w:rPr>
          <w:rFonts w:ascii="Calibri" w:hAnsi="Calibri"/>
          <w:color w:val="111827"/>
          <w:sz w:val="22"/>
        </w:rPr>
        <w:t>object-storage abstraction for test artifacts;</w:t>
      </w:r>
    </w:p>
    <w:p>
      <w:pPr>
        <w:pStyle w:val="ListBullet"/>
        <w:numPr>
          <w:ilvl w:val="0"/>
          <w:numId w:val="30"/>
        </w:numPr>
      </w:pPr>
      <w:r>
        <w:rPr>
          <w:rFonts w:ascii="Calibri" w:hAnsi="Calibri"/>
          <w:color w:val="111827"/>
          <w:sz w:val="22"/>
        </w:rPr>
        <w:t>OpenTelemetry traces, Prometheus metrics, alerts, and dashboards.</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 baselines;</w:t>
      </w:r>
    </w:p>
    <w:p>
      <w:pPr>
        <w:pStyle w:val="ListBullet"/>
        <w:numPr>
          <w:ilvl w:val="0"/>
          <w:numId w:val="31"/>
        </w:numPr>
      </w:pPr>
      <w:r>
        <w:rPr>
          <w:rFonts w:ascii="Calibri" w:hAnsi="Calibri"/>
          <w:color w:val="111827"/>
          <w:sz w:val="22"/>
        </w:rPr>
        <w:t>signed artifacts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0008_vehicle_command_delivery.py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