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ATEP Volume IX AI Test Engineer Engineering Workbook</w:t>
      </w:r>
    </w:p>
    <w:p>
      <w:pPr>
        <w:jc w:val="center"/>
      </w:pPr>
      <w:r>
        <w:rPr>
          <w:b/>
        </w:rPr>
        <w:t>Version 0.1.0  Provider Neutral Foundation</w:t>
      </w:r>
    </w:p>
    <w:p>
      <w:r>
        <w:t>This workbook records the first governed AI boundary for ATEP. IX-1 captures analysis intent without invoking a model, requiring a paid service, downloading model weights, or using a GPU.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488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t>Status</w:t>
            </w:r>
          </w:p>
        </w:tc>
        <w:tc>
          <w:tcPr>
            <w:tcW w:type="dxa" w:w="7488"/>
            <w:vAlign w:val="center"/>
          </w:tcPr>
          <w:p>
            <w:r>
              <w:t>IX-1 implemented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AF1F8"/>
          </w:tcPr>
          <w:p>
            <w:r>
              <w:t>Cost</w:t>
            </w:r>
          </w:p>
        </w:tc>
        <w:tc>
          <w:tcPr>
            <w:tcW w:type="dxa" w:w="7488"/>
            <w:vAlign w:val="center"/>
            <w:shd w:fill="EAF1F8"/>
          </w:tcPr>
          <w:p>
            <w:r>
              <w:t>Local first and no paid dependency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t>Migration</w:t>
            </w:r>
          </w:p>
        </w:tc>
        <w:tc>
          <w:tcPr>
            <w:tcW w:type="dxa" w:w="7488"/>
            <w:vAlign w:val="center"/>
          </w:tcPr>
          <w:p>
            <w:r>
              <w:t>0057_ai_analysis_foundation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AF1F8"/>
          </w:tcPr>
          <w:p>
            <w:r>
              <w:t>Next</w:t>
            </w:r>
          </w:p>
        </w:tc>
        <w:tc>
          <w:tcPr>
            <w:tcW w:type="dxa" w:w="7488"/>
            <w:vAlign w:val="center"/>
            <w:shd w:fill="EAF1F8"/>
          </w:tcPr>
          <w:p>
            <w:r>
              <w:t>IX-2 deterministic local analysis workers</w:t>
            </w:r>
          </w:p>
        </w:tc>
      </w:tr>
    </w:tbl>
    <w:p/>
    <w:p>
      <w:pPr>
        <w:pStyle w:val="Heading1"/>
      </w:pPr>
      <w:r>
        <w:t>1 Scope and Architecture</w:t>
      </w:r>
    </w:p>
    <w:p>
      <w:r>
        <w:t>FastAPI accepts bounded provider-neutral requests. A domain service applies idempotency and data-classification policy. PostgreSQL preserves queued intent, while RBAC, audit, and outbox evidence provide a traceable boundary. Model execution deliberately follows in IX-2.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7344"/>
            <w:shd w:fill="1F4E78"/>
            <w:vAlign w:val="center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t>API</w:t>
            </w:r>
          </w:p>
        </w:tc>
        <w:tc>
          <w:tcPr>
            <w:tcW w:type="dxa" w:w="7344"/>
            <w:vAlign w:val="center"/>
          </w:tcPr>
          <w:p>
            <w:r>
              <w:t>Validation, pagination, filtering, and RBAC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1F8"/>
          </w:tcPr>
          <w:p>
            <w:r>
              <w:t>Domain service</w:t>
            </w:r>
          </w:p>
        </w:tc>
        <w:tc>
          <w:tcPr>
            <w:tcW w:type="dxa" w:w="7344"/>
            <w:vAlign w:val="center"/>
            <w:shd w:fill="EAF1F8"/>
          </w:tcPr>
          <w:p>
            <w:r>
              <w:t>Policy, idempotency, audit, and outbox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t>PostgreSQL</w:t>
            </w:r>
          </w:p>
        </w:tc>
        <w:tc>
          <w:tcPr>
            <w:tcW w:type="dxa" w:w="7344"/>
            <w:vAlign w:val="center"/>
          </w:tcPr>
          <w:p>
            <w:r>
              <w:t>Immutable request intent and status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1F8"/>
          </w:tcPr>
          <w:p>
            <w:r>
              <w:t>Future worker</w:t>
            </w:r>
          </w:p>
        </w:tc>
        <w:tc>
          <w:tcPr>
            <w:tcW w:type="dxa" w:w="7344"/>
            <w:vAlign w:val="center"/>
            <w:shd w:fill="EAF1F8"/>
          </w:tcPr>
          <w:p>
            <w:r>
              <w:t>Local rules first, optional provider adapters later</w:t>
            </w:r>
          </w:p>
        </w:tc>
      </w:tr>
    </w:tbl>
    <w:p/>
    <w:p>
      <w:pPr>
        <w:pStyle w:val="Heading1"/>
      </w:pPr>
      <w:r>
        <w:t>2 Contract and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Provider policy</w:t>
            </w:r>
          </w:p>
        </w:tc>
        <w:tc>
          <w:tcPr>
            <w:tcW w:type="dxa" w:w="3240"/>
            <w:vAlign w:val="center"/>
          </w:tcPr>
          <w:p>
            <w:r>
              <w:t>Local only by default</w:t>
            </w:r>
          </w:p>
        </w:tc>
        <w:tc>
          <w:tcPr>
            <w:tcW w:type="dxa" w:w="4320"/>
            <w:vAlign w:val="center"/>
          </w:tcPr>
          <w:p>
            <w:r>
              <w:t>No mandatory external cost or data egress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8"/>
          </w:tcPr>
          <w:p>
            <w:r>
              <w:t>Classification</w:t>
            </w:r>
          </w:p>
        </w:tc>
        <w:tc>
          <w:tcPr>
            <w:tcW w:type="dxa" w:w="3240"/>
            <w:vAlign w:val="center"/>
            <w:shd w:fill="EAF1F8"/>
          </w:tcPr>
          <w:p>
            <w:r>
              <w:t>Restricted requires local only</w:t>
            </w:r>
          </w:p>
        </w:tc>
        <w:tc>
          <w:tcPr>
            <w:tcW w:type="dxa" w:w="4320"/>
            <w:vAlign w:val="center"/>
            <w:shd w:fill="EAF1F8"/>
          </w:tcPr>
          <w:p>
            <w:r>
              <w:t>Prevent unsafe transmission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Context</w:t>
            </w:r>
          </w:p>
        </w:tc>
        <w:tc>
          <w:tcPr>
            <w:tcW w:type="dxa" w:w="3240"/>
            <w:vAlign w:val="center"/>
          </w:tcPr>
          <w:p>
            <w:r>
              <w:t>16384 encoded bytes</w:t>
            </w:r>
          </w:p>
        </w:tc>
        <w:tc>
          <w:tcPr>
            <w:tcW w:type="dxa" w:w="4320"/>
            <w:vAlign w:val="center"/>
          </w:tcPr>
          <w:p>
            <w:r>
              <w:t>Bound storage and processing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8"/>
          </w:tcPr>
          <w:p>
            <w:r>
              <w:t>Evidence</w:t>
            </w:r>
          </w:p>
        </w:tc>
        <w:tc>
          <w:tcPr>
            <w:tcW w:type="dxa" w:w="3240"/>
            <w:vAlign w:val="center"/>
            <w:shd w:fill="EAF1F8"/>
          </w:tcPr>
          <w:p>
            <w:r>
              <w:t>50 unique references</w:t>
            </w:r>
          </w:p>
        </w:tc>
        <w:tc>
          <w:tcPr>
            <w:tcW w:type="dxa" w:w="4320"/>
            <w:vAlign w:val="center"/>
            <w:shd w:fill="EAF1F8"/>
          </w:tcPr>
          <w:p>
            <w:r>
              <w:t>Reference artifacts without copying them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Authority</w:t>
            </w:r>
          </w:p>
        </w:tc>
        <w:tc>
          <w:tcPr>
            <w:tcW w:type="dxa" w:w="3240"/>
            <w:vAlign w:val="center"/>
          </w:tcPr>
          <w:p>
            <w:r>
              <w:t>AI remains advisory</w:t>
            </w:r>
          </w:p>
        </w:tc>
        <w:tc>
          <w:tcPr>
            <w:tcW w:type="dxa" w:w="4320"/>
            <w:vAlign w:val="center"/>
          </w:tcPr>
          <w:p>
            <w:r>
              <w:t>Prevent direct vehicle or test mutation</w:t>
            </w:r>
          </w:p>
        </w:tc>
      </w:tr>
    </w:tbl>
    <w:p/>
    <w:p>
      <w:pPr>
        <w:pStyle w:val="Heading1"/>
      </w:pPr>
      <w:r>
        <w:t>3 Tasks and Subjects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7560"/>
            <w:shd w:fill="1F4E78"/>
            <w:vAlign w:val="center"/>
          </w:tcPr>
          <w:p>
            <w:r>
              <w:rPr>
                <w:b/>
                <w:color w:val="FFFFFF"/>
              </w:rPr>
              <w:t>Supported values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Tasks</w:t>
            </w:r>
          </w:p>
        </w:tc>
        <w:tc>
          <w:tcPr>
            <w:tcW w:type="dxa" w:w="7560"/>
            <w:vAlign w:val="center"/>
          </w:tcPr>
          <w:p>
            <w:r>
              <w:t>Log analysis, failure explanation, test suggestion, root cause, risk analysis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1F8"/>
          </w:tcPr>
          <w:p>
            <w:r>
              <w:t>Subjects</w:t>
            </w:r>
          </w:p>
        </w:tc>
        <w:tc>
          <w:tcPr>
            <w:tcW w:type="dxa" w:w="7560"/>
            <w:vAlign w:val="center"/>
            <w:shd w:fill="EAF1F8"/>
          </w:tcPr>
          <w:p>
            <w:r>
              <w:t>Test run, automation report, fault execution, mutation execution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Lifecycle</w:t>
            </w:r>
          </w:p>
        </w:tc>
        <w:tc>
          <w:tcPr>
            <w:tcW w:type="dxa" w:w="7560"/>
            <w:vAlign w:val="center"/>
          </w:tcPr>
          <w:p>
            <w:r>
              <w:t>IX-1 creates queued requests; IX-2 owns execution and results</w:t>
            </w:r>
          </w:p>
        </w:tc>
      </w:tr>
    </w:tbl>
    <w:p/>
    <w:p>
      <w:pPr>
        <w:pStyle w:val="Heading1"/>
      </w:pPr>
      <w:r>
        <w:t>4 Verification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776"/>
            <w:shd w:fill="1F4E78"/>
            <w:vAlign w:val="center"/>
          </w:tcPr>
          <w:p>
            <w:r>
              <w:rPr>
                <w:b/>
                <w:color w:val="FFFFFF"/>
              </w:rPr>
              <w:t>Objective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AI-T-001</w:t>
            </w:r>
          </w:p>
        </w:tc>
        <w:tc>
          <w:tcPr>
            <w:tcW w:type="dxa" w:w="7776"/>
            <w:vAlign w:val="center"/>
          </w:tcPr>
          <w:p>
            <w:r>
              <w:t>Validate schema and resource bounds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AF1F8"/>
          </w:tcPr>
          <w:p>
            <w:r>
              <w:t>AI-T-002</w:t>
            </w:r>
          </w:p>
        </w:tc>
        <w:tc>
          <w:tcPr>
            <w:tcW w:type="dxa" w:w="7776"/>
            <w:vAlign w:val="center"/>
            <w:shd w:fill="EAF1F8"/>
          </w:tcPr>
          <w:p>
            <w:r>
              <w:t>Verify local-only defaults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AI-T-003</w:t>
            </w:r>
          </w:p>
        </w:tc>
        <w:tc>
          <w:tcPr>
            <w:tcW w:type="dxa" w:w="7776"/>
            <w:vAlign w:val="center"/>
          </w:tcPr>
          <w:p>
            <w:r>
              <w:t>Reject restricted external processing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AF1F8"/>
          </w:tcPr>
          <w:p>
            <w:r>
              <w:t>AI-T-004</w:t>
            </w:r>
          </w:p>
        </w:tc>
        <w:tc>
          <w:tcPr>
            <w:tcW w:type="dxa" w:w="7776"/>
            <w:vAlign w:val="center"/>
            <w:shd w:fill="EAF1F8"/>
          </w:tcPr>
          <w:p>
            <w:r>
              <w:t>Verify idempotency and conflict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AI-T-005</w:t>
            </w:r>
          </w:p>
        </w:tc>
        <w:tc>
          <w:tcPr>
            <w:tcW w:type="dxa" w:w="7776"/>
            <w:vAlign w:val="center"/>
          </w:tcPr>
          <w:p>
            <w:r>
              <w:t>Verify minimized audit and event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AF1F8"/>
          </w:tcPr>
          <w:p>
            <w:r>
              <w:t>AI-T-006</w:t>
            </w:r>
          </w:p>
        </w:tc>
        <w:tc>
          <w:tcPr>
            <w:tcW w:type="dxa" w:w="7776"/>
            <w:vAlign w:val="center"/>
            <w:shd w:fill="EAF1F8"/>
          </w:tcPr>
          <w:p>
            <w:r>
              <w:t>Verify RBAC and OpenAPI contracts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AI-T-007</w:t>
            </w:r>
          </w:p>
        </w:tc>
        <w:tc>
          <w:tcPr>
            <w:tcW w:type="dxa" w:w="7776"/>
            <w:vAlign w:val="center"/>
          </w:tcPr>
          <w:p>
            <w:r>
              <w:t>Apply migration through hosted Docker integration</w:t>
            </w:r>
          </w:p>
        </w:tc>
      </w:tr>
    </w:tbl>
    <w:p/>
    <w:p>
      <w:pPr>
        <w:pStyle w:val="Heading1"/>
      </w:pPr>
      <w:r>
        <w:t>5 Risks and Next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6624"/>
            <w:shd w:fill="1F4E78"/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t>Sensitive data egress</w:t>
            </w:r>
          </w:p>
        </w:tc>
        <w:tc>
          <w:tcPr>
            <w:tcW w:type="dxa" w:w="6624"/>
            <w:vAlign w:val="center"/>
          </w:tcPr>
          <w:p>
            <w:r>
              <w:t>Classification and provider policy gate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1F8"/>
          </w:tcPr>
          <w:p>
            <w:r>
              <w:t>Hallucinated authority</w:t>
            </w:r>
          </w:p>
        </w:tc>
        <w:tc>
          <w:tcPr>
            <w:tcW w:type="dxa" w:w="6624"/>
            <w:vAlign w:val="center"/>
            <w:shd w:fill="EAF1F8"/>
          </w:tcPr>
          <w:p>
            <w:r>
              <w:t>Advisory-only boundary and future citations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t>Unexpected cost</w:t>
            </w:r>
          </w:p>
        </w:tc>
        <w:tc>
          <w:tcPr>
            <w:tcW w:type="dxa" w:w="6624"/>
            <w:vAlign w:val="center"/>
          </w:tcPr>
          <w:p>
            <w:r>
              <w:t>No provider call and local-only default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1F8"/>
          </w:tcPr>
          <w:p>
            <w:r>
              <w:t>Resource consumption</w:t>
            </w:r>
          </w:p>
        </w:tc>
        <w:tc>
          <w:tcPr>
            <w:tcW w:type="dxa" w:w="6624"/>
            <w:vAlign w:val="center"/>
            <w:shd w:fill="EAF1F8"/>
          </w:tcPr>
          <w:p>
            <w:r>
              <w:t>No model or GPU in IX-1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t>Prompt leakage</w:t>
            </w:r>
          </w:p>
        </w:tc>
        <w:tc>
          <w:tcPr>
            <w:tcW w:type="dxa" w:w="6624"/>
            <w:vAlign w:val="center"/>
          </w:tcPr>
          <w:p>
            <w:r>
              <w:t>Minimized audit and outbox metadata</w:t>
            </w:r>
          </w:p>
        </w:tc>
      </w:tr>
    </w:tbl>
    <w:p/>
    <w:p>
      <w:r>
        <w:t>IX-2 will add deterministic local rules, worker lifecycle, retries, and result contracts before any optional LLM adapter. This order keeps the platform testable, free to run, and provider neutral.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