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0.32.0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11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signed image provenance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native Kubernetes image-admission boundary for ATEP Deployments and Jobs with explicit namespace scope, fail-closed evaluation, exact GHCR repository, non-zero lowercase SHA-256 digests, init-container coverage, denial, and audit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133 fast Python tests, Ruff, strict mypy, and six focused Kubernetes policy tests; live Kubernetes type-checking and denial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exact GitHub/Sigstore artifact-attestation admission contract with SLSA v1 provenance, repository/workflow/main-ref identity, namespace opt-in, official version-pinned chart procedure, and no image exemptions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134 fast Python tests, Ruff, strict mypy, seven focused Kubernetes policy tests, and four Kustomize renders; live chart-digest approval and cluster admission evidence remain pending</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admission,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foundation/admission/migration/workload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native-policy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Namespace-scoped fail-closed Deployment/Job and init-container repository/digest enforcement with denial and audit actions; live cluster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Cryptographic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configuration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GitHub/Sigstore Policy Controller values restrict SLSA v1 provenance to the exact ATEP image, repository, release workflow, and main ref with no exemptions; live installation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hosted-build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release, immutable commit tag, signed SLSA and CycloneDX attestations, release report, and exact pre-promotion verification;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134 fast tests plus expanded disposable black-box, alert-delivery, and restore-drill scenarios,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native and cryptographic admission evidence,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cluster-scoped admission,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job.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.github/workflows/release.yml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live admission execution, and automotive cybersecurity evidence remain production work.</w:t>
      </w:r>
    </w:p>
    <w:p>
      <w:pPr>
        <w:pStyle w:val="Heading2"/>
        <w:keepNext/>
        <w:keepLines/>
      </w:pPr>
      <w:r>
        <w:t>ADR-027 — Enforce Reviewed Image Identity at Kubernetes Admission</w:t>
      </w:r>
    </w:p>
    <w:p>
      <w:r>
        <w:rPr>
          <w:rFonts w:ascii="Calibri" w:hAnsi="Calibri"/>
          <w:b/>
          <w:color w:val="111827"/>
          <w:sz w:val="22"/>
        </w:rPr>
        <w:t>Decision.</w:t>
      </w:r>
      <w:r>
        <w:rPr>
          <w:rFonts w:ascii="Calibri" w:hAnsi="Calibri"/>
          <w:color w:val="111827"/>
          <w:sz w:val="22"/>
        </w:rPr>
        <w:t xml:space="preserve"> Install a native Kubernetes </w:t>
      </w:r>
      <w:r>
        <w:rPr>
          <w:rFonts w:ascii="Consolas" w:hAnsi="Consolas"/>
          <w:color w:val="1F4D78"/>
          <w:sz w:val="19"/>
        </w:rPr>
        <w:t>ValidatingAdmissionPolicy</w:t>
      </w:r>
      <w:r>
        <w:rPr>
          <w:rFonts w:ascii="Calibri" w:hAnsi="Calibri"/>
          <w:color w:val="111827"/>
          <w:sz w:val="22"/>
        </w:rPr>
        <w:t xml:space="preserve"> and binding in a separate cluster-scoped admission target applied after the namespaced foundation. Select only namespaces explicitly labelled </w:t>
      </w:r>
      <w:r>
        <w:rPr>
          <w:rFonts w:ascii="Consolas" w:hAnsi="Consolas"/>
          <w:color w:val="1F4D78"/>
          <w:sz w:val="19"/>
        </w:rPr>
        <w:t>atep.dev/image-policy=enforced</w:t>
      </w:r>
      <w:r>
        <w:rPr>
          <w:rFonts w:ascii="Calibri" w:hAnsi="Calibri"/>
          <w:color w:val="111827"/>
          <w:sz w:val="22"/>
        </w:rPr>
        <w:t>; fail closed on policy errors; and deny plus audit every ATEP Deployment or Job create/update whose application or init-container image does not use the exact approved GHCR repository and a non-zero lowercase SHA-256 manifest digest.</w:t>
      </w:r>
    </w:p>
    <w:p>
      <w:r>
        <w:rPr>
          <w:rFonts w:ascii="Calibri" w:hAnsi="Calibri"/>
          <w:b/>
          <w:color w:val="111827"/>
          <w:sz w:val="22"/>
        </w:rPr>
        <w:t>Rationale.</w:t>
      </w:r>
      <w:r>
        <w:rPr>
          <w:rFonts w:ascii="Calibri" w:hAnsi="Calibri"/>
          <w:color w:val="111827"/>
          <w:sz w:val="22"/>
        </w:rPr>
        <w:t xml:space="preserve"> Promotion-time verification can be bypassed if a privileged operator later applies a different workload manifest. Repeating the immutable repository/digest boundary at Kubernetes admission prevents mutable tags, foreign repositories, malformed digests, and the committed zero placeholder from reaching the ATEP namespace. Native CEL policy avoids a new webhook service and is stable from Kubernetes 1.30.</w:t>
      </w:r>
    </w:p>
    <w:p>
      <w:r>
        <w:rPr>
          <w:rFonts w:ascii="Calibri" w:hAnsi="Calibri"/>
          <w:b/>
          <w:color w:val="111827"/>
          <w:sz w:val="22"/>
        </w:rPr>
        <w:t>Consequences.</w:t>
      </w:r>
      <w:r>
        <w:rPr>
          <w:rFonts w:ascii="Calibri" w:hAnsi="Calibri"/>
          <w:color w:val="111827"/>
          <w:sz w:val="22"/>
        </w:rPr>
        <w:t xml:space="preserve"> The admission target requires cluster-level admissionregistration privileges and Kubernetes 1.30 or later. The native policy validates identity syntax and repository scope; it does not verify GitHub/Sigstore signatures. Exact attestation verification remains mandatory before promotion, and production still requires live type-checking/denial evidence plus a separately reviewed signature-aware admission control if cryptographic verification must occur inside the cluster.</w:t>
      </w:r>
    </w:p>
    <w:p>
      <w:pPr>
        <w:pStyle w:val="Heading2"/>
        <w:keepNext/>
        <w:keepLines/>
      </w:pPr>
      <w:r>
        <w:t>ADR-028 — Bind Cluster Admission to the Exact GitHub Release Workflow</w:t>
      </w:r>
    </w:p>
    <w:p>
      <w:r>
        <w:rPr>
          <w:rFonts w:ascii="Calibri" w:hAnsi="Calibri"/>
          <w:b/>
          <w:color w:val="111827"/>
          <w:sz w:val="22"/>
        </w:rPr>
        <w:t>Decision.</w:t>
      </w:r>
      <w:r>
        <w:rPr>
          <w:rFonts w:ascii="Calibri" w:hAnsi="Calibri"/>
          <w:color w:val="111827"/>
          <w:sz w:val="22"/>
        </w:rPr>
        <w:t xml:space="preserve"> Opt the </w:t>
      </w:r>
      <w:r>
        <w:rPr>
          <w:rFonts w:ascii="Consolas" w:hAnsi="Consolas"/>
          <w:color w:val="1F4D78"/>
          <w:sz w:val="19"/>
        </w:rPr>
        <w:t>atep</w:t>
      </w:r>
      <w:r>
        <w:rPr>
          <w:rFonts w:ascii="Calibri" w:hAnsi="Calibri"/>
          <w:color w:val="111827"/>
          <w:sz w:val="22"/>
        </w:rPr>
        <w:t xml:space="preserve"> namespace into the official GitHub/Sigstore Policy Controller and commit its trust-policy values. Require SLSA v1 provenance, the GitHub Actions OIDC issuer, the exact </w:t>
      </w:r>
      <w:r>
        <w:rPr>
          <w:rFonts w:ascii="Consolas" w:hAnsi="Consolas"/>
          <w:color w:val="1F4D78"/>
          <w:sz w:val="19"/>
        </w:rPr>
        <w:t>paulacristinaqa/automotive_test_engineering_platform</w:t>
      </w:r>
      <w:r>
        <w:rPr>
          <w:rFonts w:ascii="Calibri" w:hAnsi="Calibri"/>
          <w:color w:val="111827"/>
          <w:sz w:val="22"/>
        </w:rPr>
        <w:t xml:space="preserve"> repository, </w:t>
      </w:r>
      <w:r>
        <w:rPr>
          <w:rFonts w:ascii="Consolas" w:hAnsi="Consolas"/>
          <w:color w:val="1F4D78"/>
          <w:sz w:val="19"/>
        </w:rPr>
        <w:t>.github/workflows/release.yml</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and the exact ATEP GHCR image pattern. Permit no exempt image. Retain the native repository/digest admission policy as an independent gate.</w:t>
      </w:r>
    </w:p>
    <w:p>
      <w:r>
        <w:rPr>
          <w:rFonts w:ascii="Calibri" w:hAnsi="Calibri"/>
          <w:b/>
          <w:color w:val="111827"/>
          <w:sz w:val="22"/>
        </w:rPr>
        <w:t>Rationale.</w:t>
      </w:r>
      <w:r>
        <w:rPr>
          <w:rFonts w:ascii="Calibri" w:hAnsi="Calibri"/>
          <w:color w:val="111827"/>
          <w:sz w:val="22"/>
        </w:rPr>
        <w:t xml:space="preserve"> Digest admission proves content identity but not who built that content. The release workflow already publishes OCI-attached GitHub/Sigstore provenance with </w:t>
      </w:r>
      <w:r>
        <w:rPr>
          <w:rFonts w:ascii="Consolas" w:hAnsi="Consolas"/>
          <w:color w:val="1F4D78"/>
          <w:sz w:val="19"/>
        </w:rPr>
        <w:t>push-to-registry: true</w:t>
      </w:r>
      <w:r>
        <w:rPr>
          <w:rFonts w:ascii="Calibri" w:hAnsi="Calibri"/>
          <w:color w:val="111827"/>
          <w:sz w:val="22"/>
        </w:rPr>
        <w:t>, so the official controller can cryptographically evaluate the same evidence inside Kubernetes. An exact certificate-subject regular expression is narrower than trusting every repository owned by the account and supports the current personal repository owner.</w:t>
      </w:r>
    </w:p>
    <w:p>
      <w:r>
        <w:rPr>
          <w:rFonts w:ascii="Calibri" w:hAnsi="Calibri"/>
          <w:b/>
          <w:color w:val="111827"/>
          <w:sz w:val="22"/>
        </w:rPr>
        <w:t>Consequences.</w:t>
      </w:r>
      <w:r>
        <w:rPr>
          <w:rFonts w:ascii="Calibri" w:hAnsi="Calibri"/>
          <w:color w:val="111827"/>
          <w:sz w:val="22"/>
        </w:rPr>
        <w:t xml:space="preserve"> Repository configuration alone does not deploy the controller. Operators must approve immutable OCI chart digests, install the reviewed Sigstore controller and GitHub trust policy, validate trust-root and policy status, and retain positive/negative admission evidence. Removing namespace opt-in, broadening the subject/image pattern, adding exemptions, or falling back to an unattested digest is a security-policy change requiring review. Kubernetes 1.30 remains the effective platform minimum because of the native policy.</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and admission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 the Policy Controller contract repeats exact provenance verification in-cluster</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release/admission evidence, retention, revocation, and trusted-builder separation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admission, migration, and workload targets shall render independently so cluster policy precedes migration and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 K8S-006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foundation/admission/migration/workload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Promotion evidence schema </w:t>
            </w:r>
            <w:r>
              <w:rPr>
                <w:rFonts w:ascii="Calibri" w:hAnsi="Calibri"/>
                <w:b w:val="0"/>
                <w:color w:val="111827"/>
                <w:sz w:val="16"/>
              </w:rPr>
              <w:t>1.1.0</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shall deny ATEP Deployment and Job creation/update when any application or init-container image is mutable, foreign, malformed, or uses the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admission policy and binding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ATEP namespace shall enforce SLSA v1 provenance for the exact image, repository, </w:t>
            </w:r>
            <w:r>
              <w:rPr>
                <w:rFonts w:ascii="Calibri" w:hAnsi="Calibri"/>
                <w:b w:val="0"/>
                <w:color w:val="111827"/>
                <w:sz w:val="16"/>
              </w:rPr>
              <w:t>release.yml</w:t>
            </w:r>
            <w:r>
              <w:rPr>
                <w:rFonts w:ascii="Calibri" w:hAnsi="Calibri"/>
                <w:b w:val="0"/>
                <w:color w:val="111827"/>
                <w:sz w:val="16"/>
              </w:rPr>
              <w:t xml:space="preserve">, and </w:t>
            </w:r>
            <w:r>
              <w:rPr>
                <w:rFonts w:ascii="Calibri" w:hAnsi="Calibri"/>
                <w:b w:val="0"/>
                <w:color w:val="111827"/>
                <w:sz w:val="16"/>
              </w:rPr>
              <w:t>main</w:t>
            </w:r>
            <w:r>
              <w:rPr>
                <w:rFonts w:ascii="Calibri" w:hAnsi="Calibri"/>
                <w:b w:val="0"/>
                <w:color w:val="111827"/>
                <w:sz w:val="16"/>
              </w:rPr>
              <w:t xml:space="preserve"> ref through the GitHub/Sigstore Policy Controller without exemptions.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Trust-policy values and namespace opt-in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Cluster image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Fail-closed CEL evaluation, explicit namespace scope, denial plus audit, exact GHCR repository, and non-zero lowercase SHA-256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admission trust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Actions issuer, exact workflow subject, SLSA v1 predicate, GitHub/Sigstore roots, no exemptions, reviewed chart versions/digests, and promotion-identical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admission,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four targets render independently; cluster-scoped admission resources have no namespace; every reference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image policy, binding, namespace selector, matched operations/resources, failure mode, and validation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fail-closed policy covers Deployment and Job create/update, including init containers; one binding selects only labelled namespaces and uses Deny plus Audit.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approved digest, mutable tag, foreign repository, uppercase/malformed digest, and zero-digest workloads to a Kubernetes 1.30+ test cluster.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approved repository with a non-zero lowercase SHA-256 digest is admitted; every rejection is visible in the API result and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negative matrix passed; live cluster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opt-in and GitHub trust-policy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Enforcement is enabled; SLSA v1, exact repository/workflow/main-ref subject, exact ATEP image pattern, GitHub/Sigstore trust, and an empty exemption list are present; release publishes registry attestations.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Install reviewed controller/chart digests and submit attested plus unsigned, wrong-repository, wrong-workflow, wrong-ref, and revoked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valid provenance is admitted; all negative samples fail closed and retain controller plus Kubernetes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Runbook/configuration implemented; live cluster exercise pending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Four secret-free manifests and schema </w:t>
            </w:r>
            <w:r>
              <w:rPr>
                <w:rFonts w:ascii="Calibri" w:hAnsi="Calibri"/>
                <w:b w:val="0"/>
                <w:color w:val="111827"/>
                <w:sz w:val="16"/>
              </w:rPr>
              <w:t>1.1.0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signed release provenance/SBOM, pre-promotion verification, and exact in-cluster attestation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trusted-builder separation, long-term evidence, live controller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signed hosted release provenance/SBOM are implemented, but the release workflow is not yet an independently governed trusted builder.</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release workflow code or its hosted execution context could produce a valid attestation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signing to a restricted reusable builder, pin its identity/digest, minimize inputs, enforce branch protections, and retain independent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SBOM and aggregate evidence retention is 90 days; the exact cryptographic admission contract is committed but not installed or live-evidenced.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Long-lived automotive evidence may expire, and a cluster without the controller could still deploy an unattested digest that passes native syntax checks.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product-lifetime retention/revocation, archive signed bundles independently, approve immutable chart digests, install the controller, and retain positive/negative admission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R-020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GitHub repository currently has one direct collaborator, so required independent review with self-review prevention would deadlock the first protected release.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Weakening the rule would invalidate the documented separation-of-duties control; enabling it with only the initiator would make release impossible.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 a trusted read-or-higher collaborator as release reviewer, configure the protected </w:t>
            </w:r>
            <w:r>
              <w:rPr>
                <w:rFonts w:ascii="Calibri" w:hAnsi="Calibri"/>
                <w:b w:val="0"/>
                <w:color w:val="111827"/>
                <w:sz w:val="16"/>
              </w:rPr>
              <w:t>release</w:t>
            </w:r>
            <w:r>
              <w:rPr>
                <w:rFonts w:ascii="Calibri" w:hAnsi="Calibri"/>
                <w:b w:val="0"/>
                <w:color w:val="111827"/>
                <w:sz w:val="16"/>
              </w:rPr>
              <w:t xml:space="preserve"> environment, retain settings evidence, and only then execute the first publish.</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native namespace-scoped Kubernetes repository/digest admission - implemented initial slice;</w:t>
      </w:r>
    </w:p>
    <w:p>
      <w:r>
        <w:rPr>
          <w:rFonts w:ascii="Calibri" w:hAnsi="Calibri"/>
          <w:color w:val="111827"/>
          <w:sz w:val="22"/>
        </w:rPr>
        <w:t>live CEL type-checking and denial/audit evidence remain;</w:t>
      </w:r>
    </w:p>
    <w:p>
      <w:pPr>
        <w:pStyle w:val="ListBullet"/>
        <w:numPr>
          <w:ilvl w:val="0"/>
          <w:numId w:val="33"/>
        </w:numPr>
      </w:pPr>
      <w:r>
        <w:rPr>
          <w:rFonts w:ascii="Calibri" w:hAnsi="Calibri"/>
          <w:color w:val="111827"/>
          <w:sz w:val="22"/>
        </w:rPr>
        <w:t>exact GitHub/Sigstore artifact-attestation admission configuration - implemented initial slice;</w:t>
      </w:r>
    </w:p>
    <w:p>
      <w:r>
        <w:rPr>
          <w:rFonts w:ascii="Calibri" w:hAnsi="Calibri"/>
          <w:color w:val="111827"/>
          <w:sz w:val="22"/>
        </w:rPr>
        <w:t>immutable chart approval, controller installation, trust status, and live positive/negative evidence remain;</w:t>
      </w:r>
    </w:p>
    <w:p>
      <w:pPr>
        <w:pStyle w:val="ListBullet"/>
        <w:numPr>
          <w:ilvl w:val="0"/>
          <w:numId w:val="34"/>
        </w:numPr>
      </w:pPr>
      <w:r>
        <w:rPr>
          <w:rFonts w:ascii="Calibri" w:hAnsi="Calibri"/>
          <w:color w:val="111827"/>
          <w:sz w:val="22"/>
        </w:rPr>
        <w:t>validating mTLS proxy, certificate lifecycle, direct-path denial, and live identity evidence;</w:t>
      </w:r>
    </w:p>
    <w:p>
      <w:pPr>
        <w:pStyle w:val="ListBullet"/>
        <w:numPr>
          <w:ilvl w:val="0"/>
          <w:numId w:val="34"/>
        </w:numPr>
      </w:pPr>
      <w:r>
        <w:rPr>
          <w:rFonts w:ascii="Calibri" w:hAnsi="Calibri"/>
          <w:color w:val="111827"/>
          <w:sz w:val="22"/>
        </w:rPr>
        <w:t>logical PostgreSQL restore drill and aggregate CI evidence - implemented initial slice;</w:t>
      </w:r>
    </w:p>
    <w:p>
      <w:pPr>
        <w:pStyle w:val="ListBullet"/>
        <w:numPr>
          <w:ilvl w:val="0"/>
          <w:numId w:val="34"/>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4"/>
        </w:numPr>
      </w:pPr>
      <w:r>
        <w:rPr>
          <w:rFonts w:ascii="Calibri" w:hAnsi="Calibri"/>
          <w:color w:val="111827"/>
          <w:sz w:val="22"/>
        </w:rPr>
        <w:t>performance, resilience, and security-policy calibration;</w:t>
      </w:r>
    </w:p>
    <w:p>
      <w:pPr>
        <w:pStyle w:val="ListBullet"/>
        <w:numPr>
          <w:ilvl w:val="0"/>
          <w:numId w:val="34"/>
        </w:numPr>
      </w:pPr>
      <w:r>
        <w:rPr>
          <w:rFonts w:ascii="Calibri" w:hAnsi="Calibri"/>
          <w:color w:val="111827"/>
          <w:sz w:val="22"/>
        </w:rPr>
        <w:t>ordered development/staging/production promotion validation and retained render evidence â€” implemented initial slice;</w:t>
      </w:r>
    </w:p>
    <w:p>
      <w:pPr>
        <w:pStyle w:val="ListBullet"/>
        <w:numPr>
          <w:ilvl w:val="0"/>
          <w:numId w:val="34"/>
        </w:numPr>
      </w:pPr>
      <w:r>
        <w:rPr>
          <w:rFonts w:ascii="Calibri" w:hAnsi="Calibri"/>
          <w:color w:val="111827"/>
          <w:sz w:val="22"/>
        </w:rPr>
        <w:t>protected GHCR release, signed SLSA/CycloneDX attestations, and exact pre-promotion verification â€” implemented initial hosted-build slice;</w:t>
      </w:r>
    </w:p>
    <w:p>
      <w:pPr>
        <w:pStyle w:val="ListBullet"/>
        <w:numPr>
          <w:ilvl w:val="0"/>
          <w:numId w:val="34"/>
        </w:numPr>
      </w:pPr>
      <w:r>
        <w:rPr>
          <w:rFonts w:ascii="Calibri" w:hAnsi="Calibri"/>
          <w:color w:val="111827"/>
          <w:sz w:val="22"/>
        </w:rPr>
        <w:t>reusable trusted builder, long-term release evidence, live attestation-admission evidence, and real provider deployment across protected environments â€”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5"/>
        </w:numPr>
      </w:pPr>
      <w:r>
        <w:rPr>
          <w:rFonts w:ascii="Calibri" w:hAnsi="Calibri"/>
          <w:color w:val="111827"/>
          <w:sz w:val="22"/>
        </w:rPr>
        <w:t>Provide environment-specific URLs and secrets.</w:t>
      </w:r>
    </w:p>
    <w:p>
      <w:pPr>
        <w:pStyle w:val="ListNumber"/>
        <w:numPr>
          <w:ilvl w:val="0"/>
          <w:numId w:val="35"/>
        </w:numPr>
      </w:pPr>
      <w:r>
        <w:rPr>
          <w:rFonts w:ascii="Calibri" w:hAnsi="Calibri"/>
          <w:color w:val="111827"/>
          <w:sz w:val="22"/>
        </w:rPr>
        <w:t>Start PostgreSQL, Redis, and RabbitMQ and wait for health.</w:t>
      </w:r>
    </w:p>
    <w:p>
      <w:pPr>
        <w:pStyle w:val="ListNumber"/>
        <w:numPr>
          <w:ilvl w:val="0"/>
          <w:numId w:val="35"/>
        </w:numPr>
      </w:pPr>
      <w:r>
        <w:rPr>
          <w:rFonts w:ascii="Calibri" w:hAnsi="Calibri"/>
          <w:color w:val="111827"/>
          <w:sz w:val="22"/>
        </w:rPr>
        <w:t>Apply Alembic migrations exactly once per release.</w:t>
      </w:r>
    </w:p>
    <w:p>
      <w:pPr>
        <w:pStyle w:val="ListNumber"/>
        <w:numPr>
          <w:ilvl w:val="0"/>
          <w:numId w:val="35"/>
        </w:numPr>
      </w:pPr>
      <w:r>
        <w:rPr>
          <w:rFonts w:ascii="Calibri" w:hAnsi="Calibri"/>
          <w:color w:val="111827"/>
          <w:sz w:val="22"/>
        </w:rPr>
        <w:t>Start the API and outbox worker from the same immutable image.</w:t>
      </w:r>
    </w:p>
    <w:p>
      <w:pPr>
        <w:pStyle w:val="ListNumber"/>
        <w:numPr>
          <w:ilvl w:val="0"/>
          <w:numId w:val="35"/>
        </w:numPr>
      </w:pPr>
      <w:r>
        <w:rPr>
          <w:rFonts w:ascii="Calibri" w:hAnsi="Calibri"/>
          <w:color w:val="111827"/>
          <w:sz w:val="22"/>
        </w:rPr>
        <w:t>Verify liveness and readiness.</w:t>
      </w:r>
    </w:p>
    <w:p>
      <w:pPr>
        <w:pStyle w:val="ListNumber"/>
        <w:numPr>
          <w:ilvl w:val="0"/>
          <w:numId w:val="35"/>
        </w:numPr>
      </w:pPr>
      <w:r>
        <w:rPr>
          <w:rFonts w:ascii="Calibri" w:hAnsi="Calibri"/>
          <w:color w:val="111827"/>
          <w:sz w:val="22"/>
        </w:rPr>
        <w:t>Authenticate a controlled test account and publish one smoke-test event.</w:t>
      </w:r>
    </w:p>
    <w:p>
      <w:pPr>
        <w:pStyle w:val="ListNumber"/>
        <w:numPr>
          <w:ilvl w:val="0"/>
          <w:numId w:val="35"/>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6"/>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6"/>
        </w:numPr>
      </w:pPr>
      <w:r>
        <w:rPr>
          <w:rFonts w:ascii="Calibri" w:hAnsi="Calibri"/>
          <w:color w:val="111827"/>
          <w:sz w:val="22"/>
        </w:rPr>
        <w:t>search structured logs by correlation ID and timestamp;</w:t>
      </w:r>
    </w:p>
    <w:p>
      <w:pPr>
        <w:pStyle w:val="ListBullet"/>
        <w:numPr>
          <w:ilvl w:val="0"/>
          <w:numId w:val="36"/>
        </w:numPr>
      </w:pPr>
      <w:r>
        <w:rPr>
          <w:rFonts w:ascii="Calibri" w:hAnsi="Calibri"/>
          <w:color w:val="111827"/>
          <w:sz w:val="22"/>
        </w:rPr>
        <w:t>inspect database pool, Redis availability, or RabbitMQ connection/channel state;</w:t>
      </w:r>
    </w:p>
    <w:p>
      <w:pPr>
        <w:pStyle w:val="ListBullet"/>
        <w:numPr>
          <w:ilvl w:val="0"/>
          <w:numId w:val="36"/>
        </w:numPr>
      </w:pPr>
      <w:r>
        <w:rPr>
          <w:rFonts w:ascii="Calibri" w:hAnsi="Calibri"/>
          <w:color w:val="111827"/>
          <w:sz w:val="22"/>
        </w:rPr>
        <w:t>avoid deleting outbox rows to resolve a broker outage;</w:t>
      </w:r>
    </w:p>
    <w:p>
      <w:pPr>
        <w:pStyle w:val="ListBullet"/>
        <w:numPr>
          <w:ilvl w:val="0"/>
          <w:numId w:val="36"/>
        </w:numPr>
      </w:pPr>
      <w:r>
        <w:rPr>
          <w:rFonts w:ascii="Calibri" w:hAnsi="Calibri"/>
          <w:color w:val="111827"/>
          <w:sz w:val="22"/>
        </w:rPr>
        <w:t>restore the dependency, verify automatic recovery, and review backlog age;</w:t>
      </w:r>
    </w:p>
    <w:p>
      <w:pPr>
        <w:pStyle w:val="ListBullet"/>
        <w:numPr>
          <w:ilvl w:val="0"/>
          <w:numId w:val="36"/>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7"/>
        </w:numPr>
      </w:pPr>
      <w:r>
        <w:rPr>
          <w:rFonts w:ascii="Calibri" w:hAnsi="Calibri"/>
          <w:color w:val="111827"/>
          <w:sz w:val="22"/>
        </w:rPr>
        <w:t>update the document version and revision history;</w:t>
      </w:r>
    </w:p>
    <w:p>
      <w:pPr>
        <w:pStyle w:val="ListBullet"/>
        <w:numPr>
          <w:ilvl w:val="0"/>
          <w:numId w:val="37"/>
        </w:numPr>
      </w:pPr>
      <w:r>
        <w:rPr>
          <w:rFonts w:ascii="Calibri" w:hAnsi="Calibri"/>
          <w:color w:val="111827"/>
          <w:sz w:val="22"/>
        </w:rPr>
        <w:t>reconcile capability status against the repository;</w:t>
      </w:r>
    </w:p>
    <w:p>
      <w:pPr>
        <w:pStyle w:val="ListBullet"/>
        <w:numPr>
          <w:ilvl w:val="0"/>
          <w:numId w:val="37"/>
        </w:numPr>
      </w:pPr>
      <w:r>
        <w:rPr>
          <w:rFonts w:ascii="Calibri" w:hAnsi="Calibri"/>
          <w:color w:val="111827"/>
          <w:sz w:val="22"/>
        </w:rPr>
        <w:t>add or revise requirements and acceptance criteria;</w:t>
      </w:r>
    </w:p>
    <w:p>
      <w:pPr>
        <w:pStyle w:val="ListBullet"/>
        <w:numPr>
          <w:ilvl w:val="0"/>
          <w:numId w:val="37"/>
        </w:numPr>
      </w:pPr>
      <w:r>
        <w:rPr>
          <w:rFonts w:ascii="Calibri" w:hAnsi="Calibri"/>
          <w:color w:val="111827"/>
          <w:sz w:val="22"/>
        </w:rPr>
        <w:t>record architecture decisions and superseded decisions;</w:t>
      </w:r>
    </w:p>
    <w:p>
      <w:pPr>
        <w:pStyle w:val="ListBullet"/>
        <w:numPr>
          <w:ilvl w:val="0"/>
          <w:numId w:val="37"/>
        </w:numPr>
      </w:pPr>
      <w:r>
        <w:rPr>
          <w:rFonts w:ascii="Calibri" w:hAnsi="Calibri"/>
          <w:color w:val="111827"/>
          <w:sz w:val="22"/>
        </w:rPr>
        <w:t>update the test catalogue and executed evidence;</w:t>
      </w:r>
    </w:p>
    <w:p>
      <w:pPr>
        <w:pStyle w:val="ListBullet"/>
        <w:numPr>
          <w:ilvl w:val="0"/>
          <w:numId w:val="37"/>
        </w:numPr>
      </w:pPr>
      <w:r>
        <w:rPr>
          <w:rFonts w:ascii="Calibri" w:hAnsi="Calibri"/>
          <w:color w:val="111827"/>
          <w:sz w:val="22"/>
        </w:rPr>
        <w:t>review threat model, risk register, and technical debt;</w:t>
      </w:r>
    </w:p>
    <w:p>
      <w:pPr>
        <w:pStyle w:val="ListBullet"/>
        <w:numPr>
          <w:ilvl w:val="0"/>
          <w:numId w:val="37"/>
        </w:numPr>
      </w:pPr>
      <w:r>
        <w:rPr>
          <w:rFonts w:ascii="Calibri" w:hAnsi="Calibri"/>
          <w:color w:val="111827"/>
          <w:sz w:val="22"/>
        </w:rPr>
        <w:t>confirm roadmap priorities and Volume I exit criteria;</w:t>
      </w:r>
    </w:p>
    <w:p>
      <w:pPr>
        <w:pStyle w:val="ListBullet"/>
        <w:numPr>
          <w:ilvl w:val="0"/>
          <w:numId w:val="37"/>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0.32.0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