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ATEP Volume IX AI Test Engineer Engineering Workbook</w:t>
      </w:r>
    </w:p>
    <w:p>
      <w:pPr>
        <w:jc w:val="center"/>
      </w:pPr>
      <w:r>
        <w:rPr>
          <w:b/>
        </w:rPr>
        <w:t>Version 0.7.0  Cross Platform AI Evidence</w:t>
      </w:r>
    </w:p>
    <w:p>
      <w:r>
        <w:t>This workbook records the governed AI boundary and deterministic analysis worker for ATEP. IX-1 captures analysis intent, IX-2 produces structured advisory results, and IX-3 converts bounded logs into sanitized timelines and anomaly evidence, while IX-4 adds reviewed test suggestions, IX-5 adds explainable risk evidence, and IX-6 adds private grounded conversations, and IX-7 completes versioned evidence feeds for CarSystemUI and dashboard consumers without a paid service, model download, network call, or GPU.</w:t>
      </w:r>
    </w:p>
    <w:tbl>
      <w:tblPr>
        <w:tblStyle w:val="TableGrid"/>
        <w:tblW w:type="auto" w:w="0"/>
        <w:tblLook w:firstColumn="1" w:firstRow="1" w:lastColumn="0" w:lastRow="0" w:noHBand="0" w:noVBand="1" w:val="04A0"/>
      </w:tblPr>
      <w:tblGrid>
        <w:gridCol w:w="5040"/>
        <w:gridCol w:w="5040"/>
      </w:tblGrid>
      <w:tr>
        <w:trPr>
          <w:tblHeader w:val="true"/>
        </w:trPr>
        <w:tc>
          <w:tcPr>
            <w:tcW w:type="dxa" w:w="2304"/>
            <w:shd w:fill="1F4E78"/>
            <w:vAlign w:val="center"/>
          </w:tcPr>
          <w:p>
            <w:r>
              <w:rPr>
                <w:b/>
                <w:color w:val="FFFFFF"/>
              </w:rPr>
              <w:t>Field</w:t>
            </w:r>
          </w:p>
        </w:tc>
        <w:tc>
          <w:tcPr>
            <w:tcW w:type="dxa" w:w="7488"/>
            <w:shd w:fill="1F4E78"/>
            <w:vAlign w:val="center"/>
          </w:tcPr>
          <w:p>
            <w:r>
              <w:rPr>
                <w:b/>
                <w:color w:val="FFFFFF"/>
              </w:rPr>
              <w:t>Value</w:t>
            </w:r>
          </w:p>
        </w:tc>
      </w:tr>
      <w:tr>
        <w:trPr>
          <w:cantSplit/>
        </w:trPr>
        <w:tc>
          <w:tcPr>
            <w:tcW w:type="dxa" w:w="2304"/>
            <w:vAlign w:val="center"/>
          </w:tcPr>
          <w:p>
            <w:r>
              <w:t>Status</w:t>
            </w:r>
          </w:p>
        </w:tc>
        <w:tc>
          <w:tcPr>
            <w:tcW w:type="dxa" w:w="7488"/>
            <w:vAlign w:val="center"/>
          </w:tcPr>
          <w:p>
            <w:r>
              <w:t>Volume IX complete through IX-7</w:t>
            </w:r>
          </w:p>
        </w:tc>
      </w:tr>
      <w:tr>
        <w:trPr>
          <w:cantSplit/>
        </w:trPr>
        <w:tc>
          <w:tcPr>
            <w:tcW w:type="dxa" w:w="2304"/>
            <w:vAlign w:val="center"/>
            <w:shd w:fill="EAF1F8"/>
          </w:tcPr>
          <w:p>
            <w:r>
              <w:t>Cost</w:t>
            </w:r>
          </w:p>
        </w:tc>
        <w:tc>
          <w:tcPr>
            <w:tcW w:type="dxa" w:w="7488"/>
            <w:vAlign w:val="center"/>
            <w:shd w:fill="EAF1F8"/>
          </w:tcPr>
          <w:p>
            <w:r>
              <w:t>Local first and no paid dependency</w:t>
            </w:r>
          </w:p>
        </w:tc>
      </w:tr>
      <w:tr>
        <w:trPr>
          <w:cantSplit/>
        </w:trPr>
        <w:tc>
          <w:tcPr>
            <w:tcW w:type="dxa" w:w="2304"/>
            <w:vAlign w:val="center"/>
          </w:tcPr>
          <w:p>
            <w:r>
              <w:t>Migrations</w:t>
            </w:r>
          </w:p>
        </w:tc>
        <w:tc>
          <w:tcPr>
            <w:tcW w:type="dxa" w:w="7488"/>
            <w:vAlign w:val="center"/>
          </w:tcPr>
          <w:p>
            <w:r>
              <w:t>0057 foundation through 0064 evidence projections</w:t>
            </w:r>
          </w:p>
        </w:tc>
      </w:tr>
      <w:tr>
        <w:trPr>
          <w:cantSplit/>
        </w:trPr>
        <w:tc>
          <w:tcPr>
            <w:tcW w:type="dxa" w:w="2304"/>
            <w:vAlign w:val="center"/>
            <w:shd w:fill="EAF1F8"/>
          </w:tcPr>
          <w:p>
            <w:r>
              <w:t>Next</w:t>
            </w:r>
          </w:p>
        </w:tc>
        <w:tc>
          <w:tcPr>
            <w:tcW w:type="dxa" w:w="7488"/>
            <w:vAlign w:val="center"/>
            <w:shd w:fill="EAF1F8"/>
          </w:tcPr>
          <w:p>
            <w:r>
              <w:t>Volume X dashboard consumption</w:t>
            </w:r>
          </w:p>
        </w:tc>
      </w:tr>
    </w:tbl>
    <w:p/>
    <w:p>
      <w:pPr>
        <w:pStyle w:val="Heading1"/>
      </w:pPr>
      <w:r>
        <w:t>1 Scope and Architecture</w:t>
      </w:r>
    </w:p>
    <w:p>
      <w:r>
        <w:t>FastAPI accepts bounded provider-neutral requests. A domain service applies idempotency and data-classification policy. PostgreSQL preserves queued intent, while RBAC, audit, and outbox evidence provide a traceable boundary. A synchronous application worker uses versioned local rules behind the same interface reserved for future adapters.</w:t>
      </w:r>
    </w:p>
    <w:tbl>
      <w:tblPr>
        <w:tblStyle w:val="TableGrid"/>
        <w:tblW w:type="auto" w:w="0"/>
        <w:tblLook w:firstColumn="1" w:firstRow="1" w:lastColumn="0" w:lastRow="0" w:noHBand="0" w:noVBand="1" w:val="04A0"/>
      </w:tblPr>
      <w:tblGrid>
        <w:gridCol w:w="5040"/>
        <w:gridCol w:w="5040"/>
      </w:tblGrid>
      <w:tr>
        <w:trPr>
          <w:tblHeader w:val="true"/>
        </w:trPr>
        <w:tc>
          <w:tcPr>
            <w:tcW w:type="dxa" w:w="2448"/>
            <w:shd w:fill="1F4E78"/>
            <w:vAlign w:val="center"/>
          </w:tcPr>
          <w:p>
            <w:r>
              <w:rPr>
                <w:b/>
                <w:color w:val="FFFFFF"/>
              </w:rPr>
              <w:t>Layer</w:t>
            </w:r>
          </w:p>
        </w:tc>
        <w:tc>
          <w:tcPr>
            <w:tcW w:type="dxa" w:w="7344"/>
            <w:shd w:fill="1F4E78"/>
            <w:vAlign w:val="center"/>
          </w:tcPr>
          <w:p>
            <w:r>
              <w:rPr>
                <w:b/>
                <w:color w:val="FFFFFF"/>
              </w:rPr>
              <w:t>Responsibility</w:t>
            </w:r>
          </w:p>
        </w:tc>
      </w:tr>
      <w:tr>
        <w:trPr>
          <w:cantSplit/>
        </w:trPr>
        <w:tc>
          <w:tcPr>
            <w:tcW w:type="dxa" w:w="2448"/>
            <w:vAlign w:val="center"/>
          </w:tcPr>
          <w:p>
            <w:r>
              <w:t>API</w:t>
            </w:r>
          </w:p>
        </w:tc>
        <w:tc>
          <w:tcPr>
            <w:tcW w:type="dxa" w:w="7344"/>
            <w:vAlign w:val="center"/>
          </w:tcPr>
          <w:p>
            <w:r>
              <w:t>Validation, pagination, filtering, and RBAC</w:t>
            </w:r>
          </w:p>
        </w:tc>
      </w:tr>
      <w:tr>
        <w:trPr>
          <w:cantSplit/>
        </w:trPr>
        <w:tc>
          <w:tcPr>
            <w:tcW w:type="dxa" w:w="2448"/>
            <w:vAlign w:val="center"/>
            <w:shd w:fill="EAF1F8"/>
          </w:tcPr>
          <w:p>
            <w:r>
              <w:t>Domain service</w:t>
            </w:r>
          </w:p>
        </w:tc>
        <w:tc>
          <w:tcPr>
            <w:tcW w:type="dxa" w:w="7344"/>
            <w:vAlign w:val="center"/>
            <w:shd w:fill="EAF1F8"/>
          </w:tcPr>
          <w:p>
            <w:r>
              <w:t>Policy, idempotency, audit, and outbox</w:t>
            </w:r>
          </w:p>
        </w:tc>
      </w:tr>
      <w:tr>
        <w:trPr>
          <w:cantSplit/>
        </w:trPr>
        <w:tc>
          <w:tcPr>
            <w:tcW w:type="dxa" w:w="2448"/>
            <w:vAlign w:val="center"/>
          </w:tcPr>
          <w:p>
            <w:r>
              <w:t>PostgreSQL</w:t>
            </w:r>
          </w:p>
        </w:tc>
        <w:tc>
          <w:tcPr>
            <w:tcW w:type="dxa" w:w="7344"/>
            <w:vAlign w:val="center"/>
          </w:tcPr>
          <w:p>
            <w:r>
              <w:t>Immutable request intent, attempts, results, and lifecycle</w:t>
            </w:r>
          </w:p>
        </w:tc>
      </w:tr>
      <w:tr>
        <w:trPr>
          <w:cantSplit/>
        </w:trPr>
        <w:tc>
          <w:tcPr>
            <w:tcW w:type="dxa" w:w="2448"/>
            <w:vAlign w:val="center"/>
            <w:shd w:fill="EAF1F8"/>
          </w:tcPr>
          <w:p>
            <w:r>
              <w:t>Local worker</w:t>
            </w:r>
          </w:p>
        </w:tc>
        <w:tc>
          <w:tcPr>
            <w:tcW w:type="dxa" w:w="7344"/>
            <w:vAlign w:val="center"/>
            <w:shd w:fill="EAF1F8"/>
          </w:tcPr>
          <w:p>
            <w:r>
              <w:t>Deterministic versioned rules and safe failure handling</w:t>
            </w:r>
          </w:p>
        </w:tc>
      </w:tr>
      <w:tr>
        <w:trPr>
          <w:cantSplit/>
        </w:trPr>
        <w:tc>
          <w:tcPr>
            <w:tcW w:type="dxa" w:w="2448"/>
            <w:vAlign w:val="center"/>
          </w:tcPr>
          <w:p>
            <w:r>
              <w:t>Adapter boundary</w:t>
            </w:r>
          </w:p>
        </w:tc>
        <w:tc>
          <w:tcPr>
            <w:tcW w:type="dxa" w:w="7344"/>
            <w:vAlign w:val="center"/>
          </w:tcPr>
          <w:p>
            <w:r>
              <w:t>Common interface with unknown providers disabled</w:t>
            </w:r>
          </w:p>
        </w:tc>
      </w:tr>
      <w:tr>
        <w:trPr>
          <w:cantSplit/>
        </w:trPr>
        <w:tc>
          <w:tcPr>
            <w:tcW w:type="dxa" w:w="2448"/>
            <w:vAlign w:val="center"/>
            <w:shd w:fill="EAF1F8"/>
          </w:tcPr>
          <w:p>
            <w:r>
              <w:t>Log intelligence</w:t>
            </w:r>
          </w:p>
        </w:tc>
        <w:tc>
          <w:tcPr>
            <w:tcW w:type="dxa" w:w="7344"/>
            <w:vAlign w:val="center"/>
            <w:shd w:fill="EAF1F8"/>
          </w:tcPr>
          <w:p>
            <w:r>
              <w:t>Sanitization, timeline, clustering, anomalies, and explanation</w:t>
            </w:r>
          </w:p>
        </w:tc>
      </w:tr>
      <w:tr>
        <w:trPr>
          <w:cantSplit/>
        </w:trPr>
        <w:tc>
          <w:tcPr>
            <w:tcW w:type="dxa" w:w="2448"/>
            <w:vAlign w:val="center"/>
          </w:tcPr>
          <w:p>
            <w:r>
              <w:t>Test generation</w:t>
            </w:r>
          </w:p>
        </w:tc>
        <w:tc>
          <w:tcPr>
            <w:tcW w:type="dxa" w:w="7344"/>
            <w:vAlign w:val="center"/>
          </w:tcPr>
          <w:p>
            <w:r>
              <w:t>Requirement-aware draft, human review, and catalog promotion</w:t>
            </w:r>
          </w:p>
        </w:tc>
      </w:tr>
      <w:tr>
        <w:trPr>
          <w:cantSplit/>
        </w:trPr>
        <w:tc>
          <w:tcPr>
            <w:tcW w:type="dxa" w:w="2448"/>
            <w:vAlign w:val="center"/>
            <w:shd w:fill="EAF1F8"/>
          </w:tcPr>
          <w:p>
            <w:r>
              <w:t>Root cause and risk</w:t>
            </w:r>
          </w:p>
        </w:tc>
        <w:tc>
          <w:tcPr>
            <w:tcW w:type="dxa" w:w="7344"/>
            <w:vAlign w:val="center"/>
            <w:shd w:fill="EAF1F8"/>
          </w:tcPr>
          <w:p>
            <w:r>
              <w:t>Evidence ranking, risk score, and prediction evaluation</w:t>
            </w:r>
          </w:p>
        </w:tc>
      </w:tr>
      <w:tr>
        <w:trPr>
          <w:cantSplit/>
        </w:trPr>
        <w:tc>
          <w:tcPr>
            <w:tcW w:type="dxa" w:w="2448"/>
            <w:vAlign w:val="center"/>
          </w:tcPr>
          <w:p>
            <w:r>
              <w:t>Internal chat</w:t>
            </w:r>
          </w:p>
        </w:tc>
        <w:tc>
          <w:tcPr>
            <w:tcW w:type="dxa" w:w="7344"/>
            <w:vAlign w:val="center"/>
          </w:tcPr>
          <w:p>
            <w:r>
              <w:t>Private cited exchanges with bounded retention</w:t>
            </w:r>
          </w:p>
        </w:tc>
      </w:tr>
      <w:tr>
        <w:trPr>
          <w:cantSplit/>
        </w:trPr>
        <w:tc>
          <w:tcPr>
            <w:tcW w:type="dxa" w:w="2448"/>
            <w:vAlign w:val="center"/>
            <w:shd w:fill="EAF1F8"/>
          </w:tcPr>
          <w:p>
            <w:r>
              <w:t>Evidence projections</w:t>
            </w:r>
          </w:p>
        </w:tc>
        <w:tc>
          <w:tcPr>
            <w:tcW w:type="dxa" w:w="7344"/>
            <w:vAlign w:val="center"/>
            <w:shd w:fill="EAF1F8"/>
          </w:tcPr>
          <w:p>
            <w:r>
              <w:t>Versioned read-only cards for vehicle UI and dashboard</w:t>
            </w:r>
          </w:p>
        </w:tc>
      </w:tr>
    </w:tbl>
    <w:p/>
    <w:p>
      <w:pPr>
        <w:pStyle w:val="Heading1"/>
      </w:pPr>
      <w:r>
        <w:t>2 Contract and Governance</w:t>
      </w:r>
    </w:p>
    <w:tbl>
      <w:tblPr>
        <w:tblStyle w:val="TableGrid"/>
        <w:tblW w:type="auto" w:w="0"/>
        <w:tblLook w:firstColumn="1" w:firstRow="1" w:lastColumn="0" w:lastRow="0" w:noHBand="0" w:noVBand="1" w:val="04A0"/>
      </w:tblPr>
      <w:tblGrid>
        <w:gridCol w:w="3360"/>
        <w:gridCol w:w="3360"/>
        <w:gridCol w:w="3360"/>
      </w:tblGrid>
      <w:tr>
        <w:trPr>
          <w:tblHeader w:val="true"/>
        </w:trPr>
        <w:tc>
          <w:tcPr>
            <w:tcW w:type="dxa" w:w="2232"/>
            <w:shd w:fill="1F4E78"/>
            <w:vAlign w:val="center"/>
          </w:tcPr>
          <w:p>
            <w:r>
              <w:rPr>
                <w:b/>
                <w:color w:val="FFFFFF"/>
              </w:rPr>
              <w:t>Control</w:t>
            </w:r>
          </w:p>
        </w:tc>
        <w:tc>
          <w:tcPr>
            <w:tcW w:type="dxa" w:w="3240"/>
            <w:shd w:fill="1F4E78"/>
            <w:vAlign w:val="center"/>
          </w:tcPr>
          <w:p>
            <w:r>
              <w:rPr>
                <w:b/>
                <w:color w:val="FFFFFF"/>
              </w:rPr>
              <w:t>Rule</w:t>
            </w:r>
          </w:p>
        </w:tc>
        <w:tc>
          <w:tcPr>
            <w:tcW w:type="dxa" w:w="4320"/>
            <w:shd w:fill="1F4E78"/>
            <w:vAlign w:val="center"/>
          </w:tcPr>
          <w:p>
            <w:r>
              <w:rPr>
                <w:b/>
                <w:color w:val="FFFFFF"/>
              </w:rPr>
              <w:t>Purpose</w:t>
            </w:r>
          </w:p>
        </w:tc>
      </w:tr>
      <w:tr>
        <w:trPr>
          <w:cantSplit/>
        </w:trPr>
        <w:tc>
          <w:tcPr>
            <w:tcW w:type="dxa" w:w="2232"/>
            <w:vAlign w:val="center"/>
          </w:tcPr>
          <w:p>
            <w:r>
              <w:t>Provider policy</w:t>
            </w:r>
          </w:p>
        </w:tc>
        <w:tc>
          <w:tcPr>
            <w:tcW w:type="dxa" w:w="3240"/>
            <w:vAlign w:val="center"/>
          </w:tcPr>
          <w:p>
            <w:r>
              <w:t>Local only by default</w:t>
            </w:r>
          </w:p>
        </w:tc>
        <w:tc>
          <w:tcPr>
            <w:tcW w:type="dxa" w:w="4320"/>
            <w:vAlign w:val="center"/>
          </w:tcPr>
          <w:p>
            <w:r>
              <w:t>No mandatory external cost or data egress</w:t>
            </w:r>
          </w:p>
        </w:tc>
      </w:tr>
      <w:tr>
        <w:trPr>
          <w:cantSplit/>
        </w:trPr>
        <w:tc>
          <w:tcPr>
            <w:tcW w:type="dxa" w:w="2232"/>
            <w:vAlign w:val="center"/>
            <w:shd w:fill="EAF1F8"/>
          </w:tcPr>
          <w:p>
            <w:r>
              <w:t>Classification</w:t>
            </w:r>
          </w:p>
        </w:tc>
        <w:tc>
          <w:tcPr>
            <w:tcW w:type="dxa" w:w="3240"/>
            <w:vAlign w:val="center"/>
            <w:shd w:fill="EAF1F8"/>
          </w:tcPr>
          <w:p>
            <w:r>
              <w:t>Restricted requires local only</w:t>
            </w:r>
          </w:p>
        </w:tc>
        <w:tc>
          <w:tcPr>
            <w:tcW w:type="dxa" w:w="4320"/>
            <w:vAlign w:val="center"/>
            <w:shd w:fill="EAF1F8"/>
          </w:tcPr>
          <w:p>
            <w:r>
              <w:t>Prevent unsafe transmission</w:t>
            </w:r>
          </w:p>
        </w:tc>
      </w:tr>
      <w:tr>
        <w:trPr>
          <w:cantSplit/>
        </w:trPr>
        <w:tc>
          <w:tcPr>
            <w:tcW w:type="dxa" w:w="2232"/>
            <w:vAlign w:val="center"/>
          </w:tcPr>
          <w:p>
            <w:r>
              <w:t>Context</w:t>
            </w:r>
          </w:p>
        </w:tc>
        <w:tc>
          <w:tcPr>
            <w:tcW w:type="dxa" w:w="3240"/>
            <w:vAlign w:val="center"/>
          </w:tcPr>
          <w:p>
            <w:r>
              <w:t>16384 encoded bytes</w:t>
            </w:r>
          </w:p>
        </w:tc>
        <w:tc>
          <w:tcPr>
            <w:tcW w:type="dxa" w:w="4320"/>
            <w:vAlign w:val="center"/>
          </w:tcPr>
          <w:p>
            <w:r>
              <w:t>Bound storage and processing</w:t>
            </w:r>
          </w:p>
        </w:tc>
      </w:tr>
      <w:tr>
        <w:trPr>
          <w:cantSplit/>
        </w:trPr>
        <w:tc>
          <w:tcPr>
            <w:tcW w:type="dxa" w:w="2232"/>
            <w:vAlign w:val="center"/>
            <w:shd w:fill="EAF1F8"/>
          </w:tcPr>
          <w:p>
            <w:r>
              <w:t>Evidence</w:t>
            </w:r>
          </w:p>
        </w:tc>
        <w:tc>
          <w:tcPr>
            <w:tcW w:type="dxa" w:w="3240"/>
            <w:vAlign w:val="center"/>
            <w:shd w:fill="EAF1F8"/>
          </w:tcPr>
          <w:p>
            <w:r>
              <w:t>50 unique references</w:t>
            </w:r>
          </w:p>
        </w:tc>
        <w:tc>
          <w:tcPr>
            <w:tcW w:type="dxa" w:w="4320"/>
            <w:vAlign w:val="center"/>
            <w:shd w:fill="EAF1F8"/>
          </w:tcPr>
          <w:p>
            <w:r>
              <w:t>Reference artifacts without copying them</w:t>
            </w:r>
          </w:p>
        </w:tc>
      </w:tr>
      <w:tr>
        <w:trPr>
          <w:cantSplit/>
        </w:trPr>
        <w:tc>
          <w:tcPr>
            <w:tcW w:type="dxa" w:w="2232"/>
            <w:vAlign w:val="center"/>
          </w:tcPr>
          <w:p>
            <w:r>
              <w:t>Authority</w:t>
            </w:r>
          </w:p>
        </w:tc>
        <w:tc>
          <w:tcPr>
            <w:tcW w:type="dxa" w:w="3240"/>
            <w:vAlign w:val="center"/>
          </w:tcPr>
          <w:p>
            <w:r>
              <w:t>AI remains advisory</w:t>
            </w:r>
          </w:p>
        </w:tc>
        <w:tc>
          <w:tcPr>
            <w:tcW w:type="dxa" w:w="4320"/>
            <w:vAlign w:val="center"/>
          </w:tcPr>
          <w:p>
            <w:r>
              <w:t>Prevent direct vehicle or test mutation</w:t>
            </w:r>
          </w:p>
        </w:tc>
      </w:tr>
    </w:tbl>
    <w:p/>
    <w:p>
      <w:pPr>
        <w:pStyle w:val="Heading1"/>
      </w:pPr>
      <w:r>
        <w:t>3 Tasks and Subjects</w:t>
      </w:r>
    </w:p>
    <w:tbl>
      <w:tblPr>
        <w:tblStyle w:val="TableGrid"/>
        <w:tblW w:type="auto" w:w="0"/>
        <w:tblLook w:firstColumn="1" w:firstRow="1" w:lastColumn="0" w:lastRow="0" w:noHBand="0" w:noVBand="1" w:val="04A0"/>
      </w:tblPr>
      <w:tblGrid>
        <w:gridCol w:w="5040"/>
        <w:gridCol w:w="5040"/>
      </w:tblGrid>
      <w:tr>
        <w:trPr>
          <w:tblHeader w:val="true"/>
        </w:trPr>
        <w:tc>
          <w:tcPr>
            <w:tcW w:type="dxa" w:w="2232"/>
            <w:shd w:fill="1F4E78"/>
            <w:vAlign w:val="center"/>
          </w:tcPr>
          <w:p>
            <w:r>
              <w:rPr>
                <w:b/>
                <w:color w:val="FFFFFF"/>
              </w:rPr>
              <w:t>Dimension</w:t>
            </w:r>
          </w:p>
        </w:tc>
        <w:tc>
          <w:tcPr>
            <w:tcW w:type="dxa" w:w="7560"/>
            <w:shd w:fill="1F4E78"/>
            <w:vAlign w:val="center"/>
          </w:tcPr>
          <w:p>
            <w:r>
              <w:rPr>
                <w:b/>
                <w:color w:val="FFFFFF"/>
              </w:rPr>
              <w:t>Supported values</w:t>
            </w:r>
          </w:p>
        </w:tc>
      </w:tr>
      <w:tr>
        <w:trPr>
          <w:cantSplit/>
        </w:trPr>
        <w:tc>
          <w:tcPr>
            <w:tcW w:type="dxa" w:w="2232"/>
            <w:vAlign w:val="center"/>
          </w:tcPr>
          <w:p>
            <w:r>
              <w:t>Tasks</w:t>
            </w:r>
          </w:p>
        </w:tc>
        <w:tc>
          <w:tcPr>
            <w:tcW w:type="dxa" w:w="7560"/>
            <w:vAlign w:val="center"/>
          </w:tcPr>
          <w:p>
            <w:r>
              <w:t>Log analysis, failure explanation, test suggestion, root cause, risk analysis</w:t>
            </w:r>
          </w:p>
        </w:tc>
      </w:tr>
      <w:tr>
        <w:trPr>
          <w:cantSplit/>
        </w:trPr>
        <w:tc>
          <w:tcPr>
            <w:tcW w:type="dxa" w:w="2232"/>
            <w:vAlign w:val="center"/>
            <w:shd w:fill="EAF1F8"/>
          </w:tcPr>
          <w:p>
            <w:r>
              <w:t>Subjects</w:t>
            </w:r>
          </w:p>
        </w:tc>
        <w:tc>
          <w:tcPr>
            <w:tcW w:type="dxa" w:w="7560"/>
            <w:vAlign w:val="center"/>
            <w:shd w:fill="EAF1F8"/>
          </w:tcPr>
          <w:p>
            <w:r>
              <w:t>Test run, automation report, fault execution, mutation execution</w:t>
            </w:r>
          </w:p>
        </w:tc>
      </w:tr>
      <w:tr>
        <w:trPr>
          <w:cantSplit/>
        </w:trPr>
        <w:tc>
          <w:tcPr>
            <w:tcW w:type="dxa" w:w="2232"/>
            <w:vAlign w:val="center"/>
          </w:tcPr>
          <w:p>
            <w:r>
              <w:t>Lifecycle</w:t>
            </w:r>
          </w:p>
        </w:tc>
        <w:tc>
          <w:tcPr>
            <w:tcW w:type="dxa" w:w="7560"/>
            <w:vAlign w:val="center"/>
          </w:tcPr>
          <w:p>
            <w:r>
              <w:t>Queued, running, succeeded, or failed with three attempts maximum</w:t>
            </w:r>
          </w:p>
        </w:tc>
      </w:tr>
    </w:tbl>
    <w:p/>
    <w:p>
      <w:pPr>
        <w:pStyle w:val="Heading1"/>
      </w:pPr>
      <w:r>
        <w:t>4 Deterministic Worker</w:t>
      </w:r>
    </w:p>
    <w:p>
      <w:r>
        <w:t>The local-rules-v1 adapter evaluates only structured facts supplied in the governed request. It identifies DTC presence, positive failure counts, and failed performance thresholds. A no-match result states that no deterministic signal was found instead of inventing a conclusion.</w:t>
      </w:r>
    </w:p>
    <w:tbl>
      <w:tblPr>
        <w:tblStyle w:val="TableGrid"/>
        <w:tblW w:type="auto" w:w="0"/>
        <w:tblLook w:firstColumn="1" w:firstRow="1" w:lastColumn="0" w:lastRow="0" w:noHBand="0" w:noVBand="1" w:val="04A0"/>
      </w:tblPr>
      <w:tblGrid>
        <w:gridCol w:w="3360"/>
        <w:gridCol w:w="3360"/>
        <w:gridCol w:w="3360"/>
      </w:tblGrid>
      <w:tr>
        <w:trPr>
          <w:tblHeader w:val="true"/>
        </w:trPr>
        <w:tc>
          <w:tcPr>
            <w:tcW w:type="dxa" w:w="2232"/>
            <w:shd w:fill="1F4E78"/>
            <w:vAlign w:val="center"/>
          </w:tcPr>
          <w:p>
            <w:r>
              <w:rPr>
                <w:b/>
                <w:color w:val="FFFFFF"/>
              </w:rPr>
              <w:t>Control</w:t>
            </w:r>
          </w:p>
        </w:tc>
        <w:tc>
          <w:tcPr>
            <w:tcW w:type="dxa" w:w="2952"/>
            <w:shd w:fill="1F4E78"/>
            <w:vAlign w:val="center"/>
          </w:tcPr>
          <w:p>
            <w:r>
              <w:rPr>
                <w:b/>
                <w:color w:val="FFFFFF"/>
              </w:rPr>
              <w:t>Bound</w:t>
            </w:r>
          </w:p>
        </w:tc>
        <w:tc>
          <w:tcPr>
            <w:tcW w:type="dxa" w:w="4608"/>
            <w:shd w:fill="1F4E78"/>
            <w:vAlign w:val="center"/>
          </w:tcPr>
          <w:p>
            <w:r>
              <w:rPr>
                <w:b/>
                <w:color w:val="FFFFFF"/>
              </w:rPr>
              <w:t>Engineering purpose</w:t>
            </w:r>
          </w:p>
        </w:tc>
      </w:tr>
      <w:tr>
        <w:trPr>
          <w:cantSplit/>
        </w:trPr>
        <w:tc>
          <w:tcPr>
            <w:tcW w:type="dxa" w:w="2232"/>
            <w:vAlign w:val="center"/>
          </w:tcPr>
          <w:p>
            <w:r>
              <w:t>Attempts</w:t>
            </w:r>
          </w:p>
        </w:tc>
        <w:tc>
          <w:tcPr>
            <w:tcW w:type="dxa" w:w="2952"/>
            <w:vAlign w:val="center"/>
          </w:tcPr>
          <w:p>
            <w:r>
              <w:t>Three per request</w:t>
            </w:r>
          </w:p>
        </w:tc>
        <w:tc>
          <w:tcPr>
            <w:tcW w:type="dxa" w:w="4608"/>
            <w:vAlign w:val="center"/>
          </w:tcPr>
          <w:p>
            <w:r>
              <w:t>Bound retries and resource exposure</w:t>
            </w:r>
          </w:p>
        </w:tc>
      </w:tr>
      <w:tr>
        <w:trPr>
          <w:cantSplit/>
        </w:trPr>
        <w:tc>
          <w:tcPr>
            <w:tcW w:type="dxa" w:w="2232"/>
            <w:vAlign w:val="center"/>
            <w:shd w:fill="EAF1F8"/>
          </w:tcPr>
          <w:p>
            <w:r>
              <w:t>Execution identity</w:t>
            </w:r>
          </w:p>
        </w:tc>
        <w:tc>
          <w:tcPr>
            <w:tcW w:type="dxa" w:w="2952"/>
            <w:vAlign w:val="center"/>
            <w:shd w:fill="EAF1F8"/>
          </w:tcPr>
          <w:p>
            <w:r>
              <w:t>Idempotent</w:t>
            </w:r>
          </w:p>
        </w:tc>
        <w:tc>
          <w:tcPr>
            <w:tcW w:type="dxa" w:w="4608"/>
            <w:vAlign w:val="center"/>
            <w:shd w:fill="EAF1F8"/>
          </w:tcPr>
          <w:p>
            <w:r>
              <w:t>Make worker delivery retry safe</w:t>
            </w:r>
          </w:p>
        </w:tc>
      </w:tr>
      <w:tr>
        <w:trPr>
          <w:cantSplit/>
        </w:trPr>
        <w:tc>
          <w:tcPr>
            <w:tcW w:type="dxa" w:w="2232"/>
            <w:vAlign w:val="center"/>
          </w:tcPr>
          <w:p>
            <w:r>
              <w:t>Evidence</w:t>
            </w:r>
          </w:p>
        </w:tc>
        <w:tc>
          <w:tcPr>
            <w:tcW w:type="dxa" w:w="2952"/>
            <w:vAlign w:val="center"/>
          </w:tcPr>
          <w:p>
            <w:r>
              <w:t>Request references only</w:t>
            </w:r>
          </w:p>
        </w:tc>
        <w:tc>
          <w:tcPr>
            <w:tcW w:type="dxa" w:w="4608"/>
            <w:vAlign w:val="center"/>
          </w:tcPr>
          <w:p>
            <w:r>
              <w:t>Keep conclusions reviewable</w:t>
            </w:r>
          </w:p>
        </w:tc>
      </w:tr>
      <w:tr>
        <w:trPr>
          <w:cantSplit/>
        </w:trPr>
        <w:tc>
          <w:tcPr>
            <w:tcW w:type="dxa" w:w="2232"/>
            <w:vAlign w:val="center"/>
            <w:shd w:fill="EAF1F8"/>
          </w:tcPr>
          <w:p>
            <w:r>
              <w:t>Failure</w:t>
            </w:r>
          </w:p>
        </w:tc>
        <w:tc>
          <w:tcPr>
            <w:tcW w:type="dxa" w:w="2952"/>
            <w:vAlign w:val="center"/>
            <w:shd w:fill="EAF1F8"/>
          </w:tcPr>
          <w:p>
            <w:r>
              <w:t>Stable adapter_failure</w:t>
            </w:r>
          </w:p>
        </w:tc>
        <w:tc>
          <w:tcPr>
            <w:tcW w:type="dxa" w:w="4608"/>
            <w:vAlign w:val="center"/>
            <w:shd w:fill="EAF1F8"/>
          </w:tcPr>
          <w:p>
            <w:r>
              <w:t>Avoid leaking internal exception details</w:t>
            </w:r>
          </w:p>
        </w:tc>
      </w:tr>
      <w:tr>
        <w:trPr>
          <w:cantSplit/>
        </w:trPr>
        <w:tc>
          <w:tcPr>
            <w:tcW w:type="dxa" w:w="2232"/>
            <w:vAlign w:val="center"/>
          </w:tcPr>
          <w:p>
            <w:r>
              <w:t>Authority</w:t>
            </w:r>
          </w:p>
        </w:tc>
        <w:tc>
          <w:tcPr>
            <w:tcW w:type="dxa" w:w="2952"/>
            <w:vAlign w:val="center"/>
          </w:tcPr>
          <w:p>
            <w:r>
              <w:t>Advisory output</w:t>
            </w:r>
          </w:p>
        </w:tc>
        <w:tc>
          <w:tcPr>
            <w:tcW w:type="dxa" w:w="4608"/>
            <w:vAlign w:val="center"/>
          </w:tcPr>
          <w:p>
            <w:r>
              <w:t>Prevent direct state mutation</w:t>
            </w:r>
          </w:p>
        </w:tc>
      </w:tr>
    </w:tbl>
    <w:p/>
    <w:p>
      <w:pPr>
        <w:pStyle w:val="Heading1"/>
      </w:pPr>
      <w:r>
        <w:t>5 Provider Policy and Cost</w:t>
      </w:r>
    </w:p>
    <w:p>
      <w:r>
        <w:t>Only local-rules is enabled. Unknown providers are rejected before execution. Future external adapters must satisfy the request provider policy and data classification; restricted data can never leave the local boundary. IX-2 requires no API key, model, cloud account, network access, paid service, or GPU.</w:t>
      </w:r>
    </w:p>
    <w:p>
      <w:pPr>
        <w:pStyle w:val="Heading1"/>
      </w:pPr>
      <w:r>
        <w:t>6 Log Intelligence</w:t>
      </w:r>
    </w:p>
    <w:p>
      <w:r>
        <w:t>IX-3 accepts up to 500 timestamped lines, sanitizes sensitive values before persistence, orders timezone-aware events, and clusters messages after replacing volatile identifiers and numbers. Severe levels and repeated ten-second bursts become deterministic signals.</w:t>
      </w:r>
    </w:p>
    <w:tbl>
      <w:tblPr>
        <w:tblStyle w:val="TableGrid"/>
        <w:tblW w:type="auto" w:w="0"/>
        <w:tblLook w:firstColumn="1" w:firstRow="1" w:lastColumn="0" w:lastRow="0" w:noHBand="0" w:noVBand="1" w:val="04A0"/>
      </w:tblPr>
      <w:tblGrid>
        <w:gridCol w:w="3360"/>
        <w:gridCol w:w="3360"/>
        <w:gridCol w:w="3360"/>
      </w:tblGrid>
      <w:tr>
        <w:trPr>
          <w:tblHeader w:val="true"/>
        </w:trPr>
        <w:tc>
          <w:tcPr>
            <w:tcW w:type="dxa" w:w="2160"/>
            <w:shd w:fill="1F4E78"/>
            <w:vAlign w:val="center"/>
          </w:tcPr>
          <w:p>
            <w:r>
              <w:rPr>
                <w:b/>
                <w:color w:val="FFFFFF"/>
              </w:rPr>
              <w:t>Control</w:t>
            </w:r>
          </w:p>
        </w:tc>
        <w:tc>
          <w:tcPr>
            <w:tcW w:type="dxa" w:w="3096"/>
            <w:shd w:fill="1F4E78"/>
            <w:vAlign w:val="center"/>
          </w:tcPr>
          <w:p>
            <w:r>
              <w:rPr>
                <w:b/>
                <w:color w:val="FFFFFF"/>
              </w:rPr>
              <w:t>Bound</w:t>
            </w:r>
          </w:p>
        </w:tc>
        <w:tc>
          <w:tcPr>
            <w:tcW w:type="dxa" w:w="4536"/>
            <w:shd w:fill="1F4E78"/>
            <w:vAlign w:val="center"/>
          </w:tcPr>
          <w:p>
            <w:r>
              <w:rPr>
                <w:b/>
                <w:color w:val="FFFFFF"/>
              </w:rPr>
              <w:t>Engineering purpose</w:t>
            </w:r>
          </w:p>
        </w:tc>
      </w:tr>
      <w:tr>
        <w:trPr>
          <w:cantSplit/>
        </w:trPr>
        <w:tc>
          <w:tcPr>
            <w:tcW w:type="dxa" w:w="2160"/>
            <w:vAlign w:val="center"/>
          </w:tcPr>
          <w:p>
            <w:r>
              <w:t>Batch</w:t>
            </w:r>
          </w:p>
        </w:tc>
        <w:tc>
          <w:tcPr>
            <w:tcW w:type="dxa" w:w="3096"/>
            <w:vAlign w:val="center"/>
          </w:tcPr>
          <w:p>
            <w:r>
              <w:t>500 lines and 256000 bytes</w:t>
            </w:r>
          </w:p>
        </w:tc>
        <w:tc>
          <w:tcPr>
            <w:tcW w:type="dxa" w:w="4536"/>
            <w:vAlign w:val="center"/>
          </w:tcPr>
          <w:p>
            <w:r>
              <w:t>Bound memory and CPU exposure</w:t>
            </w:r>
          </w:p>
        </w:tc>
      </w:tr>
      <w:tr>
        <w:trPr>
          <w:cantSplit/>
        </w:trPr>
        <w:tc>
          <w:tcPr>
            <w:tcW w:type="dxa" w:w="2160"/>
            <w:vAlign w:val="center"/>
            <w:shd w:fill="EAF1F8"/>
          </w:tcPr>
          <w:p>
            <w:r>
              <w:t>Timeline</w:t>
            </w:r>
          </w:p>
        </w:tc>
        <w:tc>
          <w:tcPr>
            <w:tcW w:type="dxa" w:w="3096"/>
            <w:vAlign w:val="center"/>
            <w:shd w:fill="EAF1F8"/>
          </w:tcPr>
          <w:p>
            <w:r>
              <w:t>Seven days</w:t>
            </w:r>
          </w:p>
        </w:tc>
        <w:tc>
          <w:tcPr>
            <w:tcW w:type="dxa" w:w="4536"/>
            <w:vAlign w:val="center"/>
            <w:shd w:fill="EAF1F8"/>
          </w:tcPr>
          <w:p>
            <w:r>
              <w:t>Prevent misleading unbounded correlation</w:t>
            </w:r>
          </w:p>
        </w:tc>
      </w:tr>
      <w:tr>
        <w:trPr>
          <w:cantSplit/>
        </w:trPr>
        <w:tc>
          <w:tcPr>
            <w:tcW w:type="dxa" w:w="2160"/>
            <w:vAlign w:val="center"/>
          </w:tcPr>
          <w:p>
            <w:r>
              <w:t>Sanitization</w:t>
            </w:r>
          </w:p>
        </w:tc>
        <w:tc>
          <w:tcPr>
            <w:tcW w:type="dxa" w:w="3096"/>
            <w:vAlign w:val="center"/>
          </w:tcPr>
          <w:p>
            <w:r>
              <w:t>Credentials, email, and VIN</w:t>
            </w:r>
          </w:p>
        </w:tc>
        <w:tc>
          <w:tcPr>
            <w:tcW w:type="dxa" w:w="4536"/>
            <w:vAlign w:val="center"/>
          </w:tcPr>
          <w:p>
            <w:r>
              <w:t>Reduce sensitive-data persistence</w:t>
            </w:r>
          </w:p>
        </w:tc>
      </w:tr>
      <w:tr>
        <w:trPr>
          <w:cantSplit/>
        </w:trPr>
        <w:tc>
          <w:tcPr>
            <w:tcW w:type="dxa" w:w="2160"/>
            <w:vAlign w:val="center"/>
            <w:shd w:fill="EAF1F8"/>
          </w:tcPr>
          <w:p>
            <w:r>
              <w:t>Clustering</w:t>
            </w:r>
          </w:p>
        </w:tc>
        <w:tc>
          <w:tcPr>
            <w:tcW w:type="dxa" w:w="3096"/>
            <w:vAlign w:val="center"/>
            <w:shd w:fill="EAF1F8"/>
          </w:tcPr>
          <w:p>
            <w:r>
              <w:t>Normalized message fingerprint</w:t>
            </w:r>
          </w:p>
        </w:tc>
        <w:tc>
          <w:tcPr>
            <w:tcW w:type="dxa" w:w="4536"/>
            <w:vAlign w:val="center"/>
            <w:shd w:fill="EAF1F8"/>
          </w:tcPr>
          <w:p>
            <w:r>
              <w:t>Group changing IDs and values</w:t>
            </w:r>
          </w:p>
        </w:tc>
      </w:tr>
      <w:tr>
        <w:trPr>
          <w:cantSplit/>
        </w:trPr>
        <w:tc>
          <w:tcPr>
            <w:tcW w:type="dxa" w:w="2160"/>
            <w:vAlign w:val="center"/>
          </w:tcPr>
          <w:p>
            <w:r>
              <w:t>Explanation</w:t>
            </w:r>
          </w:p>
        </w:tc>
        <w:tc>
          <w:tcPr>
            <w:tcW w:type="dxa" w:w="3096"/>
            <w:vAlign w:val="center"/>
          </w:tcPr>
          <w:p>
            <w:r>
              <w:t>Line numbers and evidence refs</w:t>
            </w:r>
          </w:p>
        </w:tc>
        <w:tc>
          <w:tcPr>
            <w:tcW w:type="dxa" w:w="4536"/>
            <w:vAlign w:val="center"/>
          </w:tcPr>
          <w:p>
            <w:r>
              <w:t>Keep findings reviewable</w:t>
            </w:r>
          </w:p>
        </w:tc>
      </w:tr>
    </w:tbl>
    <w:p/>
    <w:p>
      <w:r>
        <w:t>Unsupported lines are counted without preserving their content. Explanations describe observed structure, severity, and proximity and explicitly avoid claiming causality.</w:t>
      </w:r>
    </w:p>
    <w:p>
      <w:pPr>
        <w:pStyle w:val="Heading1"/>
      </w:pPr>
      <w:r>
        <w:t>7 Governed Test Generation</w:t>
      </w:r>
    </w:p>
    <w:p>
      <w:r>
        <w:t>IX-4 creates deterministic catalog-compatible drafts from bounded requirement and evidence references. Review and promotion are separate versioned actions. Rejection preserves the reviewer and reason; approval alone does not create or activate a catalog resource.</w:t>
      </w:r>
    </w:p>
    <w:tbl>
      <w:tblPr>
        <w:tblStyle w:val="TableGrid"/>
        <w:tblW w:type="auto" w:w="0"/>
        <w:tblLook w:firstColumn="1" w:firstRow="1" w:lastColumn="0" w:lastRow="0" w:noHBand="0" w:noVBand="1" w:val="04A0"/>
      </w:tblPr>
      <w:tblGrid>
        <w:gridCol w:w="3360"/>
        <w:gridCol w:w="3360"/>
        <w:gridCol w:w="3360"/>
      </w:tblGrid>
      <w:tr>
        <w:trPr>
          <w:tblHeader w:val="true"/>
        </w:trPr>
        <w:tc>
          <w:tcPr>
            <w:tcW w:type="dxa" w:w="2160"/>
            <w:shd w:fill="1F4E78"/>
            <w:vAlign w:val="center"/>
          </w:tcPr>
          <w:p>
            <w:r>
              <w:rPr>
                <w:b/>
                <w:color w:val="FFFFFF"/>
              </w:rPr>
              <w:t>Control</w:t>
            </w:r>
          </w:p>
        </w:tc>
        <w:tc>
          <w:tcPr>
            <w:tcW w:type="dxa" w:w="3096"/>
            <w:shd w:fill="1F4E78"/>
            <w:vAlign w:val="center"/>
          </w:tcPr>
          <w:p>
            <w:r>
              <w:rPr>
                <w:b/>
                <w:color w:val="FFFFFF"/>
              </w:rPr>
              <w:t>Rule</w:t>
            </w:r>
          </w:p>
        </w:tc>
        <w:tc>
          <w:tcPr>
            <w:tcW w:type="dxa" w:w="4536"/>
            <w:shd w:fill="1F4E78"/>
            <w:vAlign w:val="center"/>
          </w:tcPr>
          <w:p>
            <w:r>
              <w:rPr>
                <w:b/>
                <w:color w:val="FFFFFF"/>
              </w:rPr>
              <w:t>Engineering purpose</w:t>
            </w:r>
          </w:p>
        </w:tc>
      </w:tr>
      <w:tr>
        <w:trPr>
          <w:cantSplit/>
        </w:trPr>
        <w:tc>
          <w:tcPr>
            <w:tcW w:type="dxa" w:w="2160"/>
            <w:vAlign w:val="center"/>
          </w:tcPr>
          <w:p>
            <w:r>
              <w:t>Requirements</w:t>
            </w:r>
          </w:p>
        </w:tc>
        <w:tc>
          <w:tcPr>
            <w:tcW w:type="dxa" w:w="3096"/>
            <w:vAlign w:val="center"/>
          </w:tcPr>
          <w:p>
            <w:r>
              <w:t>At least one bounded reference</w:t>
            </w:r>
          </w:p>
        </w:tc>
        <w:tc>
          <w:tcPr>
            <w:tcW w:type="dxa" w:w="4536"/>
            <w:vAlign w:val="center"/>
          </w:tcPr>
          <w:p>
            <w:r>
              <w:t>Preserve traceability</w:t>
            </w:r>
          </w:p>
        </w:tc>
      </w:tr>
      <w:tr>
        <w:trPr>
          <w:cantSplit/>
        </w:trPr>
        <w:tc>
          <w:tcPr>
            <w:tcW w:type="dxa" w:w="2160"/>
            <w:vAlign w:val="center"/>
            <w:shd w:fill="EAF1F8"/>
          </w:tcPr>
          <w:p>
            <w:r>
              <w:t>Review</w:t>
            </w:r>
          </w:p>
        </w:tc>
        <w:tc>
          <w:tcPr>
            <w:tcW w:type="dxa" w:w="3096"/>
            <w:vAlign w:val="center"/>
            <w:shd w:fill="EAF1F8"/>
          </w:tcPr>
          <w:p>
            <w:r>
              <w:t>Explicit approval or rejection</w:t>
            </w:r>
          </w:p>
        </w:tc>
        <w:tc>
          <w:tcPr>
            <w:tcW w:type="dxa" w:w="4536"/>
            <w:vAlign w:val="center"/>
            <w:shd w:fill="EAF1F8"/>
          </w:tcPr>
          <w:p>
            <w:r>
              <w:t>Retain human authority</w:t>
            </w:r>
          </w:p>
        </w:tc>
      </w:tr>
      <w:tr>
        <w:trPr>
          <w:cantSplit/>
        </w:trPr>
        <w:tc>
          <w:tcPr>
            <w:tcW w:type="dxa" w:w="2160"/>
            <w:vAlign w:val="center"/>
          </w:tcPr>
          <w:p>
            <w:r>
              <w:t>Concurrency</w:t>
            </w:r>
          </w:p>
        </w:tc>
        <w:tc>
          <w:tcPr>
            <w:tcW w:type="dxa" w:w="3096"/>
            <w:vAlign w:val="center"/>
          </w:tcPr>
          <w:p>
            <w:r>
              <w:t>Expected version</w:t>
            </w:r>
          </w:p>
        </w:tc>
        <w:tc>
          <w:tcPr>
            <w:tcW w:type="dxa" w:w="4536"/>
            <w:vAlign w:val="center"/>
          </w:tcPr>
          <w:p>
            <w:r>
              <w:t>Reject stale decisions</w:t>
            </w:r>
          </w:p>
        </w:tc>
      </w:tr>
      <w:tr>
        <w:trPr>
          <w:cantSplit/>
        </w:trPr>
        <w:tc>
          <w:tcPr>
            <w:tcW w:type="dxa" w:w="2160"/>
            <w:vAlign w:val="center"/>
            <w:shd w:fill="EAF1F8"/>
          </w:tcPr>
          <w:p>
            <w:r>
              <w:t>Promotion</w:t>
            </w:r>
          </w:p>
        </w:tc>
        <w:tc>
          <w:tcPr>
            <w:tcW w:type="dxa" w:w="3096"/>
            <w:vAlign w:val="center"/>
            <w:shd w:fill="EAF1F8"/>
          </w:tcPr>
          <w:p>
            <w:r>
              <w:t>Approved suggestions only</w:t>
            </w:r>
          </w:p>
        </w:tc>
        <w:tc>
          <w:tcPr>
            <w:tcW w:type="dxa" w:w="4536"/>
            <w:vAlign w:val="center"/>
            <w:shd w:fill="EAF1F8"/>
          </w:tcPr>
          <w:p>
            <w:r>
              <w:t>Prevent draft bypass</w:t>
            </w:r>
          </w:p>
        </w:tc>
      </w:tr>
      <w:tr>
        <w:trPr>
          <w:cantSplit/>
        </w:trPr>
        <w:tc>
          <w:tcPr>
            <w:tcW w:type="dxa" w:w="2160"/>
            <w:vAlign w:val="center"/>
          </w:tcPr>
          <w:p>
            <w:r>
              <w:t>Catalog state</w:t>
            </w:r>
          </w:p>
        </w:tc>
        <w:tc>
          <w:tcPr>
            <w:tcW w:type="dxa" w:w="3096"/>
            <w:vAlign w:val="center"/>
          </w:tcPr>
          <w:p>
            <w:r>
              <w:t>Definition remains draft</w:t>
            </w:r>
          </w:p>
        </w:tc>
        <w:tc>
          <w:tcPr>
            <w:tcW w:type="dxa" w:w="4536"/>
            <w:vAlign w:val="center"/>
          </w:tcPr>
          <w:p>
            <w:r>
              <w:t>Prevent automatic execution</w:t>
            </w:r>
          </w:p>
        </w:tc>
      </w:tr>
    </w:tbl>
    <w:p/>
    <w:p>
      <w:pPr>
        <w:pStyle w:val="Heading1"/>
      </w:pPr>
      <w:r>
        <w:t>8 Root Cause and Risk</w:t>
      </w:r>
    </w:p>
    <w:p>
      <w:r>
        <w:t>IX-5 ranks bounded signals that cite only evidence governed by the request. A transparent formula combines the highest hypothesis support, severity impact, and inverse detectability. The result prioritizes investigation and never asserts causality.</w:t>
      </w:r>
    </w:p>
    <w:tbl>
      <w:tblPr>
        <w:tblStyle w:val="TableGrid"/>
        <w:tblW w:type="auto" w:w="0"/>
        <w:tblLook w:firstColumn="1" w:firstRow="1" w:lastColumn="0" w:lastRow="0" w:noHBand="0" w:noVBand="1" w:val="04A0"/>
      </w:tblPr>
      <w:tblGrid>
        <w:gridCol w:w="3360"/>
        <w:gridCol w:w="3360"/>
        <w:gridCol w:w="3360"/>
      </w:tblGrid>
      <w:tr>
        <w:trPr>
          <w:tblHeader w:val="true"/>
        </w:trPr>
        <w:tc>
          <w:tcPr>
            <w:tcW w:type="dxa" w:w="2160"/>
            <w:shd w:fill="1F4E78"/>
            <w:vAlign w:val="center"/>
          </w:tcPr>
          <w:p>
            <w:r>
              <w:rPr>
                <w:b/>
                <w:color w:val="FFFFFF"/>
              </w:rPr>
              <w:t>Control</w:t>
            </w:r>
          </w:p>
        </w:tc>
        <w:tc>
          <w:tcPr>
            <w:tcW w:type="dxa" w:w="3096"/>
            <w:shd w:fill="1F4E78"/>
            <w:vAlign w:val="center"/>
          </w:tcPr>
          <w:p>
            <w:r>
              <w:rPr>
                <w:b/>
                <w:color w:val="FFFFFF"/>
              </w:rPr>
              <w:t>Rule</w:t>
            </w:r>
          </w:p>
        </w:tc>
        <w:tc>
          <w:tcPr>
            <w:tcW w:type="dxa" w:w="4536"/>
            <w:shd w:fill="1F4E78"/>
            <w:vAlign w:val="center"/>
          </w:tcPr>
          <w:p>
            <w:r>
              <w:rPr>
                <w:b/>
                <w:color w:val="FFFFFF"/>
              </w:rPr>
              <w:t>Engineering purpose</w:t>
            </w:r>
          </w:p>
        </w:tc>
      </w:tr>
      <w:tr>
        <w:trPr>
          <w:cantSplit/>
        </w:trPr>
        <w:tc>
          <w:tcPr>
            <w:tcW w:type="dxa" w:w="2160"/>
            <w:vAlign w:val="center"/>
          </w:tcPr>
          <w:p>
            <w:r>
              <w:t>Signals</w:t>
            </w:r>
          </w:p>
        </w:tc>
        <w:tc>
          <w:tcPr>
            <w:tcW w:type="dxa" w:w="3096"/>
            <w:vAlign w:val="center"/>
          </w:tcPr>
          <w:p>
            <w:r>
              <w:t>1 to 50 unique codes</w:t>
            </w:r>
          </w:p>
        </w:tc>
        <w:tc>
          <w:tcPr>
            <w:tcW w:type="dxa" w:w="4536"/>
            <w:vAlign w:val="center"/>
          </w:tcPr>
          <w:p>
            <w:r>
              <w:t>Bound processing and ambiguity</w:t>
            </w:r>
          </w:p>
        </w:tc>
      </w:tr>
      <w:tr>
        <w:trPr>
          <w:cantSplit/>
        </w:trPr>
        <w:tc>
          <w:tcPr>
            <w:tcW w:type="dxa" w:w="2160"/>
            <w:vAlign w:val="center"/>
            <w:shd w:fill="EAF1F8"/>
          </w:tcPr>
          <w:p>
            <w:r>
              <w:t>Evidence</w:t>
            </w:r>
          </w:p>
        </w:tc>
        <w:tc>
          <w:tcPr>
            <w:tcW w:type="dxa" w:w="3096"/>
            <w:vAlign w:val="center"/>
            <w:shd w:fill="EAF1F8"/>
          </w:tcPr>
          <w:p>
            <w:r>
              <w:t>Request references only</w:t>
            </w:r>
          </w:p>
        </w:tc>
        <w:tc>
          <w:tcPr>
            <w:tcW w:type="dxa" w:w="4536"/>
            <w:vAlign w:val="center"/>
            <w:shd w:fill="EAF1F8"/>
          </w:tcPr>
          <w:p>
            <w:r>
              <w:t>Prevent unsupported conclusions</w:t>
            </w:r>
          </w:p>
        </w:tc>
      </w:tr>
      <w:tr>
        <w:trPr>
          <w:cantSplit/>
        </w:trPr>
        <w:tc>
          <w:tcPr>
            <w:tcW w:type="dxa" w:w="2160"/>
            <w:vAlign w:val="center"/>
          </w:tcPr>
          <w:p>
            <w:r>
              <w:t>Risk</w:t>
            </w:r>
          </w:p>
        </w:tc>
        <w:tc>
          <w:tcPr>
            <w:tcW w:type="dxa" w:w="3096"/>
            <w:vAlign w:val="center"/>
          </w:tcPr>
          <w:p>
            <w:r>
              <w:t>Fixed 0 to 100 formula</w:t>
            </w:r>
          </w:p>
        </w:tc>
        <w:tc>
          <w:tcPr>
            <w:tcW w:type="dxa" w:w="4536"/>
            <w:vAlign w:val="center"/>
          </w:tcPr>
          <w:p>
            <w:r>
              <w:t>Make prioritization reproducible</w:t>
            </w:r>
          </w:p>
        </w:tc>
      </w:tr>
      <w:tr>
        <w:trPr>
          <w:cantSplit/>
        </w:trPr>
        <w:tc>
          <w:tcPr>
            <w:tcW w:type="dxa" w:w="2160"/>
            <w:vAlign w:val="center"/>
            <w:shd w:fill="EAF1F8"/>
          </w:tcPr>
          <w:p>
            <w:r>
              <w:t>Outcome</w:t>
            </w:r>
          </w:p>
        </w:tc>
        <w:tc>
          <w:tcPr>
            <w:tcW w:type="dxa" w:w="3096"/>
            <w:vAlign w:val="center"/>
            <w:shd w:fill="EAF1F8"/>
          </w:tcPr>
          <w:p>
            <w:r>
              <w:t>Versioned observed evidence</w:t>
            </w:r>
          </w:p>
        </w:tc>
        <w:tc>
          <w:tcPr>
            <w:tcW w:type="dxa" w:w="4536"/>
            <w:vAlign w:val="center"/>
            <w:shd w:fill="EAF1F8"/>
          </w:tcPr>
          <w:p>
            <w:r>
              <w:t>Measure prediction quality</w:t>
            </w:r>
          </w:p>
        </w:tc>
      </w:tr>
      <w:tr>
        <w:trPr>
          <w:cantSplit/>
        </w:trPr>
        <w:tc>
          <w:tcPr>
            <w:tcW w:type="dxa" w:w="2160"/>
            <w:vAlign w:val="center"/>
          </w:tcPr>
          <w:p>
            <w:r>
              <w:t>Metrics</w:t>
            </w:r>
          </w:p>
        </w:tc>
        <w:tc>
          <w:tcPr>
            <w:tcW w:type="dxa" w:w="3096"/>
            <w:vAlign w:val="center"/>
          </w:tcPr>
          <w:p>
            <w:r>
              <w:t>Accuracy and Brier score</w:t>
            </w:r>
          </w:p>
        </w:tc>
        <w:tc>
          <w:tcPr>
            <w:tcW w:type="dxa" w:w="4536"/>
            <w:vAlign w:val="center"/>
          </w:tcPr>
          <w:p>
            <w:r>
              <w:t>Compare historical performance</w:t>
            </w:r>
          </w:p>
        </w:tc>
      </w:tr>
    </w:tbl>
    <w:p/>
    <w:p>
      <w:pPr>
        <w:pStyle w:val="Heading1"/>
      </w:pPr>
      <w:r>
        <w:t>9 Grounded Internal Chat</w:t>
      </w:r>
    </w:p>
    <w:p>
      <w:r>
        <w:t>IX-6 binds each conversation to an analysis request and its owner. Answers cite only evidence governed by that request, identify the limits of citation and causality, and have no authority to mutate operational state. Sensitive values are sanitized before questions are persisted.</w:t>
      </w:r>
    </w:p>
    <w:tbl>
      <w:tblPr>
        <w:tblStyle w:val="TableGrid"/>
        <w:tblW w:type="auto" w:w="0"/>
        <w:tblLook w:firstColumn="1" w:firstRow="1" w:lastColumn="0" w:lastRow="0" w:noHBand="0" w:noVBand="1" w:val="04A0"/>
      </w:tblPr>
      <w:tblGrid>
        <w:gridCol w:w="3360"/>
        <w:gridCol w:w="3360"/>
        <w:gridCol w:w="3360"/>
      </w:tblGrid>
      <w:tr>
        <w:trPr>
          <w:tblHeader w:val="true"/>
        </w:trPr>
        <w:tc>
          <w:tcPr>
            <w:tcW w:type="dxa" w:w="2160"/>
            <w:shd w:fill="1F4E78"/>
            <w:vAlign w:val="center"/>
          </w:tcPr>
          <w:p>
            <w:r>
              <w:rPr>
                <w:b/>
                <w:color w:val="FFFFFF"/>
              </w:rPr>
              <w:t>Control</w:t>
            </w:r>
          </w:p>
        </w:tc>
        <w:tc>
          <w:tcPr>
            <w:tcW w:type="dxa" w:w="3096"/>
            <w:shd w:fill="1F4E78"/>
            <w:vAlign w:val="center"/>
          </w:tcPr>
          <w:p>
            <w:r>
              <w:rPr>
                <w:b/>
                <w:color w:val="FFFFFF"/>
              </w:rPr>
              <w:t>Rule</w:t>
            </w:r>
          </w:p>
        </w:tc>
        <w:tc>
          <w:tcPr>
            <w:tcW w:type="dxa" w:w="4536"/>
            <w:shd w:fill="1F4E78"/>
            <w:vAlign w:val="center"/>
          </w:tcPr>
          <w:p>
            <w:r>
              <w:rPr>
                <w:b/>
                <w:color w:val="FFFFFF"/>
              </w:rPr>
              <w:t>Engineering purpose</w:t>
            </w:r>
          </w:p>
        </w:tc>
      </w:tr>
      <w:tr>
        <w:trPr>
          <w:cantSplit/>
        </w:trPr>
        <w:tc>
          <w:tcPr>
            <w:tcW w:type="dxa" w:w="2160"/>
            <w:vAlign w:val="center"/>
          </w:tcPr>
          <w:p>
            <w:r>
              <w:t>Ownership</w:t>
            </w:r>
          </w:p>
        </w:tc>
        <w:tc>
          <w:tcPr>
            <w:tcW w:type="dxa" w:w="3096"/>
            <w:vAlign w:val="center"/>
          </w:tcPr>
          <w:p>
            <w:r>
              <w:t>Request owner only</w:t>
            </w:r>
          </w:p>
        </w:tc>
        <w:tc>
          <w:tcPr>
            <w:tcW w:type="dxa" w:w="4536"/>
            <w:vAlign w:val="center"/>
          </w:tcPr>
          <w:p>
            <w:r>
              <w:t>Prevent cross-user evidence disclosure</w:t>
            </w:r>
          </w:p>
        </w:tc>
      </w:tr>
      <w:tr>
        <w:trPr>
          <w:cantSplit/>
        </w:trPr>
        <w:tc>
          <w:tcPr>
            <w:tcW w:type="dxa" w:w="2160"/>
            <w:vAlign w:val="center"/>
            <w:shd w:fill="EAF1F8"/>
          </w:tcPr>
          <w:p>
            <w:r>
              <w:t>Citations</w:t>
            </w:r>
          </w:p>
        </w:tc>
        <w:tc>
          <w:tcPr>
            <w:tcW w:type="dxa" w:w="3096"/>
            <w:vAlign w:val="center"/>
            <w:shd w:fill="EAF1F8"/>
          </w:tcPr>
          <w:p>
            <w:r>
              <w:t>One to ten governed refs</w:t>
            </w:r>
          </w:p>
        </w:tc>
        <w:tc>
          <w:tcPr>
            <w:tcW w:type="dxa" w:w="4536"/>
            <w:vAlign w:val="center"/>
            <w:shd w:fill="EAF1F8"/>
          </w:tcPr>
          <w:p>
            <w:r>
              <w:t>Reject unsupported grounding</w:t>
            </w:r>
          </w:p>
        </w:tc>
      </w:tr>
      <w:tr>
        <w:trPr>
          <w:cantSplit/>
        </w:trPr>
        <w:tc>
          <w:tcPr>
            <w:tcW w:type="dxa" w:w="2160"/>
            <w:vAlign w:val="center"/>
          </w:tcPr>
          <w:p>
            <w:r>
              <w:t>Conversation</w:t>
            </w:r>
          </w:p>
        </w:tc>
        <w:tc>
          <w:tcPr>
            <w:tcW w:type="dxa" w:w="3096"/>
            <w:vAlign w:val="center"/>
          </w:tcPr>
          <w:p>
            <w:r>
              <w:t>50 exchanges maximum</w:t>
            </w:r>
          </w:p>
        </w:tc>
        <w:tc>
          <w:tcPr>
            <w:tcW w:type="dxa" w:w="4536"/>
            <w:vAlign w:val="center"/>
          </w:tcPr>
          <w:p>
            <w:r>
              <w:t>Bound storage and processing</w:t>
            </w:r>
          </w:p>
        </w:tc>
      </w:tr>
      <w:tr>
        <w:trPr>
          <w:cantSplit/>
        </w:trPr>
        <w:tc>
          <w:tcPr>
            <w:tcW w:type="dxa" w:w="2160"/>
            <w:vAlign w:val="center"/>
            <w:shd w:fill="EAF1F8"/>
          </w:tcPr>
          <w:p>
            <w:r>
              <w:t>Retention</w:t>
            </w:r>
          </w:p>
        </w:tc>
        <w:tc>
          <w:tcPr>
            <w:tcW w:type="dxa" w:w="3096"/>
            <w:vAlign w:val="center"/>
            <w:shd w:fill="EAF1F8"/>
          </w:tcPr>
          <w:p>
            <w:r>
              <w:t>One to 30 days</w:t>
            </w:r>
          </w:p>
        </w:tc>
        <w:tc>
          <w:tcPr>
            <w:tcW w:type="dxa" w:w="4536"/>
            <w:vAlign w:val="center"/>
            <w:shd w:fill="EAF1F8"/>
          </w:tcPr>
          <w:p>
            <w:r>
              <w:t>Limit stored conversational content</w:t>
            </w:r>
          </w:p>
        </w:tc>
      </w:tr>
      <w:tr>
        <w:trPr>
          <w:cantSplit/>
        </w:trPr>
        <w:tc>
          <w:tcPr>
            <w:tcW w:type="dxa" w:w="2160"/>
            <w:vAlign w:val="center"/>
          </w:tcPr>
          <w:p>
            <w:r>
              <w:t>Sanitization</w:t>
            </w:r>
          </w:p>
        </w:tc>
        <w:tc>
          <w:tcPr>
            <w:tcW w:type="dxa" w:w="3096"/>
            <w:vAlign w:val="center"/>
          </w:tcPr>
          <w:p>
            <w:r>
              <w:t>Secrets, email, bearer, VIN</w:t>
            </w:r>
          </w:p>
        </w:tc>
        <w:tc>
          <w:tcPr>
            <w:tcW w:type="dxa" w:w="4536"/>
            <w:vAlign w:val="center"/>
          </w:tcPr>
          <w:p>
            <w:r>
              <w:t>Reduce sensitive persistence</w:t>
            </w:r>
          </w:p>
        </w:tc>
      </w:tr>
      <w:tr>
        <w:trPr>
          <w:cantSplit/>
        </w:trPr>
        <w:tc>
          <w:tcPr>
            <w:tcW w:type="dxa" w:w="2160"/>
            <w:vAlign w:val="center"/>
            <w:shd w:fill="EAF1F8"/>
          </w:tcPr>
          <w:p>
            <w:r>
              <w:t>Authority</w:t>
            </w:r>
          </w:p>
        </w:tc>
        <w:tc>
          <w:tcPr>
            <w:tcW w:type="dxa" w:w="3096"/>
            <w:vAlign w:val="center"/>
            <w:shd w:fill="EAF1F8"/>
          </w:tcPr>
          <w:p>
            <w:r>
              <w:t>Advisory and read-only</w:t>
            </w:r>
          </w:p>
        </w:tc>
        <w:tc>
          <w:tcPr>
            <w:tcW w:type="dxa" w:w="4536"/>
            <w:vAlign w:val="center"/>
            <w:shd w:fill="EAF1F8"/>
          </w:tcPr>
          <w:p>
            <w:r>
              <w:t>Prevent operational mutation</w:t>
            </w:r>
          </w:p>
        </w:tc>
      </w:tr>
    </w:tbl>
    <w:p/>
    <w:p>
      <w:pPr>
        <w:pStyle w:val="Heading1"/>
      </w:pPr>
      <w:r>
        <w:t>10 Cross Platform AI Evidence</w:t>
      </w:r>
    </w:p>
    <w:p>
      <w:r>
        <w:t>IX-7 derives immutable client cards from persisted AI sources. The allowlisted contract contains subject, status, severity, bounded explanatory text, and governed citations. It excludes source context, prompts, raw logs, signal collections, and every operational mutation path.</w:t>
      </w:r>
    </w:p>
    <w:tbl>
      <w:tblPr>
        <w:tblStyle w:val="TableGrid"/>
        <w:tblW w:type="auto" w:w="0"/>
        <w:tblLook w:firstColumn="1" w:firstRow="1" w:lastColumn="0" w:lastRow="0" w:noHBand="0" w:noVBand="1" w:val="04A0"/>
      </w:tblPr>
      <w:tblGrid>
        <w:gridCol w:w="3360"/>
        <w:gridCol w:w="3360"/>
        <w:gridCol w:w="3360"/>
      </w:tblGrid>
      <w:tr>
        <w:trPr>
          <w:tblHeader w:val="true"/>
        </w:trPr>
        <w:tc>
          <w:tcPr>
            <w:tcW w:type="dxa" w:w="2160"/>
            <w:shd w:fill="1F4E78"/>
            <w:vAlign w:val="center"/>
          </w:tcPr>
          <w:p>
            <w:r>
              <w:rPr>
                <w:b/>
                <w:color w:val="FFFFFF"/>
              </w:rPr>
              <w:t>Control</w:t>
            </w:r>
          </w:p>
        </w:tc>
        <w:tc>
          <w:tcPr>
            <w:tcW w:type="dxa" w:w="3096"/>
            <w:shd w:fill="1F4E78"/>
            <w:vAlign w:val="center"/>
          </w:tcPr>
          <w:p>
            <w:r>
              <w:rPr>
                <w:b/>
                <w:color w:val="FFFFFF"/>
              </w:rPr>
              <w:t>Rule</w:t>
            </w:r>
          </w:p>
        </w:tc>
        <w:tc>
          <w:tcPr>
            <w:tcW w:type="dxa" w:w="4536"/>
            <w:shd w:fill="1F4E78"/>
            <w:vAlign w:val="center"/>
          </w:tcPr>
          <w:p>
            <w:r>
              <w:rPr>
                <w:b/>
                <w:color w:val="FFFFFF"/>
              </w:rPr>
              <w:t>Engineering purpose</w:t>
            </w:r>
          </w:p>
        </w:tc>
      </w:tr>
      <w:tr>
        <w:trPr>
          <w:cantSplit/>
        </w:trPr>
        <w:tc>
          <w:tcPr>
            <w:tcW w:type="dxa" w:w="2160"/>
            <w:vAlign w:val="center"/>
          </w:tcPr>
          <w:p>
            <w:r>
              <w:t>Consumers</w:t>
            </w:r>
          </w:p>
        </w:tc>
        <w:tc>
          <w:tcPr>
            <w:tcW w:type="dxa" w:w="3096"/>
            <w:vAlign w:val="center"/>
          </w:tcPr>
          <w:p>
            <w:r>
              <w:t>CarSystemUI or dashboard</w:t>
            </w:r>
          </w:p>
        </w:tc>
        <w:tc>
          <w:tcPr>
            <w:tcW w:type="dxa" w:w="4536"/>
            <w:vAlign w:val="center"/>
          </w:tcPr>
          <w:p>
            <w:r>
              <w:t>Keep client contracts explicit</w:t>
            </w:r>
          </w:p>
        </w:tc>
      </w:tr>
      <w:tr>
        <w:trPr>
          <w:cantSplit/>
        </w:trPr>
        <w:tc>
          <w:tcPr>
            <w:tcW w:type="dxa" w:w="2160"/>
            <w:vAlign w:val="center"/>
            <w:shd w:fill="EAF1F8"/>
          </w:tcPr>
          <w:p>
            <w:r>
              <w:t>Sources</w:t>
            </w:r>
          </w:p>
        </w:tc>
        <w:tc>
          <w:tcPr>
            <w:tcW w:type="dxa" w:w="3096"/>
            <w:vAlign w:val="center"/>
            <w:shd w:fill="EAF1F8"/>
          </w:tcPr>
          <w:p>
            <w:r>
              <w:t>Five persisted AI types</w:t>
            </w:r>
          </w:p>
        </w:tc>
        <w:tc>
          <w:tcPr>
            <w:tcW w:type="dxa" w:w="4536"/>
            <w:vAlign w:val="center"/>
            <w:shd w:fill="EAF1F8"/>
          </w:tcPr>
          <w:p>
            <w:r>
              <w:t>Prevent arbitrary client-authored claims</w:t>
            </w:r>
          </w:p>
        </w:tc>
      </w:tr>
      <w:tr>
        <w:trPr>
          <w:cantSplit/>
        </w:trPr>
        <w:tc>
          <w:tcPr>
            <w:tcW w:type="dxa" w:w="2160"/>
            <w:vAlign w:val="center"/>
          </w:tcPr>
          <w:p>
            <w:r>
              <w:t>Summary</w:t>
            </w:r>
          </w:p>
        </w:tc>
        <w:tc>
          <w:tcPr>
            <w:tcW w:type="dxa" w:w="3096"/>
            <w:vAlign w:val="center"/>
          </w:tcPr>
          <w:p>
            <w:r>
              <w:t>1000 characters maximum</w:t>
            </w:r>
          </w:p>
        </w:tc>
        <w:tc>
          <w:tcPr>
            <w:tcW w:type="dxa" w:w="4536"/>
            <w:vAlign w:val="center"/>
          </w:tcPr>
          <w:p>
            <w:r>
              <w:t>Bound payload and disclosure</w:t>
            </w:r>
          </w:p>
        </w:tc>
      </w:tr>
      <w:tr>
        <w:trPr>
          <w:cantSplit/>
        </w:trPr>
        <w:tc>
          <w:tcPr>
            <w:tcW w:type="dxa" w:w="2160"/>
            <w:vAlign w:val="center"/>
            <w:shd w:fill="EAF1F8"/>
          </w:tcPr>
          <w:p>
            <w:r>
              <w:t>Citations</w:t>
            </w:r>
          </w:p>
        </w:tc>
        <w:tc>
          <w:tcPr>
            <w:tcW w:type="dxa" w:w="3096"/>
            <w:vAlign w:val="center"/>
            <w:shd w:fill="EAF1F8"/>
          </w:tcPr>
          <w:p>
            <w:r>
              <w:t>20 unique refs maximum</w:t>
            </w:r>
          </w:p>
        </w:tc>
        <w:tc>
          <w:tcPr>
            <w:tcW w:type="dxa" w:w="4536"/>
            <w:vAlign w:val="center"/>
            <w:shd w:fill="EAF1F8"/>
          </w:tcPr>
          <w:p>
            <w:r>
              <w:t>Preserve reviewable grounding</w:t>
            </w:r>
          </w:p>
        </w:tc>
      </w:tr>
      <w:tr>
        <w:trPr>
          <w:cantSplit/>
        </w:trPr>
        <w:tc>
          <w:tcPr>
            <w:tcW w:type="dxa" w:w="2160"/>
            <w:vAlign w:val="center"/>
          </w:tcPr>
          <w:p>
            <w:r>
              <w:t>Contract</w:t>
            </w:r>
          </w:p>
        </w:tc>
        <w:tc>
          <w:tcPr>
            <w:tcW w:type="dxa" w:w="3096"/>
            <w:vAlign w:val="center"/>
          </w:tcPr>
          <w:p>
            <w:r>
              <w:t>ai-evidence-v1</w:t>
            </w:r>
          </w:p>
        </w:tc>
        <w:tc>
          <w:tcPr>
            <w:tcW w:type="dxa" w:w="4536"/>
            <w:vAlign w:val="center"/>
          </w:tcPr>
          <w:p>
            <w:r>
              <w:t>Support independent client evolution</w:t>
            </w:r>
          </w:p>
        </w:tc>
      </w:tr>
      <w:tr>
        <w:trPr>
          <w:cantSplit/>
        </w:trPr>
        <w:tc>
          <w:tcPr>
            <w:tcW w:type="dxa" w:w="2160"/>
            <w:vAlign w:val="center"/>
            <w:shd w:fill="EAF1F8"/>
          </w:tcPr>
          <w:p>
            <w:r>
              <w:t>Lifecycle</w:t>
            </w:r>
          </w:p>
        </w:tc>
        <w:tc>
          <w:tcPr>
            <w:tcW w:type="dxa" w:w="3096"/>
            <w:vAlign w:val="center"/>
            <w:shd w:fill="EAF1F8"/>
          </w:tcPr>
          <w:p>
            <w:r>
              <w:t>Immutable snapshot</w:t>
            </w:r>
          </w:p>
        </w:tc>
        <w:tc>
          <w:tcPr>
            <w:tcW w:type="dxa" w:w="4536"/>
            <w:vAlign w:val="center"/>
            <w:shd w:fill="EAF1F8"/>
          </w:tcPr>
          <w:p>
            <w:r>
              <w:t>Preserve historical evidence</w:t>
            </w:r>
          </w:p>
        </w:tc>
      </w:tr>
    </w:tbl>
    <w:p/>
    <w:p>
      <w:pPr>
        <w:pStyle w:val="Heading1"/>
      </w:pPr>
      <w:r>
        <w:t>11 Verification Catalogue</w:t>
      </w:r>
    </w:p>
    <w:tbl>
      <w:tblPr>
        <w:tblStyle w:val="TableGrid"/>
        <w:tblW w:type="auto" w:w="0"/>
        <w:tblLook w:firstColumn="1" w:firstRow="1" w:lastColumn="0" w:lastRow="0" w:noHBand="0" w:noVBand="1" w:val="04A0"/>
      </w:tblPr>
      <w:tblGrid>
        <w:gridCol w:w="5040"/>
        <w:gridCol w:w="5040"/>
      </w:tblGrid>
      <w:tr>
        <w:trPr>
          <w:tblHeader w:val="true"/>
        </w:trPr>
        <w:tc>
          <w:tcPr>
            <w:tcW w:type="dxa" w:w="2016"/>
            <w:shd w:fill="1F4E78"/>
            <w:vAlign w:val="center"/>
          </w:tcPr>
          <w:p>
            <w:r>
              <w:rPr>
                <w:b/>
                <w:color w:val="FFFFFF"/>
              </w:rPr>
              <w:t>ID</w:t>
            </w:r>
          </w:p>
        </w:tc>
        <w:tc>
          <w:tcPr>
            <w:tcW w:type="dxa" w:w="7776"/>
            <w:shd w:fill="1F4E78"/>
            <w:vAlign w:val="center"/>
          </w:tcPr>
          <w:p>
            <w:r>
              <w:rPr>
                <w:b/>
                <w:color w:val="FFFFFF"/>
              </w:rPr>
              <w:t>Objective</w:t>
            </w:r>
          </w:p>
        </w:tc>
      </w:tr>
      <w:tr>
        <w:trPr>
          <w:cantSplit/>
        </w:trPr>
        <w:tc>
          <w:tcPr>
            <w:tcW w:type="dxa" w:w="2016"/>
            <w:vAlign w:val="center"/>
          </w:tcPr>
          <w:p>
            <w:r>
              <w:t>AI-T-001</w:t>
            </w:r>
          </w:p>
        </w:tc>
        <w:tc>
          <w:tcPr>
            <w:tcW w:type="dxa" w:w="7776"/>
            <w:vAlign w:val="center"/>
          </w:tcPr>
          <w:p>
            <w:r>
              <w:t>Validate schema and resource bounds</w:t>
            </w:r>
          </w:p>
        </w:tc>
      </w:tr>
      <w:tr>
        <w:trPr>
          <w:cantSplit/>
        </w:trPr>
        <w:tc>
          <w:tcPr>
            <w:tcW w:type="dxa" w:w="2016"/>
            <w:vAlign w:val="center"/>
            <w:shd w:fill="EAF1F8"/>
          </w:tcPr>
          <w:p>
            <w:r>
              <w:t>AI-T-002</w:t>
            </w:r>
          </w:p>
        </w:tc>
        <w:tc>
          <w:tcPr>
            <w:tcW w:type="dxa" w:w="7776"/>
            <w:vAlign w:val="center"/>
            <w:shd w:fill="EAF1F8"/>
          </w:tcPr>
          <w:p>
            <w:r>
              <w:t>Verify local-only defaults</w:t>
            </w:r>
          </w:p>
        </w:tc>
      </w:tr>
      <w:tr>
        <w:trPr>
          <w:cantSplit/>
        </w:trPr>
        <w:tc>
          <w:tcPr>
            <w:tcW w:type="dxa" w:w="2016"/>
            <w:vAlign w:val="center"/>
          </w:tcPr>
          <w:p>
            <w:r>
              <w:t>AI-T-003</w:t>
            </w:r>
          </w:p>
        </w:tc>
        <w:tc>
          <w:tcPr>
            <w:tcW w:type="dxa" w:w="7776"/>
            <w:vAlign w:val="center"/>
          </w:tcPr>
          <w:p>
            <w:r>
              <w:t>Reject restricted external processing</w:t>
            </w:r>
          </w:p>
        </w:tc>
      </w:tr>
      <w:tr>
        <w:trPr>
          <w:cantSplit/>
        </w:trPr>
        <w:tc>
          <w:tcPr>
            <w:tcW w:type="dxa" w:w="2016"/>
            <w:vAlign w:val="center"/>
            <w:shd w:fill="EAF1F8"/>
          </w:tcPr>
          <w:p>
            <w:r>
              <w:t>AI-T-004</w:t>
            </w:r>
          </w:p>
        </w:tc>
        <w:tc>
          <w:tcPr>
            <w:tcW w:type="dxa" w:w="7776"/>
            <w:vAlign w:val="center"/>
            <w:shd w:fill="EAF1F8"/>
          </w:tcPr>
          <w:p>
            <w:r>
              <w:t>Verify idempotency and conflict</w:t>
            </w:r>
          </w:p>
        </w:tc>
      </w:tr>
      <w:tr>
        <w:trPr>
          <w:cantSplit/>
        </w:trPr>
        <w:tc>
          <w:tcPr>
            <w:tcW w:type="dxa" w:w="2016"/>
            <w:vAlign w:val="center"/>
          </w:tcPr>
          <w:p>
            <w:r>
              <w:t>AI-T-005</w:t>
            </w:r>
          </w:p>
        </w:tc>
        <w:tc>
          <w:tcPr>
            <w:tcW w:type="dxa" w:w="7776"/>
            <w:vAlign w:val="center"/>
          </w:tcPr>
          <w:p>
            <w:r>
              <w:t>Verify minimized audit and event evidence</w:t>
            </w:r>
          </w:p>
        </w:tc>
      </w:tr>
      <w:tr>
        <w:trPr>
          <w:cantSplit/>
        </w:trPr>
        <w:tc>
          <w:tcPr>
            <w:tcW w:type="dxa" w:w="2016"/>
            <w:vAlign w:val="center"/>
            <w:shd w:fill="EAF1F8"/>
          </w:tcPr>
          <w:p>
            <w:r>
              <w:t>AI-T-006</w:t>
            </w:r>
          </w:p>
        </w:tc>
        <w:tc>
          <w:tcPr>
            <w:tcW w:type="dxa" w:w="7776"/>
            <w:vAlign w:val="center"/>
            <w:shd w:fill="EAF1F8"/>
          </w:tcPr>
          <w:p>
            <w:r>
              <w:t>Verify RBAC and OpenAPI contracts</w:t>
            </w:r>
          </w:p>
        </w:tc>
      </w:tr>
      <w:tr>
        <w:trPr>
          <w:cantSplit/>
        </w:trPr>
        <w:tc>
          <w:tcPr>
            <w:tcW w:type="dxa" w:w="2016"/>
            <w:vAlign w:val="center"/>
          </w:tcPr>
          <w:p>
            <w:r>
              <w:t>AI-T-007</w:t>
            </w:r>
          </w:p>
        </w:tc>
        <w:tc>
          <w:tcPr>
            <w:tcW w:type="dxa" w:w="7776"/>
            <w:vAlign w:val="center"/>
          </w:tcPr>
          <w:p>
            <w:r>
              <w:t>Apply migration through hosted Docker integration</w:t>
            </w:r>
          </w:p>
        </w:tc>
      </w:tr>
      <w:tr>
        <w:trPr>
          <w:cantSplit/>
        </w:trPr>
        <w:tc>
          <w:tcPr>
            <w:tcW w:type="dxa" w:w="2016"/>
            <w:vAlign w:val="center"/>
            <w:shd w:fill="EAF1F8"/>
          </w:tcPr>
          <w:p>
            <w:r>
              <w:t>AI-T-008 to 009</w:t>
            </w:r>
          </w:p>
        </w:tc>
        <w:tc>
          <w:tcPr>
            <w:tcW w:type="dxa" w:w="7776"/>
            <w:vAlign w:val="center"/>
            <w:shd w:fill="EAF1F8"/>
          </w:tcPr>
          <w:p>
            <w:r>
              <w:t>Verify deterministic rules and complete lifecycle</w:t>
            </w:r>
          </w:p>
        </w:tc>
      </w:tr>
      <w:tr>
        <w:trPr>
          <w:cantSplit/>
        </w:trPr>
        <w:tc>
          <w:tcPr>
            <w:tcW w:type="dxa" w:w="2016"/>
            <w:vAlign w:val="center"/>
          </w:tcPr>
          <w:p>
            <w:r>
              <w:t>AI-T-010 to 011</w:t>
            </w:r>
          </w:p>
        </w:tc>
        <w:tc>
          <w:tcPr>
            <w:tcW w:type="dxa" w:w="7776"/>
            <w:vAlign w:val="center"/>
          </w:tcPr>
          <w:p>
            <w:r>
              <w:t>Verify retries, replay, adapter policy, and conflicts</w:t>
            </w:r>
          </w:p>
        </w:tc>
      </w:tr>
      <w:tr>
        <w:trPr>
          <w:cantSplit/>
        </w:trPr>
        <w:tc>
          <w:tcPr>
            <w:tcW w:type="dxa" w:w="2016"/>
            <w:vAlign w:val="center"/>
            <w:shd w:fill="EAF1F8"/>
          </w:tcPr>
          <w:p>
            <w:r>
              <w:t>AI-T-012 to 013</w:t>
            </w:r>
          </w:p>
        </w:tc>
        <w:tc>
          <w:tcPr>
            <w:tcW w:type="dxa" w:w="7776"/>
            <w:vAlign w:val="center"/>
            <w:shd w:fill="EAF1F8"/>
          </w:tcPr>
          <w:p>
            <w:r>
              <w:t>Verify cited output, minimized evidence, API, and RBAC</w:t>
            </w:r>
          </w:p>
        </w:tc>
      </w:tr>
      <w:tr>
        <w:trPr>
          <w:cantSplit/>
        </w:trPr>
        <w:tc>
          <w:tcPr>
            <w:tcW w:type="dxa" w:w="2016"/>
            <w:vAlign w:val="center"/>
          </w:tcPr>
          <w:p>
            <w:r>
              <w:t>AI-T-014</w:t>
            </w:r>
          </w:p>
        </w:tc>
        <w:tc>
          <w:tcPr>
            <w:tcW w:type="dxa" w:w="7776"/>
            <w:vAlign w:val="center"/>
          </w:tcPr>
          <w:p>
            <w:r>
              <w:t>Apply migration 0059 through hosted Docker integration</w:t>
            </w:r>
          </w:p>
        </w:tc>
      </w:tr>
      <w:tr>
        <w:trPr>
          <w:cantSplit/>
        </w:trPr>
        <w:tc>
          <w:tcPr>
            <w:tcW w:type="dxa" w:w="2016"/>
            <w:vAlign w:val="center"/>
            <w:shd w:fill="EAF1F8"/>
          </w:tcPr>
          <w:p>
            <w:r>
              <w:t>AI-T-015 to 017</w:t>
            </w:r>
          </w:p>
        </w:tc>
        <w:tc>
          <w:tcPr>
            <w:tcW w:type="dxa" w:w="7776"/>
            <w:vAlign w:val="center"/>
            <w:shd w:fill="EAF1F8"/>
          </w:tcPr>
          <w:p>
            <w:r>
              <w:t>Verify parsing, sanitization, ordering, and clustering</w:t>
            </w:r>
          </w:p>
        </w:tc>
      </w:tr>
      <w:tr>
        <w:trPr>
          <w:cantSplit/>
        </w:trPr>
        <w:tc>
          <w:tcPr>
            <w:tcW w:type="dxa" w:w="2016"/>
            <w:vAlign w:val="center"/>
          </w:tcPr>
          <w:p>
            <w:r>
              <w:t>AI-T-018 to 019</w:t>
            </w:r>
          </w:p>
        </w:tc>
        <w:tc>
          <w:tcPr>
            <w:tcW w:type="dxa" w:w="7776"/>
            <w:vAlign w:val="center"/>
          </w:tcPr>
          <w:p>
            <w:r>
              <w:t>Verify anomaly evidence and grounded explanations</w:t>
            </w:r>
          </w:p>
        </w:tc>
      </w:tr>
      <w:tr>
        <w:trPr>
          <w:cantSplit/>
        </w:trPr>
        <w:tc>
          <w:tcPr>
            <w:tcW w:type="dxa" w:w="2016"/>
            <w:vAlign w:val="center"/>
            <w:shd w:fill="EAF1F8"/>
          </w:tcPr>
          <w:p>
            <w:r>
              <w:t>AI-T-020 to 021</w:t>
            </w:r>
          </w:p>
        </w:tc>
        <w:tc>
          <w:tcPr>
            <w:tcW w:type="dxa" w:w="7776"/>
            <w:vAlign w:val="center"/>
            <w:shd w:fill="EAF1F8"/>
          </w:tcPr>
          <w:p>
            <w:r>
              <w:t>Verify bounds, replay, APIs, RBAC, and minimized events</w:t>
            </w:r>
          </w:p>
        </w:tc>
      </w:tr>
      <w:tr>
        <w:trPr>
          <w:cantSplit/>
        </w:trPr>
        <w:tc>
          <w:tcPr>
            <w:tcW w:type="dxa" w:w="2016"/>
            <w:vAlign w:val="center"/>
          </w:tcPr>
          <w:p>
            <w:r>
              <w:t>AI-T-022</w:t>
            </w:r>
          </w:p>
        </w:tc>
        <w:tc>
          <w:tcPr>
            <w:tcW w:type="dxa" w:w="7776"/>
            <w:vAlign w:val="center"/>
          </w:tcPr>
          <w:p>
            <w:r>
              <w:t>Apply migration 0060 through hosted Docker integration</w:t>
            </w:r>
          </w:p>
        </w:tc>
      </w:tr>
      <w:tr>
        <w:trPr>
          <w:cantSplit/>
        </w:trPr>
        <w:tc>
          <w:tcPr>
            <w:tcW w:type="dxa" w:w="2016"/>
            <w:vAlign w:val="center"/>
            <w:shd w:fill="EAF1F8"/>
          </w:tcPr>
          <w:p>
            <w:r>
              <w:t>AI-T-023 to 025</w:t>
            </w:r>
          </w:p>
        </w:tc>
        <w:tc>
          <w:tcPr>
            <w:tcW w:type="dxa" w:w="7776"/>
            <w:vAlign w:val="center"/>
            <w:shd w:fill="EAF1F8"/>
          </w:tcPr>
          <w:p>
            <w:r>
              <w:t>Verify generation bounds, replay, review, and rejection evidence</w:t>
            </w:r>
          </w:p>
        </w:tc>
      </w:tr>
      <w:tr>
        <w:trPr>
          <w:cantSplit/>
        </w:trPr>
        <w:tc>
          <w:tcPr>
            <w:tcW w:type="dxa" w:w="2016"/>
            <w:vAlign w:val="center"/>
          </w:tcPr>
          <w:p>
            <w:r>
              <w:t>AI-T-026 to 029</w:t>
            </w:r>
          </w:p>
        </w:tc>
        <w:tc>
          <w:tcPr>
            <w:tcW w:type="dxa" w:w="7776"/>
            <w:vAlign w:val="center"/>
          </w:tcPr>
          <w:p>
            <w:r>
              <w:t>Verify promotion gate, draft catalog state, APIs, and RBAC</w:t>
            </w:r>
          </w:p>
        </w:tc>
      </w:tr>
      <w:tr>
        <w:trPr>
          <w:cantSplit/>
        </w:trPr>
        <w:tc>
          <w:tcPr>
            <w:tcW w:type="dxa" w:w="2016"/>
            <w:vAlign w:val="center"/>
            <w:shd w:fill="EAF1F8"/>
          </w:tcPr>
          <w:p>
            <w:r>
              <w:t>AI-T-030</w:t>
            </w:r>
          </w:p>
        </w:tc>
        <w:tc>
          <w:tcPr>
            <w:tcW w:type="dxa" w:w="7776"/>
            <w:vAlign w:val="center"/>
            <w:shd w:fill="EAF1F8"/>
          </w:tcPr>
          <w:p>
            <w:r>
              <w:t>Apply migration 0061 through hosted Docker integration</w:t>
            </w:r>
          </w:p>
        </w:tc>
      </w:tr>
      <w:tr>
        <w:trPr>
          <w:cantSplit/>
        </w:trPr>
        <w:tc>
          <w:tcPr>
            <w:tcW w:type="dxa" w:w="2016"/>
            <w:vAlign w:val="center"/>
          </w:tcPr>
          <w:p>
            <w:r>
              <w:t>AI-T-031 to 034</w:t>
            </w:r>
          </w:p>
        </w:tc>
        <w:tc>
          <w:tcPr>
            <w:tcW w:type="dxa" w:w="7776"/>
            <w:vAlign w:val="center"/>
          </w:tcPr>
          <w:p>
            <w:r>
              <w:t>Verify signal policy, ranking, risk formula, and limitations</w:t>
            </w:r>
          </w:p>
        </w:tc>
      </w:tr>
      <w:tr>
        <w:trPr>
          <w:cantSplit/>
        </w:trPr>
        <w:tc>
          <w:tcPr>
            <w:tcW w:type="dxa" w:w="2016"/>
            <w:vAlign w:val="center"/>
            <w:shd w:fill="EAF1F8"/>
          </w:tcPr>
          <w:p>
            <w:r>
              <w:t>AI-T-035 to 037</w:t>
            </w:r>
          </w:p>
        </w:tc>
        <w:tc>
          <w:tcPr>
            <w:tcW w:type="dxa" w:w="7776"/>
            <w:vAlign w:val="center"/>
            <w:shd w:fill="EAF1F8"/>
          </w:tcPr>
          <w:p>
            <w:r>
              <w:t>Verify evaluation, Brier score, metrics, APIs, and RBAC</w:t>
            </w:r>
          </w:p>
        </w:tc>
      </w:tr>
      <w:tr>
        <w:trPr>
          <w:cantSplit/>
        </w:trPr>
        <w:tc>
          <w:tcPr>
            <w:tcW w:type="dxa" w:w="2016"/>
            <w:vAlign w:val="center"/>
          </w:tcPr>
          <w:p>
            <w:r>
              <w:t>AI-T-038</w:t>
            </w:r>
          </w:p>
        </w:tc>
        <w:tc>
          <w:tcPr>
            <w:tcW w:type="dxa" w:w="7776"/>
            <w:vAlign w:val="center"/>
          </w:tcPr>
          <w:p>
            <w:r>
              <w:t>Apply migration 0062 through hosted Docker integration</w:t>
            </w:r>
          </w:p>
        </w:tc>
      </w:tr>
      <w:tr>
        <w:trPr>
          <w:cantSplit/>
        </w:trPr>
        <w:tc>
          <w:tcPr>
            <w:tcW w:type="dxa" w:w="2016"/>
            <w:vAlign w:val="center"/>
            <w:shd w:fill="EAF1F8"/>
          </w:tcPr>
          <w:p>
            <w:r>
              <w:t>AI-T-039 to 042</w:t>
            </w:r>
          </w:p>
        </w:tc>
        <w:tc>
          <w:tcPr>
            <w:tcW w:type="dxa" w:w="7776"/>
            <w:vAlign w:val="center"/>
            <w:shd w:fill="EAF1F8"/>
          </w:tcPr>
          <w:p>
            <w:r>
              <w:t>Verify bounds, ownership, grounding, and sanitization</w:t>
            </w:r>
          </w:p>
        </w:tc>
      </w:tr>
      <w:tr>
        <w:trPr>
          <w:cantSplit/>
        </w:trPr>
        <w:tc>
          <w:tcPr>
            <w:tcW w:type="dxa" w:w="2016"/>
            <w:vAlign w:val="center"/>
          </w:tcPr>
          <w:p>
            <w:r>
              <w:t>AI-T-043 to 045</w:t>
            </w:r>
          </w:p>
        </w:tc>
        <w:tc>
          <w:tcPr>
            <w:tcW w:type="dxa" w:w="7776"/>
            <w:vAlign w:val="center"/>
          </w:tcPr>
          <w:p>
            <w:r>
              <w:t>Verify replay, retention, APIs, RBAC, and minimized events</w:t>
            </w:r>
          </w:p>
        </w:tc>
      </w:tr>
      <w:tr>
        <w:trPr>
          <w:cantSplit/>
        </w:trPr>
        <w:tc>
          <w:tcPr>
            <w:tcW w:type="dxa" w:w="2016"/>
            <w:vAlign w:val="center"/>
            <w:shd w:fill="EAF1F8"/>
          </w:tcPr>
          <w:p>
            <w:r>
              <w:t>AI-T-046</w:t>
            </w:r>
          </w:p>
        </w:tc>
        <w:tc>
          <w:tcPr>
            <w:tcW w:type="dxa" w:w="7776"/>
            <w:vAlign w:val="center"/>
            <w:shd w:fill="EAF1F8"/>
          </w:tcPr>
          <w:p>
            <w:r>
              <w:t>Apply migration 0063 through hosted Docker integration</w:t>
            </w:r>
          </w:p>
        </w:tc>
      </w:tr>
      <w:tr>
        <w:trPr>
          <w:cantSplit/>
        </w:trPr>
        <w:tc>
          <w:tcPr>
            <w:tcW w:type="dxa" w:w="2016"/>
            <w:vAlign w:val="center"/>
          </w:tcPr>
          <w:p>
            <w:r>
              <w:t>AI-T-047 to 049</w:t>
            </w:r>
          </w:p>
        </w:tc>
        <w:tc>
          <w:tcPr>
            <w:tcW w:type="dxa" w:w="7776"/>
            <w:vAlign w:val="center"/>
          </w:tcPr>
          <w:p>
            <w:r>
              <w:t>Verify sources, derivation, bounds, and private ownership</w:t>
            </w:r>
          </w:p>
        </w:tc>
      </w:tr>
      <w:tr>
        <w:trPr>
          <w:cantSplit/>
        </w:trPr>
        <w:tc>
          <w:tcPr>
            <w:tcW w:type="dxa" w:w="2016"/>
            <w:vAlign w:val="center"/>
            <w:shd w:fill="EAF1F8"/>
          </w:tcPr>
          <w:p>
            <w:r>
              <w:t>AI-T-050 to 051</w:t>
            </w:r>
          </w:p>
        </w:tc>
        <w:tc>
          <w:tcPr>
            <w:tcW w:type="dxa" w:w="7776"/>
            <w:vAlign w:val="center"/>
            <w:shd w:fill="EAF1F8"/>
          </w:tcPr>
          <w:p>
            <w:r>
              <w:t>Verify replay, filters, RBAC, and minimized evidence</w:t>
            </w:r>
          </w:p>
        </w:tc>
      </w:tr>
      <w:tr>
        <w:trPr>
          <w:cantSplit/>
        </w:trPr>
        <w:tc>
          <w:tcPr>
            <w:tcW w:type="dxa" w:w="2016"/>
            <w:vAlign w:val="center"/>
          </w:tcPr>
          <w:p>
            <w:r>
              <w:t>AI-T-052</w:t>
            </w:r>
          </w:p>
        </w:tc>
        <w:tc>
          <w:tcPr>
            <w:tcW w:type="dxa" w:w="7776"/>
            <w:vAlign w:val="center"/>
          </w:tcPr>
          <w:p>
            <w:r>
              <w:t>Apply migration 0064 and both client feeds through Docker</w:t>
            </w:r>
          </w:p>
        </w:tc>
      </w:tr>
    </w:tbl>
    <w:p/>
    <w:p>
      <w:pPr>
        <w:pStyle w:val="Heading1"/>
      </w:pPr>
      <w:r>
        <w:t>12 Risks and Next Development</w:t>
      </w:r>
    </w:p>
    <w:tbl>
      <w:tblPr>
        <w:tblStyle w:val="TableGrid"/>
        <w:tblW w:type="auto" w:w="0"/>
        <w:tblLook w:firstColumn="1" w:firstRow="1" w:lastColumn="0" w:lastRow="0" w:noHBand="0" w:noVBand="1" w:val="04A0"/>
      </w:tblPr>
      <w:tblGrid>
        <w:gridCol w:w="5040"/>
        <w:gridCol w:w="5040"/>
      </w:tblGrid>
      <w:tr>
        <w:trPr>
          <w:tblHeader w:val="true"/>
        </w:trPr>
        <w:tc>
          <w:tcPr>
            <w:tcW w:type="dxa" w:w="3168"/>
            <w:shd w:fill="1F4E78"/>
            <w:vAlign w:val="center"/>
          </w:tcPr>
          <w:p>
            <w:r>
              <w:rPr>
                <w:b/>
                <w:color w:val="FFFFFF"/>
              </w:rPr>
              <w:t>Risk</w:t>
            </w:r>
          </w:p>
        </w:tc>
        <w:tc>
          <w:tcPr>
            <w:tcW w:type="dxa" w:w="6624"/>
            <w:shd w:fill="1F4E78"/>
            <w:vAlign w:val="center"/>
          </w:tcPr>
          <w:p>
            <w:r>
              <w:rPr>
                <w:b/>
                <w:color w:val="FFFFFF"/>
              </w:rPr>
              <w:t>Control</w:t>
            </w:r>
          </w:p>
        </w:tc>
      </w:tr>
      <w:tr>
        <w:trPr>
          <w:cantSplit/>
        </w:trPr>
        <w:tc>
          <w:tcPr>
            <w:tcW w:type="dxa" w:w="3168"/>
            <w:vAlign w:val="center"/>
          </w:tcPr>
          <w:p>
            <w:r>
              <w:t>Sensitive data egress</w:t>
            </w:r>
          </w:p>
        </w:tc>
        <w:tc>
          <w:tcPr>
            <w:tcW w:type="dxa" w:w="6624"/>
            <w:vAlign w:val="center"/>
          </w:tcPr>
          <w:p>
            <w:r>
              <w:t>Classification and provider policy gate</w:t>
            </w:r>
          </w:p>
        </w:tc>
      </w:tr>
      <w:tr>
        <w:trPr>
          <w:cantSplit/>
        </w:trPr>
        <w:tc>
          <w:tcPr>
            <w:tcW w:type="dxa" w:w="3168"/>
            <w:vAlign w:val="center"/>
            <w:shd w:fill="EAF1F8"/>
          </w:tcPr>
          <w:p>
            <w:r>
              <w:t>Hallucinated authority</w:t>
            </w:r>
          </w:p>
        </w:tc>
        <w:tc>
          <w:tcPr>
            <w:tcW w:type="dxa" w:w="6624"/>
            <w:vAlign w:val="center"/>
            <w:shd w:fill="EAF1F8"/>
          </w:tcPr>
          <w:p>
            <w:r>
              <w:t>Advisory-only boundary and future citations</w:t>
            </w:r>
          </w:p>
        </w:tc>
      </w:tr>
      <w:tr>
        <w:trPr>
          <w:cantSplit/>
        </w:trPr>
        <w:tc>
          <w:tcPr>
            <w:tcW w:type="dxa" w:w="3168"/>
            <w:vAlign w:val="center"/>
          </w:tcPr>
          <w:p>
            <w:r>
              <w:t>Unexpected cost</w:t>
            </w:r>
          </w:p>
        </w:tc>
        <w:tc>
          <w:tcPr>
            <w:tcW w:type="dxa" w:w="6624"/>
            <w:vAlign w:val="center"/>
          </w:tcPr>
          <w:p>
            <w:r>
              <w:t>No provider call and local-only default</w:t>
            </w:r>
          </w:p>
        </w:tc>
      </w:tr>
      <w:tr>
        <w:trPr>
          <w:cantSplit/>
        </w:trPr>
        <w:tc>
          <w:tcPr>
            <w:tcW w:type="dxa" w:w="3168"/>
            <w:vAlign w:val="center"/>
            <w:shd w:fill="EAF1F8"/>
          </w:tcPr>
          <w:p>
            <w:r>
              <w:t>Resource consumption</w:t>
            </w:r>
          </w:p>
        </w:tc>
        <w:tc>
          <w:tcPr>
            <w:tcW w:type="dxa" w:w="6624"/>
            <w:vAlign w:val="center"/>
            <w:shd w:fill="EAF1F8"/>
          </w:tcPr>
          <w:p>
            <w:r>
              <w:t>No model or GPU in IX-1 through IX-7</w:t>
            </w:r>
          </w:p>
        </w:tc>
      </w:tr>
      <w:tr>
        <w:trPr>
          <w:cantSplit/>
        </w:trPr>
        <w:tc>
          <w:tcPr>
            <w:tcW w:type="dxa" w:w="3168"/>
            <w:vAlign w:val="center"/>
          </w:tcPr>
          <w:p>
            <w:r>
              <w:t>Prompt leakage</w:t>
            </w:r>
          </w:p>
        </w:tc>
        <w:tc>
          <w:tcPr>
            <w:tcW w:type="dxa" w:w="6624"/>
            <w:vAlign w:val="center"/>
          </w:tcPr>
          <w:p>
            <w:r>
              <w:t>Minimized audit and outbox metadata</w:t>
            </w:r>
          </w:p>
        </w:tc>
      </w:tr>
      <w:tr>
        <w:trPr>
          <w:cantSplit/>
        </w:trPr>
        <w:tc>
          <w:tcPr>
            <w:tcW w:type="dxa" w:w="3168"/>
            <w:vAlign w:val="center"/>
            <w:shd w:fill="EAF1F8"/>
          </w:tcPr>
          <w:p>
            <w:r>
              <w:t>Unbounded retries</w:t>
            </w:r>
          </w:p>
        </w:tc>
        <w:tc>
          <w:tcPr>
            <w:tcW w:type="dxa" w:w="6624"/>
            <w:vAlign w:val="center"/>
            <w:shd w:fill="EAF1F8"/>
          </w:tcPr>
          <w:p>
            <w:r>
              <w:t>Three immutable attempts maximum</w:t>
            </w:r>
          </w:p>
        </w:tc>
      </w:tr>
      <w:tr>
        <w:trPr>
          <w:cantSplit/>
        </w:trPr>
        <w:tc>
          <w:tcPr>
            <w:tcW w:type="dxa" w:w="3168"/>
            <w:vAlign w:val="center"/>
          </w:tcPr>
          <w:p>
            <w:r>
              <w:t>Worker exception leakage</w:t>
            </w:r>
          </w:p>
        </w:tc>
        <w:tc>
          <w:tcPr>
            <w:tcW w:type="dxa" w:w="6624"/>
            <w:vAlign w:val="center"/>
          </w:tcPr>
          <w:p>
            <w:r>
              <w:t>Stable error code without exception text</w:t>
            </w:r>
          </w:p>
        </w:tc>
      </w:tr>
      <w:tr>
        <w:trPr>
          <w:cantSplit/>
        </w:trPr>
        <w:tc>
          <w:tcPr>
            <w:tcW w:type="dxa" w:w="3168"/>
            <w:vAlign w:val="center"/>
            <w:shd w:fill="EAF1F8"/>
          </w:tcPr>
          <w:p>
            <w:r>
              <w:t>Sensitive log values</w:t>
            </w:r>
          </w:p>
        </w:tc>
        <w:tc>
          <w:tcPr>
            <w:tcW w:type="dxa" w:w="6624"/>
            <w:vAlign w:val="center"/>
            <w:shd w:fill="EAF1F8"/>
          </w:tcPr>
          <w:p>
            <w:r>
              <w:t>Sanitize before persistence and omit rejected text</w:t>
            </w:r>
          </w:p>
        </w:tc>
      </w:tr>
      <w:tr>
        <w:trPr>
          <w:cantSplit/>
        </w:trPr>
        <w:tc>
          <w:tcPr>
            <w:tcW w:type="dxa" w:w="3168"/>
            <w:vAlign w:val="center"/>
          </w:tcPr>
          <w:p>
            <w:r>
              <w:t>False causal claim</w:t>
            </w:r>
          </w:p>
        </w:tc>
        <w:tc>
          <w:tcPr>
            <w:tcW w:type="dxa" w:w="6624"/>
            <w:vAlign w:val="center"/>
          </w:tcPr>
          <w:p>
            <w:r>
              <w:t>Report signals, citations, and explicit limitations</w:t>
            </w:r>
          </w:p>
        </w:tc>
      </w:tr>
      <w:tr>
        <w:trPr>
          <w:cantSplit/>
        </w:trPr>
        <w:tc>
          <w:tcPr>
            <w:tcW w:type="dxa" w:w="3168"/>
            <w:vAlign w:val="center"/>
            <w:shd w:fill="EAF1F8"/>
          </w:tcPr>
          <w:p>
            <w:r>
              <w:t>Unsafe generated test</w:t>
            </w:r>
          </w:p>
        </w:tc>
        <w:tc>
          <w:tcPr>
            <w:tcW w:type="dxa" w:w="6624"/>
            <w:vAlign w:val="center"/>
            <w:shd w:fill="EAF1F8"/>
          </w:tcPr>
          <w:p>
            <w:r>
              <w:t>Human review and inactive catalog promotion</w:t>
            </w:r>
          </w:p>
        </w:tc>
      </w:tr>
      <w:tr>
        <w:trPr>
          <w:cantSplit/>
        </w:trPr>
        <w:tc>
          <w:tcPr>
            <w:tcW w:type="dxa" w:w="3168"/>
            <w:vAlign w:val="center"/>
          </w:tcPr>
          <w:p>
            <w:r>
              <w:t>False root cause</w:t>
            </w:r>
          </w:p>
        </w:tc>
        <w:tc>
          <w:tcPr>
            <w:tcW w:type="dxa" w:w="6624"/>
            <w:vAlign w:val="center"/>
          </w:tcPr>
          <w:p>
            <w:r>
              <w:t>Rank associations with explicit causal limitations</w:t>
            </w:r>
          </w:p>
        </w:tc>
      </w:tr>
      <w:tr>
        <w:trPr>
          <w:cantSplit/>
        </w:trPr>
        <w:tc>
          <w:tcPr>
            <w:tcW w:type="dxa" w:w="3168"/>
            <w:vAlign w:val="center"/>
            <w:shd w:fill="EAF1F8"/>
          </w:tcPr>
          <w:p>
            <w:r>
              <w:t>Misread risk score</w:t>
            </w:r>
          </w:p>
        </w:tc>
        <w:tc>
          <w:tcPr>
            <w:tcW w:type="dxa" w:w="6624"/>
            <w:vAlign w:val="center"/>
            <w:shd w:fill="EAF1F8"/>
          </w:tcPr>
          <w:p>
            <w:r>
              <w:t>Document fixed formula and non-probability meaning</w:t>
            </w:r>
          </w:p>
        </w:tc>
      </w:tr>
      <w:tr>
        <w:trPr>
          <w:cantSplit/>
        </w:trPr>
        <w:tc>
          <w:tcPr>
            <w:tcW w:type="dxa" w:w="3168"/>
            <w:vAlign w:val="center"/>
          </w:tcPr>
          <w:p>
            <w:r>
              <w:t>Cross-user chat access</w:t>
            </w:r>
          </w:p>
        </w:tc>
        <w:tc>
          <w:tcPr>
            <w:tcW w:type="dxa" w:w="6624"/>
            <w:vAlign w:val="center"/>
          </w:tcPr>
          <w:p>
            <w:r>
              <w:t>Owner-scoped non-disclosing retrieval</w:t>
            </w:r>
          </w:p>
        </w:tc>
      </w:tr>
      <w:tr>
        <w:trPr>
          <w:cantSplit/>
        </w:trPr>
        <w:tc>
          <w:tcPr>
            <w:tcW w:type="dxa" w:w="3168"/>
            <w:vAlign w:val="center"/>
            <w:shd w:fill="EAF1F8"/>
          </w:tcPr>
          <w:p>
            <w:r>
              <w:t>Stale conversation data</w:t>
            </w:r>
          </w:p>
        </w:tc>
        <w:tc>
          <w:tcPr>
            <w:tcW w:type="dxa" w:w="6624"/>
            <w:vAlign w:val="center"/>
            <w:shd w:fill="EAF1F8"/>
          </w:tcPr>
          <w:p>
            <w:r>
              <w:t>Bounded retention and auditable content purge</w:t>
            </w:r>
          </w:p>
        </w:tc>
      </w:tr>
      <w:tr>
        <w:trPr>
          <w:cantSplit/>
        </w:trPr>
        <w:tc>
          <w:tcPr>
            <w:tcW w:type="dxa" w:w="3168"/>
            <w:vAlign w:val="center"/>
          </w:tcPr>
          <w:p>
            <w:r>
              <w:t>Unsupported chat claim</w:t>
            </w:r>
          </w:p>
        </w:tc>
        <w:tc>
          <w:tcPr>
            <w:tcW w:type="dxa" w:w="6624"/>
            <w:vAlign w:val="center"/>
          </w:tcPr>
          <w:p>
            <w:r>
              <w:t>Request-governed citations and explicit limitations</w:t>
            </w:r>
          </w:p>
        </w:tc>
      </w:tr>
      <w:tr>
        <w:trPr>
          <w:cantSplit/>
        </w:trPr>
        <w:tc>
          <w:tcPr>
            <w:tcW w:type="dxa" w:w="3168"/>
            <w:vAlign w:val="center"/>
            <w:shd w:fill="EAF1F8"/>
          </w:tcPr>
          <w:p>
            <w:r>
              <w:t>Client data overexposure</w:t>
            </w:r>
          </w:p>
        </w:tc>
        <w:tc>
          <w:tcPr>
            <w:tcW w:type="dxa" w:w="6624"/>
            <w:vAlign w:val="center"/>
            <w:shd w:fill="EAF1F8"/>
          </w:tcPr>
          <w:p>
            <w:r>
              <w:t>Allowlisted immutable projection contract</w:t>
            </w:r>
          </w:p>
        </w:tc>
      </w:tr>
      <w:tr>
        <w:trPr>
          <w:cantSplit/>
        </w:trPr>
        <w:tc>
          <w:tcPr>
            <w:tcW w:type="dxa" w:w="3168"/>
            <w:vAlign w:val="center"/>
          </w:tcPr>
          <w:p>
            <w:r>
              <w:t>Private chat projection</w:t>
            </w:r>
          </w:p>
        </w:tc>
        <w:tc>
          <w:tcPr>
            <w:tcW w:type="dxa" w:w="6624"/>
            <w:vAlign w:val="center"/>
          </w:tcPr>
          <w:p>
            <w:r>
              <w:t>Originating owner verification</w:t>
            </w:r>
          </w:p>
        </w:tc>
      </w:tr>
      <w:tr>
        <w:trPr>
          <w:cantSplit/>
        </w:trPr>
        <w:tc>
          <w:tcPr>
            <w:tcW w:type="dxa" w:w="3168"/>
            <w:vAlign w:val="center"/>
            <w:shd w:fill="EAF1F8"/>
          </w:tcPr>
          <w:p>
            <w:r>
              <w:t>Client contract drift</w:t>
            </w:r>
          </w:p>
        </w:tc>
        <w:tc>
          <w:tcPr>
            <w:tcW w:type="dxa" w:w="6624"/>
            <w:vAlign w:val="center"/>
            <w:shd w:fill="EAF1F8"/>
          </w:tcPr>
          <w:p>
            <w:r>
              <w:t>Independent ai-evidence-v1 version</w:t>
            </w:r>
          </w:p>
        </w:tc>
      </w:tr>
    </w:tbl>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w:hAnsi="Aptos"/>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