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signed image provenance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hosted-build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release, immutable commit tag, signed SLSA and CycloneDX attestations, release report, and exact pre-promotion verification;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133 fast tests plus expanded disposable black-box, alert-delivery, and restore-drill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admission-policy type-checking/denial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job.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.github/workflows/release.yml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independent admission enforcement,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evidence, retention, revocation, trusted-builder separation, and admission enforcement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signed release provenance/SBOM, and pre-promotion verification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trusted-builder separation, long-term release evidence, admission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signed hosted release provenance/SBOM are implemented, but the release workflow is not yet an independently governed trusted builder.</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release workflow code or its hosted execution context could produce a valid attestation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signing to a restricted reusable builder, pin its identity/digest, minimize inputs, enforce branch protections, and retain independent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SBOM and aggregate evidence retention is 90 days; native admission now enforces repository/digest identity but does not cryptographically verify provenance.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expire, and a privileged operator could deploy an unattested digest that matches the allowed repository syntax.</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product-lifetime retention and revocation, archive signed bundles independently, and add signature-aware admission bound to the same trust policy.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denial/audit evidence, and signature-aware admission remain;</w:t>
      </w:r>
    </w:p>
    <w:p>
      <w:pPr>
        <w:pStyle w:val="ListBullet"/>
        <w:numPr>
          <w:ilvl w:val="0"/>
          <w:numId w:val="33"/>
        </w:numPr>
      </w:pPr>
      <w:r>
        <w:rPr>
          <w:rFonts w:ascii="Calibri" w:hAnsi="Calibri"/>
          <w:color w:val="111827"/>
          <w:sz w:val="22"/>
        </w:rPr>
        <w:t>validating mTLS proxy, certificate lifecycle, direct-path denial, and live identity evidence;</w:t>
      </w:r>
    </w:p>
    <w:p>
      <w:pPr>
        <w:pStyle w:val="ListBullet"/>
        <w:numPr>
          <w:ilvl w:val="0"/>
          <w:numId w:val="33"/>
        </w:numPr>
      </w:pPr>
      <w:r>
        <w:rPr>
          <w:rFonts w:ascii="Calibri" w:hAnsi="Calibri"/>
          <w:color w:val="111827"/>
          <w:sz w:val="22"/>
        </w:rPr>
        <w:t>logical PostgreSQL restore drill and aggregate CI evidence - implemented initial slice;</w:t>
      </w:r>
    </w:p>
    <w:p>
      <w:pPr>
        <w:pStyle w:val="ListBullet"/>
        <w:numPr>
          <w:ilvl w:val="0"/>
          <w:numId w:val="33"/>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3"/>
        </w:numPr>
      </w:pPr>
      <w:r>
        <w:rPr>
          <w:rFonts w:ascii="Calibri" w:hAnsi="Calibri"/>
          <w:color w:val="111827"/>
          <w:sz w:val="22"/>
        </w:rPr>
        <w:t>performance, resilience, and security-policy calibration;</w:t>
      </w:r>
    </w:p>
    <w:p>
      <w:pPr>
        <w:pStyle w:val="ListBullet"/>
        <w:numPr>
          <w:ilvl w:val="0"/>
          <w:numId w:val="33"/>
        </w:numPr>
      </w:pPr>
      <w:r>
        <w:rPr>
          <w:rFonts w:ascii="Calibri" w:hAnsi="Calibri"/>
          <w:color w:val="111827"/>
          <w:sz w:val="22"/>
        </w:rPr>
        <w:t>ordered development/staging/production promotion validation and retained render evidence â€” implemented initial slice;</w:t>
      </w:r>
    </w:p>
    <w:p>
      <w:pPr>
        <w:pStyle w:val="ListBullet"/>
        <w:numPr>
          <w:ilvl w:val="0"/>
          <w:numId w:val="33"/>
        </w:numPr>
      </w:pPr>
      <w:r>
        <w:rPr>
          <w:rFonts w:ascii="Calibri" w:hAnsi="Calibri"/>
          <w:color w:val="111827"/>
          <w:sz w:val="22"/>
        </w:rPr>
        <w:t>protected GHCR release, signed SLSA/CycloneDX attestations, and exact pre-promotion verification â€” implemented initial hosted-build slice;</w:t>
      </w:r>
    </w:p>
    <w:p>
      <w:pPr>
        <w:pStyle w:val="ListBullet"/>
        <w:numPr>
          <w:ilvl w:val="0"/>
          <w:numId w:val="33"/>
        </w:numPr>
      </w:pPr>
      <w:r>
        <w:rPr>
          <w:rFonts w:ascii="Calibri" w:hAnsi="Calibri"/>
          <w:color w:val="111827"/>
          <w:sz w:val="22"/>
        </w:rPr>
        <w:t>reusable trusted builder, long-term release evidence, signature-aware admission, and real provider deployment across protected environments â€”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4"/>
        </w:numPr>
      </w:pPr>
      <w:r>
        <w:rPr>
          <w:rFonts w:ascii="Calibri" w:hAnsi="Calibri"/>
          <w:color w:val="111827"/>
          <w:sz w:val="22"/>
        </w:rPr>
        <w:t>Provide environment-specific URLs and secrets.</w:t>
      </w:r>
    </w:p>
    <w:p>
      <w:pPr>
        <w:pStyle w:val="ListNumber"/>
        <w:numPr>
          <w:ilvl w:val="0"/>
          <w:numId w:val="34"/>
        </w:numPr>
      </w:pPr>
      <w:r>
        <w:rPr>
          <w:rFonts w:ascii="Calibri" w:hAnsi="Calibri"/>
          <w:color w:val="111827"/>
          <w:sz w:val="22"/>
        </w:rPr>
        <w:t>Start PostgreSQL, Redis, and RabbitMQ and wait for health.</w:t>
      </w:r>
    </w:p>
    <w:p>
      <w:pPr>
        <w:pStyle w:val="ListNumber"/>
        <w:numPr>
          <w:ilvl w:val="0"/>
          <w:numId w:val="34"/>
        </w:numPr>
      </w:pPr>
      <w:r>
        <w:rPr>
          <w:rFonts w:ascii="Calibri" w:hAnsi="Calibri"/>
          <w:color w:val="111827"/>
          <w:sz w:val="22"/>
        </w:rPr>
        <w:t>Apply Alembic migrations exactly once per release.</w:t>
      </w:r>
    </w:p>
    <w:p>
      <w:pPr>
        <w:pStyle w:val="ListNumber"/>
        <w:numPr>
          <w:ilvl w:val="0"/>
          <w:numId w:val="34"/>
        </w:numPr>
      </w:pPr>
      <w:r>
        <w:rPr>
          <w:rFonts w:ascii="Calibri" w:hAnsi="Calibri"/>
          <w:color w:val="111827"/>
          <w:sz w:val="22"/>
        </w:rPr>
        <w:t>Start the API and outbox worker from the same immutable image.</w:t>
      </w:r>
    </w:p>
    <w:p>
      <w:pPr>
        <w:pStyle w:val="ListNumber"/>
        <w:numPr>
          <w:ilvl w:val="0"/>
          <w:numId w:val="34"/>
        </w:numPr>
      </w:pPr>
      <w:r>
        <w:rPr>
          <w:rFonts w:ascii="Calibri" w:hAnsi="Calibri"/>
          <w:color w:val="111827"/>
          <w:sz w:val="22"/>
        </w:rPr>
        <w:t>Verify liveness and readiness.</w:t>
      </w:r>
    </w:p>
    <w:p>
      <w:pPr>
        <w:pStyle w:val="ListNumber"/>
        <w:numPr>
          <w:ilvl w:val="0"/>
          <w:numId w:val="34"/>
        </w:numPr>
      </w:pPr>
      <w:r>
        <w:rPr>
          <w:rFonts w:ascii="Calibri" w:hAnsi="Calibri"/>
          <w:color w:val="111827"/>
          <w:sz w:val="22"/>
        </w:rPr>
        <w:t>Authenticate a controlled test account and publish one smoke-test event.</w:t>
      </w:r>
    </w:p>
    <w:p>
      <w:pPr>
        <w:pStyle w:val="ListNumber"/>
        <w:numPr>
          <w:ilvl w:val="0"/>
          <w:numId w:val="34"/>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5"/>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5"/>
        </w:numPr>
      </w:pPr>
      <w:r>
        <w:rPr>
          <w:rFonts w:ascii="Calibri" w:hAnsi="Calibri"/>
          <w:color w:val="111827"/>
          <w:sz w:val="22"/>
        </w:rPr>
        <w:t>search structured logs by correlation ID and timestamp;</w:t>
      </w:r>
    </w:p>
    <w:p>
      <w:pPr>
        <w:pStyle w:val="ListBullet"/>
        <w:numPr>
          <w:ilvl w:val="0"/>
          <w:numId w:val="35"/>
        </w:numPr>
      </w:pPr>
      <w:r>
        <w:rPr>
          <w:rFonts w:ascii="Calibri" w:hAnsi="Calibri"/>
          <w:color w:val="111827"/>
          <w:sz w:val="22"/>
        </w:rPr>
        <w:t>inspect database pool, Redis availability, or RabbitMQ connection/channel state;</w:t>
      </w:r>
    </w:p>
    <w:p>
      <w:pPr>
        <w:pStyle w:val="ListBullet"/>
        <w:numPr>
          <w:ilvl w:val="0"/>
          <w:numId w:val="35"/>
        </w:numPr>
      </w:pPr>
      <w:r>
        <w:rPr>
          <w:rFonts w:ascii="Calibri" w:hAnsi="Calibri"/>
          <w:color w:val="111827"/>
          <w:sz w:val="22"/>
        </w:rPr>
        <w:t>avoid deleting outbox rows to resolve a broker outage;</w:t>
      </w:r>
    </w:p>
    <w:p>
      <w:pPr>
        <w:pStyle w:val="ListBullet"/>
        <w:numPr>
          <w:ilvl w:val="0"/>
          <w:numId w:val="35"/>
        </w:numPr>
      </w:pPr>
      <w:r>
        <w:rPr>
          <w:rFonts w:ascii="Calibri" w:hAnsi="Calibri"/>
          <w:color w:val="111827"/>
          <w:sz w:val="22"/>
        </w:rPr>
        <w:t>restore the dependency, verify automatic recovery, and review backlog age;</w:t>
      </w:r>
    </w:p>
    <w:p>
      <w:pPr>
        <w:pStyle w:val="ListBullet"/>
        <w:numPr>
          <w:ilvl w:val="0"/>
          <w:numId w:val="35"/>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6"/>
        </w:numPr>
      </w:pPr>
      <w:r>
        <w:rPr>
          <w:rFonts w:ascii="Calibri" w:hAnsi="Calibri"/>
          <w:color w:val="111827"/>
          <w:sz w:val="22"/>
        </w:rPr>
        <w:t>update the document version and revision history;</w:t>
      </w:r>
    </w:p>
    <w:p>
      <w:pPr>
        <w:pStyle w:val="ListBullet"/>
        <w:numPr>
          <w:ilvl w:val="0"/>
          <w:numId w:val="36"/>
        </w:numPr>
      </w:pPr>
      <w:r>
        <w:rPr>
          <w:rFonts w:ascii="Calibri" w:hAnsi="Calibri"/>
          <w:color w:val="111827"/>
          <w:sz w:val="22"/>
        </w:rPr>
        <w:t>reconcile capability status against the repository;</w:t>
      </w:r>
    </w:p>
    <w:p>
      <w:pPr>
        <w:pStyle w:val="ListBullet"/>
        <w:numPr>
          <w:ilvl w:val="0"/>
          <w:numId w:val="36"/>
        </w:numPr>
      </w:pPr>
      <w:r>
        <w:rPr>
          <w:rFonts w:ascii="Calibri" w:hAnsi="Calibri"/>
          <w:color w:val="111827"/>
          <w:sz w:val="22"/>
        </w:rPr>
        <w:t>add or revise requirements and acceptance criteria;</w:t>
      </w:r>
    </w:p>
    <w:p>
      <w:pPr>
        <w:pStyle w:val="ListBullet"/>
        <w:numPr>
          <w:ilvl w:val="0"/>
          <w:numId w:val="36"/>
        </w:numPr>
      </w:pPr>
      <w:r>
        <w:rPr>
          <w:rFonts w:ascii="Calibri" w:hAnsi="Calibri"/>
          <w:color w:val="111827"/>
          <w:sz w:val="22"/>
        </w:rPr>
        <w:t>record architecture decisions and superseded decisions;</w:t>
      </w:r>
    </w:p>
    <w:p>
      <w:pPr>
        <w:pStyle w:val="ListBullet"/>
        <w:numPr>
          <w:ilvl w:val="0"/>
          <w:numId w:val="36"/>
        </w:numPr>
      </w:pPr>
      <w:r>
        <w:rPr>
          <w:rFonts w:ascii="Calibri" w:hAnsi="Calibri"/>
          <w:color w:val="111827"/>
          <w:sz w:val="22"/>
        </w:rPr>
        <w:t>update the test catalogue and executed evidence;</w:t>
      </w:r>
    </w:p>
    <w:p>
      <w:pPr>
        <w:pStyle w:val="ListBullet"/>
        <w:numPr>
          <w:ilvl w:val="0"/>
          <w:numId w:val="36"/>
        </w:numPr>
      </w:pPr>
      <w:r>
        <w:rPr>
          <w:rFonts w:ascii="Calibri" w:hAnsi="Calibri"/>
          <w:color w:val="111827"/>
          <w:sz w:val="22"/>
        </w:rPr>
        <w:t>review threat model, risk register, and technical debt;</w:t>
      </w:r>
    </w:p>
    <w:p>
      <w:pPr>
        <w:pStyle w:val="ListBullet"/>
        <w:numPr>
          <w:ilvl w:val="0"/>
          <w:numId w:val="36"/>
        </w:numPr>
      </w:pPr>
      <w:r>
        <w:rPr>
          <w:rFonts w:ascii="Calibri" w:hAnsi="Calibri"/>
          <w:color w:val="111827"/>
          <w:sz w:val="22"/>
        </w:rPr>
        <w:t>confirm roadmap priorities and Volume I exit criteria;</w:t>
      </w:r>
    </w:p>
    <w:p>
      <w:pPr>
        <w:pStyle w:val="ListBullet"/>
        <w:numPr>
          <w:ilvl w:val="0"/>
          <w:numId w:val="36"/>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9"/>
    <w:lvlOverride w:ilvl="0">
      <w:startOverride w:val="1"/>
    </w:lvlOverride>
  </w:num>
  <w:num w:numId="35">
    <w:abstractNumId w:val="10"/>
    <w:lvlOverride w:ilvl="0">
      <w:startOverride w:val="1"/>
    </w:lvlOverride>
  </w:num>
  <w:num w:numId="3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