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IV</w:t>
      </w:r>
    </w:p>
    <w:p>
      <w:pPr>
        <w:spacing w:after="80"/>
        <w:jc w:val="center"/>
      </w:pPr>
      <w:r>
        <w:rPr>
          <w:rFonts w:ascii="Calibri" w:hAnsi="Calibri"/>
          <w:b/>
          <w:color w:val="1F4D78"/>
          <w:sz w:val="34"/>
        </w:rPr>
        <w:t>CAN Network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0.1.0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24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Increment IV-1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1. Document Purpose</w:t>
      </w:r>
    </w:p>
    <w:p>
      <w:pPr>
        <w:pStyle w:val="ListNumber"/>
        <w:numPr>
          <w:ilvl w:val="0"/>
          <w:numId w:val="10"/>
        </w:numPr>
        <w:ind w:left="216" w:firstLine="0"/>
      </w:pPr>
      <w:r>
        <w:rPr>
          <w:rFonts w:ascii="Calibri" w:hAnsi="Calibri"/>
          <w:b/>
          <w:color w:val="0B2545"/>
          <w:sz w:val="21"/>
        </w:rPr>
        <w:t>2. Document Control</w:t>
      </w:r>
    </w:p>
    <w:p>
      <w:pPr>
        <w:pStyle w:val="ListNumber"/>
        <w:numPr>
          <w:ilvl w:val="0"/>
          <w:numId w:val="10"/>
        </w:numPr>
        <w:ind w:left="216" w:firstLine="0"/>
      </w:pPr>
      <w:r>
        <w:rPr>
          <w:rFonts w:ascii="Calibri" w:hAnsi="Calibri"/>
          <w:b/>
          <w:color w:val="0B2545"/>
          <w:sz w:val="21"/>
        </w:rPr>
        <w:t>3. Revision History</w:t>
      </w:r>
    </w:p>
    <w:p>
      <w:pPr>
        <w:pStyle w:val="ListNumber"/>
        <w:numPr>
          <w:ilvl w:val="0"/>
          <w:numId w:val="10"/>
        </w:numPr>
        <w:ind w:left="216" w:firstLine="0"/>
      </w:pPr>
      <w:r>
        <w:rPr>
          <w:rFonts w:ascii="Calibri" w:hAnsi="Calibri"/>
          <w:b/>
          <w:color w:val="0B2545"/>
          <w:sz w:val="21"/>
        </w:rPr>
        <w:t>4. Scope and Boundaries</w:t>
      </w:r>
    </w:p>
    <w:p>
      <w:pPr>
        <w:pStyle w:val="ListNumber"/>
        <w:numPr>
          <w:ilvl w:val="0"/>
          <w:numId w:val="10"/>
        </w:numPr>
        <w:ind w:left="216" w:firstLine="0"/>
      </w:pPr>
      <w:r>
        <w:rPr>
          <w:rFonts w:ascii="Calibri" w:hAnsi="Calibri"/>
          <w:b/>
          <w:color w:val="0B2545"/>
          <w:sz w:val="21"/>
        </w:rPr>
        <w:t>5. Architecture</w:t>
      </w:r>
    </w:p>
    <w:p>
      <w:pPr>
        <w:pStyle w:val="ListNumber"/>
        <w:numPr>
          <w:ilvl w:val="0"/>
          <w:numId w:val="10"/>
        </w:numPr>
        <w:ind w:left="216" w:firstLine="0"/>
      </w:pPr>
      <w:r>
        <w:rPr>
          <w:rFonts w:ascii="Calibri" w:hAnsi="Calibri"/>
          <w:b/>
          <w:color w:val="0B2545"/>
          <w:sz w:val="21"/>
        </w:rPr>
        <w:t>6. Domain Model</w:t>
      </w:r>
    </w:p>
    <w:p>
      <w:pPr>
        <w:pStyle w:val="ListNumber"/>
        <w:numPr>
          <w:ilvl w:val="0"/>
          <w:numId w:val="10"/>
        </w:numPr>
        <w:ind w:left="216" w:firstLine="0"/>
      </w:pPr>
      <w:r>
        <w:rPr>
          <w:rFonts w:ascii="Calibri" w:hAnsi="Calibri"/>
          <w:b/>
          <w:color w:val="0B2545"/>
          <w:sz w:val="21"/>
        </w:rPr>
        <w:t>7. Public API and Security</w:t>
      </w:r>
    </w:p>
    <w:p>
      <w:pPr>
        <w:pStyle w:val="ListNumber"/>
        <w:numPr>
          <w:ilvl w:val="0"/>
          <w:numId w:val="10"/>
        </w:numPr>
        <w:ind w:left="216" w:firstLine="0"/>
      </w:pPr>
      <w:r>
        <w:rPr>
          <w:rFonts w:ascii="Calibri" w:hAnsi="Calibri"/>
          <w:b/>
          <w:color w:val="0B2545"/>
          <w:sz w:val="21"/>
        </w:rPr>
        <w:t>8. Consistency and Evidence</w:t>
      </w:r>
    </w:p>
    <w:p>
      <w:pPr>
        <w:pStyle w:val="ListNumber"/>
        <w:numPr>
          <w:ilvl w:val="0"/>
          <w:numId w:val="10"/>
        </w:numPr>
        <w:ind w:left="216" w:firstLine="0"/>
      </w:pPr>
      <w:r>
        <w:rPr>
          <w:rFonts w:ascii="Calibri" w:hAnsi="Calibri"/>
          <w:b/>
          <w:color w:val="0B2545"/>
          <w:sz w:val="21"/>
        </w:rPr>
        <w:t>9. Functional Requirements</w:t>
      </w:r>
    </w:p>
    <w:p>
      <w:pPr>
        <w:pStyle w:val="ListNumber"/>
        <w:numPr>
          <w:ilvl w:val="0"/>
          <w:numId w:val="10"/>
        </w:numPr>
        <w:ind w:left="216" w:firstLine="0"/>
      </w:pPr>
      <w:r>
        <w:rPr>
          <w:rFonts w:ascii="Calibri" w:hAnsi="Calibri"/>
          <w:b/>
          <w:color w:val="0B2545"/>
          <w:sz w:val="21"/>
        </w:rPr>
        <w:t>10. Architecture Decisions</w:t>
      </w:r>
    </w:p>
    <w:p>
      <w:pPr>
        <w:pStyle w:val="ListNumber"/>
        <w:numPr>
          <w:ilvl w:val="0"/>
          <w:numId w:val="10"/>
        </w:numPr>
        <w:ind w:left="216" w:firstLine="0"/>
      </w:pPr>
      <w:r>
        <w:rPr>
          <w:rFonts w:ascii="Calibri" w:hAnsi="Calibri"/>
          <w:b/>
          <w:color w:val="0B2545"/>
          <w:sz w:val="21"/>
        </w:rPr>
        <w:t>11. Verification Catalogue</w:t>
      </w:r>
    </w:p>
    <w:p>
      <w:pPr>
        <w:pStyle w:val="ListNumber"/>
        <w:numPr>
          <w:ilvl w:val="0"/>
          <w:numId w:val="10"/>
        </w:numPr>
        <w:ind w:left="216" w:firstLine="0"/>
      </w:pPr>
      <w:r>
        <w:rPr>
          <w:rFonts w:ascii="Calibri" w:hAnsi="Calibri"/>
          <w:b/>
          <w:color w:val="0B2545"/>
          <w:sz w:val="21"/>
        </w:rPr>
        <w:t>12. Implemented Evidence</w:t>
      </w:r>
    </w:p>
    <w:p>
      <w:pPr>
        <w:pStyle w:val="ListNumber"/>
        <w:numPr>
          <w:ilvl w:val="0"/>
          <w:numId w:val="10"/>
        </w:numPr>
        <w:ind w:left="216" w:firstLine="0"/>
      </w:pPr>
      <w:r>
        <w:rPr>
          <w:rFonts w:ascii="Calibri" w:hAnsi="Calibri"/>
          <w:b/>
          <w:color w:val="0B2545"/>
          <w:sz w:val="21"/>
        </w:rPr>
        <w:t>13. Risks and Technical Debt</w:t>
      </w:r>
    </w:p>
    <w:p>
      <w:pPr>
        <w:pStyle w:val="ListNumber"/>
        <w:numPr>
          <w:ilvl w:val="0"/>
          <w:numId w:val="10"/>
        </w:numPr>
        <w:ind w:left="216" w:firstLine="0"/>
      </w:pPr>
      <w:r>
        <w:rPr>
          <w:rFonts w:ascii="Calibri" w:hAnsi="Calibri"/>
          <w:b/>
          <w:color w:val="0B2545"/>
          <w:sz w:val="21"/>
        </w:rPr>
        <w:t>14. Roadmap</w:t>
      </w:r>
    </w:p>
    <w:p>
      <w:pPr>
        <w:pStyle w:val="ListNumber"/>
        <w:numPr>
          <w:ilvl w:val="0"/>
          <w:numId w:val="10"/>
        </w:numPr>
        <w:ind w:left="216" w:firstLine="0"/>
      </w:pPr>
      <w:r>
        <w:rPr>
          <w:rFonts w:ascii="Calibri" w:hAnsi="Calibri"/>
          <w:b/>
          <w:color w:val="0B2545"/>
          <w:sz w:val="21"/>
        </w:rPr>
        <w:t>15. Study Exercises</w:t>
      </w:r>
    </w:p>
    <w:p>
      <w:r>
        <w:br w:type="page"/>
      </w:r>
    </w:p>
    <w:p>
      <w:pPr>
        <w:pStyle w:val="Heading1"/>
        <w:keepNext/>
        <w:keepLines/>
      </w:pPr>
      <w:r>
        <w:t>1. Document Purpose</w:t>
      </w:r>
    </w:p>
    <w:p>
      <w:r>
        <w:rPr>
          <w:rFonts w:ascii="Calibri" w:hAnsi="Calibri"/>
          <w:color w:val="111827"/>
          <w:sz w:val="22"/>
        </w:rPr>
        <w:t>This workbook records the architecture, requirements, engineering decisions, implementation evidence, verification strategy, risks, and study exercises for the CAN Network volume.</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IV - CAN Network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IV-1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Vehicle-scoped aggregate with transactional domain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and integration CI</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ECU-backed topology, classic CAN frame contracts, deterministic submission, RBAC, audit, outbox, migration, APIs, and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One classic CAN network per vehicle.</w:t>
      </w:r>
    </w:p>
    <w:p>
      <w:pPr>
        <w:pStyle w:val="ListBullet"/>
        <w:numPr>
          <w:ilvl w:val="0"/>
          <w:numId w:val="11"/>
        </w:numPr>
      </w:pPr>
      <w:r>
        <w:rPr>
          <w:rFonts w:ascii="Calibri" w:hAnsi="Calibri"/>
          <w:color w:val="111827"/>
          <w:sz w:val="22"/>
        </w:rPr>
        <w:t>One to 64 nodes referencing ECUs from the same vehicle.</w:t>
      </w:r>
    </w:p>
    <w:p>
      <w:pPr>
        <w:pStyle w:val="ListBullet"/>
        <w:numPr>
          <w:ilvl w:val="0"/>
          <w:numId w:val="11"/>
        </w:numPr>
      </w:pPr>
      <w:r>
        <w:rPr>
          <w:rFonts w:ascii="Calibri" w:hAnsi="Calibri"/>
          <w:color w:val="111827"/>
          <w:sz w:val="22"/>
        </w:rPr>
        <w:t>Participant, gateway, and monitor node roles.</w:t>
      </w:r>
    </w:p>
    <w:p>
      <w:pPr>
        <w:pStyle w:val="ListBullet"/>
        <w:numPr>
          <w:ilvl w:val="0"/>
          <w:numId w:val="11"/>
        </w:numPr>
      </w:pPr>
      <w:r>
        <w:rPr>
          <w:rFonts w:ascii="Calibri" w:hAnsi="Calibri"/>
          <w:color w:val="111827"/>
          <w:sz w:val="22"/>
        </w:rPr>
        <w:t>Up to 256 standard or extended frame contracts.</w:t>
      </w:r>
    </w:p>
    <w:p>
      <w:pPr>
        <w:pStyle w:val="ListBullet"/>
        <w:numPr>
          <w:ilvl w:val="0"/>
          <w:numId w:val="11"/>
        </w:numPr>
      </w:pPr>
      <w:r>
        <w:rPr>
          <w:rFonts w:ascii="Calibri" w:hAnsi="Calibri"/>
          <w:color w:val="111827"/>
          <w:sz w:val="22"/>
        </w:rPr>
        <w:t>Classic CAN payloads from zero to eight bytes.</w:t>
      </w:r>
    </w:p>
    <w:p>
      <w:pPr>
        <w:pStyle w:val="ListBullet"/>
        <w:numPr>
          <w:ilvl w:val="0"/>
          <w:numId w:val="11"/>
        </w:numPr>
      </w:pPr>
      <w:r>
        <w:rPr>
          <w:rFonts w:ascii="Calibri" w:hAnsi="Calibri"/>
          <w:color w:val="111827"/>
          <w:sz w:val="22"/>
        </w:rPr>
        <w:t>Deterministic logical microsecond clock, sequence, and optimistic version.</w:t>
      </w:r>
    </w:p>
    <w:p>
      <w:pPr>
        <w:pStyle w:val="ListBullet"/>
        <w:numPr>
          <w:ilvl w:val="0"/>
          <w:numId w:val="11"/>
        </w:numPr>
      </w:pPr>
      <w:r>
        <w:rPr>
          <w:rFonts w:ascii="Calibri" w:hAnsi="Calibri"/>
          <w:color w:val="111827"/>
          <w:sz w:val="22"/>
        </w:rPr>
        <w:t>Exact command replay and stable changed-reuse conflicts.</w:t>
      </w:r>
    </w:p>
    <w:p>
      <w:pPr>
        <w:pStyle w:val="ListBullet"/>
        <w:numPr>
          <w:ilvl w:val="0"/>
          <w:numId w:val="11"/>
        </w:numPr>
      </w:pPr>
      <w:r>
        <w:rPr>
          <w:rFonts w:ascii="Calibri" w:hAnsi="Calibri"/>
          <w:color w:val="111827"/>
          <w:sz w:val="22"/>
        </w:rPr>
        <w:t>Protected create, retrieve, submit, and history APIs.</w:t>
      </w:r>
    </w:p>
    <w:p>
      <w:pPr>
        <w:pStyle w:val="ListBullet"/>
        <w:numPr>
          <w:ilvl w:val="0"/>
          <w:numId w:val="11"/>
        </w:numPr>
      </w:pPr>
      <w:r>
        <w:rPr>
          <w:rFonts w:ascii="Calibri" w:hAnsi="Calibri"/>
          <w:color w:val="111827"/>
          <w:sz w:val="22"/>
        </w:rPr>
        <w:t>Transactional audit and outbox evidence without payload bytes.</w:t>
      </w:r>
    </w:p>
    <w:p>
      <w:pPr>
        <w:pStyle w:val="Heading2"/>
        <w:keepNext/>
        <w:keepLines/>
      </w:pPr>
      <w:r>
        <w:t>4.2 Deferred</w:t>
      </w:r>
    </w:p>
    <w:p>
      <w:pPr>
        <w:pStyle w:val="ListBullet"/>
        <w:numPr>
          <w:ilvl w:val="0"/>
          <w:numId w:val="12"/>
        </w:numPr>
      </w:pPr>
      <w:r>
        <w:rPr>
          <w:rFonts w:ascii="Calibri" w:hAnsi="Calibri"/>
          <w:color w:val="111827"/>
          <w:sz w:val="22"/>
        </w:rPr>
        <w:t>CAN arbitration and calculated bus timing.</w:t>
      </w:r>
    </w:p>
    <w:p>
      <w:pPr>
        <w:pStyle w:val="ListBullet"/>
        <w:numPr>
          <w:ilvl w:val="0"/>
          <w:numId w:val="12"/>
        </w:numPr>
      </w:pPr>
      <w:r>
        <w:rPr>
          <w:rFonts w:ascii="Calibri" w:hAnsi="Calibri"/>
          <w:color w:val="111827"/>
          <w:sz w:val="22"/>
        </w:rPr>
        <w:t>DBC parsing, scaling, byte order, multiplexing, and semantic-signal encoding.</w:t>
      </w:r>
    </w:p>
    <w:p>
      <w:pPr>
        <w:pStyle w:val="ListBullet"/>
        <w:numPr>
          <w:ilvl w:val="0"/>
          <w:numId w:val="12"/>
        </w:numPr>
      </w:pPr>
      <w:r>
        <w:rPr>
          <w:rFonts w:ascii="Calibri" w:hAnsi="Calibri"/>
          <w:color w:val="111827"/>
          <w:sz w:val="22"/>
        </w:rPr>
        <w:t>CAN FD payloads and data-phase bitrate.</w:t>
      </w:r>
    </w:p>
    <w:p>
      <w:pPr>
        <w:pStyle w:val="ListBullet"/>
        <w:numPr>
          <w:ilvl w:val="0"/>
          <w:numId w:val="12"/>
        </w:numPr>
      </w:pPr>
      <w:r>
        <w:rPr>
          <w:rFonts w:ascii="Calibri" w:hAnsi="Calibri"/>
          <w:color w:val="111827"/>
          <w:sz w:val="22"/>
        </w:rPr>
        <w:t>Error frames, error counters, bus-off, recovery, loss, latency, and corruption.</w:t>
      </w:r>
    </w:p>
    <w:p>
      <w:pPr>
        <w:pStyle w:val="ListBullet"/>
        <w:numPr>
          <w:ilvl w:val="0"/>
          <w:numId w:val="12"/>
        </w:numPr>
      </w:pPr>
      <w:r>
        <w:rPr>
          <w:rFonts w:ascii="Calibri" w:hAnsi="Calibri"/>
          <w:color w:val="111827"/>
          <w:sz w:val="22"/>
        </w:rPr>
        <w:t>LIN, automotive Ethernet, physical transceivers, and SocketCAN adapters.</w:t>
      </w:r>
    </w:p>
    <w:p>
      <w:pPr>
        <w:pStyle w:val="Heading1"/>
        <w:keepNext/>
        <w:keepLines/>
      </w:pPr>
      <w:r>
        <w:t>5. Architecture</w:t>
      </w:r>
    </w:p>
    <w:p>
      <w:r>
        <w:rPr>
          <w:rFonts w:ascii="Calibri" w:hAnsi="Calibri"/>
          <w:color w:val="111827"/>
          <w:sz w:val="22"/>
        </w:rPr>
        <w:t xml:space="preserve">The </w:t>
      </w:r>
      <w:r>
        <w:rPr>
          <w:rFonts w:ascii="Consolas" w:hAnsi="Consolas"/>
          <w:color w:val="1F4D78"/>
          <w:sz w:val="19"/>
        </w:rPr>
        <w:t>atep.can_network</w:t>
      </w:r>
      <w:r>
        <w:rPr>
          <w:rFonts w:ascii="Calibri" w:hAnsi="Calibri"/>
          <w:color w:val="111827"/>
          <w:sz w:val="22"/>
        </w:rPr>
        <w:t xml:space="preserve"> module is a protocol boundary between ECU semantic state and future physical bus behavior. A network belongs to one vehicle and stores bounded topology and frame contracts. Nodes reference Volume III ECU UUIDs; ECU lifecycle, memory, faults, and semantic values are not copied into the CAN aggregate.</w:t>
      </w:r>
    </w:p>
    <w:p>
      <w:r>
        <w:rPr>
          <w:rFonts w:ascii="Calibri" w:hAnsi="Calibri"/>
          <w:color w:val="111827"/>
          <w:sz w:val="22"/>
        </w:rPr>
        <w:t>Request flow: authenticated client -&gt; FastAPI router -&gt; CAN RBAC dependency -&gt; vehicle lookup -&gt; CAN domain service -&gt; PostgreSQL aggregate/transmission + audit + transactional outbox -&gt; response.</w:t>
      </w:r>
    </w:p>
    <w:p>
      <w:pPr>
        <w:pStyle w:val="Heading1"/>
        <w:keepNext/>
        <w:keepLines/>
      </w:pPr>
      <w:r>
        <w:t>6. Domain Model</w:t>
      </w:r>
    </w:p>
    <w:p>
      <w:r>
        <w:rPr>
          <w:rFonts w:ascii="Consolas" w:hAnsi="Consolas"/>
          <w:color w:val="1F4D78"/>
          <w:sz w:val="19"/>
        </w:rPr>
        <w:t>CanNetwork</w:t>
      </w:r>
      <w:r>
        <w:rPr>
          <w:rFonts w:ascii="Calibri" w:hAnsi="Calibri"/>
          <w:color w:val="111827"/>
          <w:sz w:val="22"/>
        </w:rPr>
        <w:t xml:space="preserve"> stores vehicle ownership, identity, bitrate, nodes, frame contracts, version, logical microsecond time, and the next sequence. </w:t>
      </w:r>
      <w:r>
        <w:rPr>
          <w:rFonts w:ascii="Consolas" w:hAnsi="Consolas"/>
          <w:color w:val="1F4D78"/>
          <w:sz w:val="19"/>
        </w:rPr>
        <w:t>CanFrameTransmission</w:t>
      </w:r>
      <w:r>
        <w:rPr>
          <w:rFonts w:ascii="Calibri" w:hAnsi="Calibri"/>
          <w:color w:val="111827"/>
          <w:sz w:val="22"/>
        </w:rPr>
        <w:t xml:space="preserve"> stores command identity, contract, producer, CAN ID and format, request, payload, sequence, logical time, versions, and actor.</w:t>
      </w:r>
    </w:p>
    <w:p>
      <w:r>
        <w:rPr>
          <w:rFonts w:ascii="Calibri" w:hAnsi="Calibri"/>
          <w:color w:val="111827"/>
          <w:sz w:val="22"/>
        </w:rPr>
        <w:t>Bounds are architectural controls: 64 nodes, 256 contracts, 8 payload bytes, a 10-second maximum logical advance per submission, safe history pagination, and one network aggregate per vehicle.</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topology and contracts.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the network.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/api/v1/vehicles/{vehicle_id}/can-networks/frames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one contracted frame.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/api/v1/vehicles/{vehicle_id}/can-networks/frames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 safely paginated evidence.</w:t>
            </w:r>
          </w:p>
        </w:tc>
      </w:tr>
    </w:tbl>
    <w:p>
      <w:pPr>
        <w:spacing w:after="60"/>
      </w:pPr>
    </w:p>
    <w:p>
      <w:r>
        <w:rPr>
          <w:rFonts w:ascii="Calibri" w:hAnsi="Calibri"/>
          <w:color w:val="111827"/>
          <w:sz w:val="22"/>
        </w:rPr>
        <w:t>The Android Automotive application and future gateways continue to use the public ATEP API. They never connect directly to PostgreSQL or RabbitMQ.</w:t>
      </w:r>
    </w:p>
    <w:p>
      <w:pPr>
        <w:pStyle w:val="Heading1"/>
        <w:keepNext/>
        <w:keepLines/>
      </w:pPr>
      <w:r>
        <w:t>8. Consistency and Evidence</w:t>
      </w:r>
    </w:p>
    <w:p>
      <w:r>
        <w:rPr>
          <w:rFonts w:ascii="Calibri" w:hAnsi="Calibri"/>
          <w:color w:val="111827"/>
          <w:sz w:val="22"/>
        </w:rPr>
        <w:t>Creation verifies that every declared node is an ECU owned by the vehicle. Submission locks the network row, verifies the expected version, resolves the immutable frame contract, checks producer ownership and exact DLC, assigns the next sequence, advances logical time, and increments version.</w:t>
      </w:r>
    </w:p>
    <w:p>
      <w:r>
        <w:rPr>
          <w:rFonts w:ascii="Calibri" w:hAnsi="Calibri"/>
          <w:color w:val="111827"/>
          <w:sz w:val="22"/>
        </w:rPr>
        <w:t xml:space="preserve">Exact retry returns the persisted transmission without a second mutation or event. Differing reuse of a command ID fails with </w:t>
      </w:r>
      <w:r>
        <w:rPr>
          <w:rFonts w:ascii="Consolas" w:hAnsi="Consolas"/>
          <w:color w:val="1F4D78"/>
          <w:sz w:val="19"/>
        </w:rPr>
        <w:t>can_frame_command_conflict</w:t>
      </w:r>
      <w:r>
        <w:rPr>
          <w:rFonts w:ascii="Calibri" w:hAnsi="Calibri"/>
          <w:color w:val="111827"/>
          <w:sz w:val="22"/>
        </w:rPr>
        <w:t>. Audit and outbox evidence retains IDs, format, DLC, sequence, logical time, and versions while excluding payload bytes.</w:t>
      </w:r>
    </w:p>
    <w:p>
      <w:pPr>
        <w:pStyle w:val="Heading1"/>
        <w:keepNext/>
        <w:keepLines/>
      </w:pPr>
      <w:r>
        <w:t>9. Functional Requirements</w:t>
      </w:r>
    </w:p>
    <w:p>
      <w:r>
        <w:rPr>
          <w:rFonts w:ascii="Calibri" w:hAnsi="Calibri"/>
          <w:color w:val="111827"/>
          <w:sz w:val="22"/>
        </w:rPr>
        <w:t xml:space="preserve">The authoritative catalogue is </w:t>
      </w:r>
      <w:r>
        <w:rPr>
          <w:rFonts w:ascii="Consolas" w:hAnsi="Consolas"/>
          <w:color w:val="1F4D78"/>
          <w:sz w:val="19"/>
        </w:rPr>
        <w:t>docs/requirements-volume-iv.md</w:t>
      </w:r>
      <w:r>
        <w:rPr>
          <w:rFonts w:ascii="Calibri" w:hAnsi="Calibri"/>
          <w:color w:val="111827"/>
          <w:sz w:val="22"/>
        </w:rPr>
        <w:t>. IV-1 implements CAN-F-001 through CAN-F-012 and CAN-NF-001 through CAN-NF-006.</w:t>
      </w:r>
    </w:p>
    <w:p>
      <w:pPr>
        <w:pStyle w:val="Heading1"/>
        <w:keepNext/>
        <w:keepLines/>
      </w:pPr>
      <w:r>
        <w:t>10. Architecture Decisions</w:t>
      </w:r>
    </w:p>
    <w:p>
      <w:pPr>
        <w:pStyle w:val="Heading2"/>
        <w:keepNext/>
        <w:keepLines/>
      </w:pPr>
      <w:r>
        <w:t>ADR-CAN-001 - Reference ECUs Instead of Recreating Controllers</w:t>
      </w:r>
    </w:p>
    <w:p>
      <w:r>
        <w:rPr>
          <w:rFonts w:ascii="Calibri" w:hAnsi="Calibri"/>
          <w:color w:val="111827"/>
          <w:sz w:val="22"/>
        </w:rPr>
        <w:t>The CAN topology stores ECU UUIDs. Volume III remains the source of controller identity and state.</w:t>
      </w:r>
    </w:p>
    <w:p>
      <w:pPr>
        <w:pStyle w:val="Heading2"/>
        <w:keepNext/>
        <w:keepLines/>
      </w:pPr>
      <w:r>
        <w:t>ADR-CAN-002 - Separate Semantic Signals from Transport Frames</w:t>
      </w:r>
    </w:p>
    <w:p>
      <w:r>
        <w:rPr>
          <w:rFonts w:ascii="Calibri" w:hAnsi="Calibri"/>
          <w:color w:val="111827"/>
          <w:sz w:val="22"/>
        </w:rPr>
        <w:t>ECUs own physical meaning and values. CAN owns identifiers, DLC, payload bytes, sequence, and future transport timing. DBC will become the explicit adapter between these representations.</w:t>
      </w:r>
    </w:p>
    <w:p>
      <w:pPr>
        <w:pStyle w:val="Heading2"/>
        <w:keepNext/>
        <w:keepLines/>
      </w:pPr>
      <w:r>
        <w:t>ADR-CAN-003 - Use Logical Bus Time</w:t>
      </w:r>
    </w:p>
    <w:p>
      <w:r>
        <w:rPr>
          <w:rFonts w:ascii="Calibri" w:hAnsi="Calibri"/>
          <w:color w:val="111827"/>
          <w:sz w:val="22"/>
        </w:rPr>
        <w:t>Explicit microsecond advances make tests repeatable across machines. Host duration and resource load never alter simulated truth.</w:t>
      </w:r>
    </w:p>
    <w:p>
      <w:pPr>
        <w:pStyle w:val="Heading2"/>
        <w:keepNext/>
        <w:keepLines/>
      </w:pPr>
      <w:r>
        <w:t>ADR-CAN-004 - Persist Replay-Safe Submission Evidence</w:t>
      </w:r>
    </w:p>
    <w:p>
      <w:r>
        <w:rPr>
          <w:rFonts w:ascii="Calibri" w:hAnsi="Calibri"/>
          <w:color w:val="111827"/>
          <w:sz w:val="22"/>
        </w:rPr>
        <w:t>A unique command ID plus the canonical request distinguishes exact retries from conflicting reuse.</w:t>
      </w:r>
    </w:p>
    <w:p>
      <w:pPr>
        <w:pStyle w:val="Heading2"/>
        <w:keepNext/>
        <w:keepLines/>
      </w:pPr>
      <w:r>
        <w:t>ADR-CAN-005 - Minimize Audit and Event Payloads</w:t>
      </w:r>
    </w:p>
    <w:p>
      <w:r>
        <w:rPr>
          <w:rFonts w:ascii="Calibri" w:hAnsi="Calibri"/>
          <w:color w:val="111827"/>
          <w:sz w:val="22"/>
        </w:rPr>
        <w:t>Evidence records transport identity and metrics without copying physical payload bytes into logs or messages.</w:t>
      </w:r>
    </w:p>
    <w:p>
      <w:pPr>
        <w:pStyle w:val="Heading2"/>
        <w:keepNext/>
        <w:keepLines/>
      </w:pPr>
      <w:r>
        <w:t>ADR-CAN-006 - Defer Arbitration Until Its Timing Model Is Explicit</w:t>
      </w:r>
    </w:p>
    <w:p>
      <w:r>
        <w:rPr>
          <w:rFonts w:ascii="Calibri" w:hAnsi="Calibri"/>
          <w:color w:val="111827"/>
          <w:sz w:val="22"/>
        </w:rPr>
        <w:t>A submitted frame is not yet a physically arbitrated transmission. IV-2 will define priority, duration, delivery, and bus-load semantics rather than hiding them in IV-1.</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Standard ID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IDs above </w:t>
            </w:r>
            <w:r>
              <w:rPr>
                <w:rFonts w:ascii="Calibri" w:hAnsi="Calibri"/>
                <w:b w:val="0"/>
                <w:color w:val="111827"/>
                <w:sz w:val="17"/>
              </w:rPr>
              <w:t>0x7FF</w:t>
            </w:r>
            <w:r>
              <w:rPr>
                <w:rFonts w:ascii="Calibri" w:hAnsi="Calibri"/>
                <w:b w:val="0"/>
                <w:color w:val="111827"/>
                <w:sz w:val="17"/>
              </w:rPr>
              <w:t xml:space="preserve"> in standard format.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Extended ID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IDs through 29 bits.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Node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the 65th ECU node.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the 257th frame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Topology ownership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 ECU belonging to another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Unique topology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nodes, contract names, and format/ID pairs.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DLC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payload length to equal the contracted DLC.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Producer ownership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submission by an undeclared producer.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Deterministic order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monotonically increasing sequence numbers.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Logical time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transmission time only from explicit inputs.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Optimistic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current version for stale submissions.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Avoid advancing time, sequence, or version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Command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aggregate, frame,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payload bytes from audit and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Separate read and manage permissions.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typed contracts and pagination bounds.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the PostgreSQL schema.</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1"/>
        <w:keepNext/>
        <w:keepLines/>
      </w:pPr>
      <w:r>
        <w:t>12. Implemented Evidence</w:t>
      </w:r>
    </w:p>
    <w:p>
      <w:pPr>
        <w:pStyle w:val="ListBullet"/>
        <w:numPr>
          <w:ilvl w:val="0"/>
          <w:numId w:val="13"/>
        </w:numPr>
      </w:pPr>
      <w:r>
        <w:rPr>
          <w:rFonts w:ascii="Consolas" w:hAnsi="Consolas"/>
          <w:color w:val="1F4D78"/>
          <w:sz w:val="19"/>
        </w:rPr>
        <w:t>src/atep/can_network/</w:t>
      </w:r>
      <w:r>
        <w:rPr>
          <w:rFonts w:ascii="Calibri" w:hAnsi="Calibri"/>
          <w:color w:val="111827"/>
          <w:sz w:val="22"/>
        </w:rPr>
        <w:t xml:space="preserve"> contains models, schemas, service, and router.</w:t>
      </w:r>
    </w:p>
    <w:p>
      <w:pPr>
        <w:pStyle w:val="ListBullet"/>
        <w:numPr>
          <w:ilvl w:val="0"/>
          <w:numId w:val="13"/>
        </w:numPr>
      </w:pPr>
      <w:r>
        <w:rPr>
          <w:rFonts w:ascii="Calibri" w:hAnsi="Calibri"/>
          <w:color w:val="111827"/>
          <w:sz w:val="22"/>
        </w:rPr>
        <w:t xml:space="preserve">Migration </w:t>
      </w:r>
      <w:r>
        <w:rPr>
          <w:rFonts w:ascii="Consolas" w:hAnsi="Consolas"/>
          <w:color w:val="1F4D78"/>
          <w:sz w:val="19"/>
        </w:rPr>
        <w:t>0024_can_network_baseline</w:t>
      </w:r>
      <w:r>
        <w:rPr>
          <w:rFonts w:ascii="Calibri" w:hAnsi="Calibri"/>
          <w:color w:val="111827"/>
          <w:sz w:val="22"/>
        </w:rPr>
        <w:t xml:space="preserve"> owns the database schema.</w:t>
      </w:r>
    </w:p>
    <w:p>
      <w:pPr>
        <w:pStyle w:val="ListBullet"/>
        <w:numPr>
          <w:ilvl w:val="0"/>
          <w:numId w:val="13"/>
        </w:numPr>
      </w:pPr>
      <w:r>
        <w:rPr>
          <w:rFonts w:ascii="Calibri" w:hAnsi="Calibri"/>
          <w:color w:val="111827"/>
          <w:sz w:val="22"/>
        </w:rPr>
        <w:t xml:space="preserve">Events are </w:t>
      </w:r>
      <w:r>
        <w:rPr>
          <w:rFonts w:ascii="Consolas" w:hAnsi="Consolas"/>
          <w:color w:val="1F4D78"/>
          <w:sz w:val="19"/>
        </w:rPr>
        <w:t>atep.can.network.created.v1</w:t>
      </w:r>
      <w:r>
        <w:rPr>
          <w:rFonts w:ascii="Calibri" w:hAnsi="Calibri"/>
          <w:color w:val="111827"/>
          <w:sz w:val="22"/>
        </w:rPr>
        <w:t xml:space="preserve"> and </w:t>
      </w:r>
      <w:r>
        <w:rPr>
          <w:rFonts w:ascii="Consolas" w:hAnsi="Consolas"/>
          <w:color w:val="1F4D78"/>
          <w:sz w:val="19"/>
        </w:rPr>
        <w:t>atep.can.frame.submitted.v1</w:t>
      </w:r>
      <w:r>
        <w:rPr>
          <w:rFonts w:ascii="Calibri" w:hAnsi="Calibri"/>
          <w:color w:val="111827"/>
          <w:sz w:val="22"/>
        </w:rPr>
        <w:t>.</w:t>
      </w:r>
    </w:p>
    <w:p>
      <w:pPr>
        <w:pStyle w:val="ListBullet"/>
        <w:numPr>
          <w:ilvl w:val="0"/>
          <w:numId w:val="13"/>
        </w:numPr>
      </w:pPr>
      <w:r>
        <w:rPr>
          <w:rFonts w:ascii="Calibri" w:hAnsi="Calibri"/>
          <w:color w:val="111827"/>
          <w:sz w:val="22"/>
        </w:rPr>
        <w:t xml:space="preserve">Permissions are </w:t>
      </w:r>
      <w:r>
        <w:rPr>
          <w:rFonts w:ascii="Consolas" w:hAnsi="Consolas"/>
          <w:color w:val="1F4D78"/>
          <w:sz w:val="19"/>
        </w:rPr>
        <w:t>can_networks:read</w:t>
      </w:r>
      <w:r>
        <w:rPr>
          <w:rFonts w:ascii="Calibri" w:hAnsi="Calibri"/>
          <w:color w:val="111827"/>
          <w:sz w:val="22"/>
        </w:rPr>
        <w:t xml:space="preserve"> and </w:t>
      </w:r>
      <w:r>
        <w:rPr>
          <w:rFonts w:ascii="Consolas" w:hAnsi="Consolas"/>
          <w:color w:val="1F4D78"/>
          <w:sz w:val="19"/>
        </w:rPr>
        <w:t>can_networks:manage</w:t>
      </w:r>
      <w:r>
        <w:rPr>
          <w:rFonts w:ascii="Calibri" w:hAnsi="Calibri"/>
          <w:color w:val="111827"/>
          <w:sz w:val="22"/>
        </w:rPr>
        <w:t>.</w:t>
      </w:r>
    </w:p>
    <w:p>
      <w:pPr>
        <w:pStyle w:val="ListBullet"/>
        <w:numPr>
          <w:ilvl w:val="0"/>
          <w:numId w:val="13"/>
        </w:numPr>
      </w:pPr>
      <w:r>
        <w:rPr>
          <w:rFonts w:ascii="Calibri" w:hAnsi="Calibri"/>
          <w:color w:val="111827"/>
          <w:sz w:val="22"/>
        </w:rPr>
        <w:t>Automated tests cover validation, deterministic mutation, replay, errors, evidence, and OpenAPI.</w:t>
      </w:r>
    </w:p>
    <w:p>
      <w:pPr>
        <w:pStyle w:val="Heading1"/>
        <w:keepNext/>
        <w:keepLines/>
      </w:pPr>
      <w:r>
        <w:t>13. Risks and Technical Debt</w:t>
      </w:r>
    </w:p>
    <w:p>
      <w:pPr>
        <w:pStyle w:val="ListBullet"/>
        <w:numPr>
          <w:ilvl w:val="0"/>
          <w:numId w:val="14"/>
        </w:numPr>
      </w:pPr>
      <w:r>
        <w:rPr>
          <w:rFonts w:ascii="Calibri" w:hAnsi="Calibri"/>
          <w:color w:val="111827"/>
          <w:sz w:val="22"/>
        </w:rPr>
        <w:t>JSON topology is practical for the bounded baseline but may later need normalized history.</w:t>
      </w:r>
    </w:p>
    <w:p>
      <w:pPr>
        <w:pStyle w:val="ListBullet"/>
        <w:numPr>
          <w:ilvl w:val="0"/>
          <w:numId w:val="14"/>
        </w:numPr>
      </w:pPr>
      <w:r>
        <w:rPr>
          <w:rFonts w:ascii="Calibri" w:hAnsi="Calibri"/>
          <w:color w:val="111827"/>
          <w:sz w:val="22"/>
        </w:rPr>
        <w:t>One network per vehicle is intentionally conservative; real vehicles contain multiple buses.</w:t>
      </w:r>
    </w:p>
    <w:p>
      <w:pPr>
        <w:pStyle w:val="ListBullet"/>
        <w:numPr>
          <w:ilvl w:val="0"/>
          <w:numId w:val="14"/>
        </w:numPr>
      </w:pPr>
      <w:r>
        <w:rPr>
          <w:rFonts w:ascii="Calibri" w:hAnsi="Calibri"/>
          <w:color w:val="111827"/>
          <w:sz w:val="22"/>
        </w:rPr>
        <w:t>Stored payloads are test evidence and may require a future retention policy.</w:t>
      </w:r>
    </w:p>
    <w:p>
      <w:pPr>
        <w:pStyle w:val="ListBullet"/>
        <w:numPr>
          <w:ilvl w:val="0"/>
          <w:numId w:val="14"/>
        </w:numPr>
      </w:pPr>
      <w:r>
        <w:rPr>
          <w:rFonts w:ascii="Calibri" w:hAnsi="Calibri"/>
          <w:color w:val="111827"/>
          <w:sz w:val="22"/>
        </w:rPr>
        <w:t>Submission order is not arbitration order until IV-2 defines timing and priority behavior.</w:t>
      </w:r>
    </w:p>
    <w:p>
      <w:pPr>
        <w:pStyle w:val="ListBullet"/>
        <w:numPr>
          <w:ilvl w:val="0"/>
          <w:numId w:val="14"/>
        </w:numPr>
      </w:pPr>
      <w:r>
        <w:rPr>
          <w:rFonts w:ascii="Calibri" w:hAnsi="Calibri"/>
          <w:color w:val="111827"/>
          <w:sz w:val="22"/>
        </w:rPr>
        <w:t>No DBC adapter currently maps Volume III semantic values into payload bytes.</w:t>
      </w:r>
    </w:p>
    <w:p>
      <w:pPr>
        <w:pStyle w:val="Heading1"/>
        <w:keepNext/>
        <w:keepLines/>
      </w:pPr>
      <w:r>
        <w:t>14. Roadmap</w:t>
      </w:r>
    </w:p>
    <w:p>
      <w:r>
        <w:rPr>
          <w:rFonts w:ascii="Calibri" w:hAnsi="Calibri"/>
          <w:color w:val="111827"/>
          <w:sz w:val="22"/>
        </w:rPr>
        <w:t xml:space="preserve">The recommended next increment is IV-2: deterministic arbitration, calculated transmission duration, receive delivery, and bounded bus-load evidence. See </w:t>
      </w:r>
      <w:r>
        <w:rPr>
          <w:rFonts w:ascii="Consolas" w:hAnsi="Consolas"/>
          <w:color w:val="1F4D78"/>
          <w:sz w:val="19"/>
        </w:rPr>
        <w:t>docs/roadmap-volume-iv.md</w:t>
      </w:r>
      <w:r>
        <w:rPr>
          <w:rFonts w:ascii="Calibri" w:hAnsi="Calibri"/>
          <w:color w:val="111827"/>
          <w:sz w:val="22"/>
        </w:rPr>
        <w:t>.</w:t>
      </w:r>
    </w:p>
    <w:p>
      <w:pPr>
        <w:pStyle w:val="Heading1"/>
        <w:keepNext/>
        <w:keepLines/>
      </w:pPr>
      <w:r>
        <w:t>15. Study Exercises</w:t>
      </w:r>
    </w:p>
    <w:p>
      <w:pPr>
        <w:pStyle w:val="ListNumber"/>
        <w:numPr>
          <w:ilvl w:val="0"/>
          <w:numId w:val="15"/>
        </w:numPr>
      </w:pPr>
      <w:r>
        <w:rPr>
          <w:rFonts w:ascii="Calibri" w:hAnsi="Calibri"/>
          <w:color w:val="111827"/>
          <w:sz w:val="22"/>
        </w:rPr>
        <w:t>Explain why a CAN node references an ECU UUID instead of copying ECU state.</w:t>
      </w:r>
    </w:p>
    <w:p>
      <w:pPr>
        <w:pStyle w:val="ListNumber"/>
        <w:numPr>
          <w:ilvl w:val="0"/>
          <w:numId w:val="15"/>
        </w:numPr>
      </w:pPr>
      <w:r>
        <w:rPr>
          <w:rFonts w:ascii="Calibri" w:hAnsi="Calibri"/>
          <w:color w:val="111827"/>
          <w:sz w:val="22"/>
        </w:rPr>
        <w:t>Compare standard 11-bit and extended 29-bit identifier limits.</w:t>
      </w:r>
    </w:p>
    <w:p>
      <w:pPr>
        <w:pStyle w:val="ListNumber"/>
        <w:numPr>
          <w:ilvl w:val="0"/>
          <w:numId w:val="15"/>
        </w:numPr>
      </w:pPr>
      <w:r>
        <w:rPr>
          <w:rFonts w:ascii="Calibri" w:hAnsi="Calibri"/>
          <w:color w:val="111827"/>
          <w:sz w:val="22"/>
        </w:rPr>
        <w:t>Design a battery-status contract with a two-byte payload and three consumers.</w:t>
      </w:r>
    </w:p>
    <w:p>
      <w:pPr>
        <w:pStyle w:val="ListNumber"/>
        <w:numPr>
          <w:ilvl w:val="0"/>
          <w:numId w:val="15"/>
        </w:numPr>
      </w:pPr>
      <w:r>
        <w:rPr>
          <w:rFonts w:ascii="Calibri" w:hAnsi="Calibri"/>
          <w:color w:val="111827"/>
          <w:sz w:val="22"/>
        </w:rPr>
        <w:t>Trace a successful submission through row lock, version, sequence, audit, and outbox.</w:t>
      </w:r>
    </w:p>
    <w:p>
      <w:pPr>
        <w:pStyle w:val="ListNumber"/>
        <w:numPr>
          <w:ilvl w:val="0"/>
          <w:numId w:val="15"/>
        </w:numPr>
      </w:pPr>
      <w:r>
        <w:rPr>
          <w:rFonts w:ascii="Calibri" w:hAnsi="Calibri"/>
          <w:color w:val="111827"/>
          <w:sz w:val="22"/>
        </w:rPr>
        <w:t>Explain why host elapsed time cannot be used as simulated bus time.</w:t>
      </w:r>
    </w:p>
    <w:p>
      <w:pPr>
        <w:pStyle w:val="ListNumber"/>
        <w:numPr>
          <w:ilvl w:val="0"/>
          <w:numId w:val="15"/>
        </w:numPr>
      </w:pPr>
      <w:r>
        <w:rPr>
          <w:rFonts w:ascii="Calibri" w:hAnsi="Calibri"/>
          <w:color w:val="111827"/>
          <w:sz w:val="22"/>
        </w:rPr>
        <w:t>Prove why an exact retry must not increment sequence twice.</w:t>
      </w:r>
    </w:p>
    <w:p>
      <w:pPr>
        <w:pStyle w:val="ListNumber"/>
        <w:numPr>
          <w:ilvl w:val="0"/>
          <w:numId w:val="15"/>
        </w:numPr>
      </w:pPr>
      <w:r>
        <w:rPr>
          <w:rFonts w:ascii="Calibri" w:hAnsi="Calibri"/>
          <w:color w:val="111827"/>
          <w:sz w:val="22"/>
        </w:rPr>
        <w:t xml:space="preserve">Compare </w:t>
      </w:r>
      <w:r>
        <w:rPr>
          <w:rFonts w:ascii="Consolas" w:hAnsi="Consolas"/>
          <w:color w:val="1F4D78"/>
          <w:sz w:val="19"/>
        </w:rPr>
        <w:t>can_network_version_conflict</w:t>
      </w:r>
      <w:r>
        <w:rPr>
          <w:rFonts w:ascii="Calibri" w:hAnsi="Calibri"/>
          <w:color w:val="111827"/>
          <w:sz w:val="22"/>
        </w:rPr>
        <w:t xml:space="preserve"> and </w:t>
      </w:r>
      <w:r>
        <w:rPr>
          <w:rFonts w:ascii="Consolas" w:hAnsi="Consolas"/>
          <w:color w:val="1F4D78"/>
          <w:sz w:val="19"/>
        </w:rPr>
        <w:t>can_frame_command_conflict</w:t>
      </w:r>
      <w:r>
        <w:rPr>
          <w:rFonts w:ascii="Calibri" w:hAnsi="Calibri"/>
          <w:color w:val="111827"/>
          <w:sz w:val="22"/>
        </w:rPr>
        <w:t>.</w:t>
      </w:r>
    </w:p>
    <w:p>
      <w:pPr>
        <w:pStyle w:val="ListNumber"/>
        <w:numPr>
          <w:ilvl w:val="0"/>
          <w:numId w:val="15"/>
        </w:numPr>
      </w:pPr>
      <w:r>
        <w:rPr>
          <w:rFonts w:ascii="Calibri" w:hAnsi="Calibri"/>
          <w:color w:val="111827"/>
          <w:sz w:val="22"/>
        </w:rPr>
        <w:t>Explain why payload bytes are stored as evidence but excluded from audit and events.</w:t>
      </w:r>
    </w:p>
    <w:p>
      <w:pPr>
        <w:pStyle w:val="ListNumber"/>
        <w:numPr>
          <w:ilvl w:val="0"/>
          <w:numId w:val="15"/>
        </w:numPr>
      </w:pPr>
      <w:r>
        <w:rPr>
          <w:rFonts w:ascii="Calibri" w:hAnsi="Calibri"/>
          <w:color w:val="111827"/>
          <w:sz w:val="22"/>
        </w:rPr>
        <w:t>Propose an IV-2 arbitration rule for simultaneous standard frames.</w:t>
      </w:r>
    </w:p>
    <w:p>
      <w:pPr>
        <w:pStyle w:val="ListNumber"/>
        <w:numPr>
          <w:ilvl w:val="0"/>
          <w:numId w:val="15"/>
        </w:numPr>
      </w:pPr>
      <w:r>
        <w:rPr>
          <w:rFonts w:ascii="Calibri" w:hAnsi="Calibri"/>
          <w:color w:val="111827"/>
          <w:sz w:val="22"/>
        </w:rPr>
        <w:t>Calculate approximate classic CAN frame duration and list the assumptions still required.</w:t>
      </w:r>
    </w:p>
    <w:p>
      <w:pPr>
        <w:pStyle w:val="ListNumber"/>
        <w:numPr>
          <w:ilvl w:val="0"/>
          <w:numId w:val="15"/>
        </w:numPr>
      </w:pPr>
      <w:r>
        <w:rPr>
          <w:rFonts w:ascii="Calibri" w:hAnsi="Calibri"/>
          <w:color w:val="111827"/>
          <w:sz w:val="22"/>
        </w:rPr>
        <w:t>Design the DBC adapter boundary between a BMS semantic signal and a CAN payload.</w:t>
      </w:r>
    </w:p>
    <w:p>
      <w:pPr>
        <w:pStyle w:val="ListNumber"/>
        <w:numPr>
          <w:ilvl w:val="0"/>
          <w:numId w:val="15"/>
        </w:numPr>
      </w:pPr>
      <w:r>
        <w:rPr>
          <w:rFonts w:ascii="Calibri" w:hAnsi="Calibri"/>
          <w:color w:val="111827"/>
          <w:sz w:val="22"/>
        </w:rPr>
        <w:t>Propose how multiple buses per vehicle could be added without breaking current identifiers.</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IV Workbook  |  Version 0.1.0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IV  /  CAN NETWORK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IV - CAN Network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docs/workbook-volume-iv.md</dc:description>
  <cp:lastModifiedBy/>
  <cp:revision>1</cp:revision>
  <dcterms:created xsi:type="dcterms:W3CDTF">2013-12-23T23:15:00Z</dcterms:created>
  <dcterms:modified xsi:type="dcterms:W3CDTF">2013-12-23T23:15:00Z</dcterms:modified>
  <cp:category/>
</cp:coreProperties>
</file>