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VI</w:t>
      </w:r>
    </w:p>
    <w:p>
      <w:pPr>
        <w:spacing w:after="80"/>
        <w:jc w:val="center"/>
      </w:pPr>
      <w:r>
        <w:rPr>
          <w:rFonts w:ascii="Calibri" w:hAnsi="Calibri"/>
          <w:b/>
          <w:color w:val="1F4D78"/>
          <w:sz w:val="34"/>
        </w:rPr>
        <w:t>Electric Vehicle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4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VI-1 battery/BMS, VI-2 motor/inverter, and VI-3 braking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Purpose and Scope</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Engineering Model</w:t>
      </w:r>
    </w:p>
    <w:p>
      <w:pPr>
        <w:pStyle w:val="ListNumber"/>
        <w:numPr>
          <w:ilvl w:val="0"/>
          <w:numId w:val="10"/>
        </w:numPr>
        <w:ind w:left="216" w:firstLine="0"/>
      </w:pPr>
      <w:r>
        <w:rPr>
          <w:rFonts w:ascii="Calibri" w:hAnsi="Calibri"/>
          <w:b/>
          <w:color w:val="0B2545"/>
          <w:sz w:val="21"/>
        </w:rPr>
        <w:t>BMS State Policy</w:t>
      </w:r>
    </w:p>
    <w:p>
      <w:pPr>
        <w:pStyle w:val="ListNumber"/>
        <w:numPr>
          <w:ilvl w:val="0"/>
          <w:numId w:val="10"/>
        </w:numPr>
        <w:ind w:left="216" w:firstLine="0"/>
      </w:pPr>
      <w:r>
        <w:rPr>
          <w:rFonts w:ascii="Calibri" w:hAnsi="Calibri"/>
          <w:b/>
          <w:color w:val="0B2545"/>
          <w:sz w:val="21"/>
        </w:rPr>
        <w:t>API Contract</w:t>
      </w:r>
    </w:p>
    <w:p>
      <w:pPr>
        <w:pStyle w:val="ListNumber"/>
        <w:numPr>
          <w:ilvl w:val="0"/>
          <w:numId w:val="10"/>
        </w:numPr>
        <w:ind w:left="216" w:firstLine="0"/>
      </w:pPr>
      <w:r>
        <w:rPr>
          <w:rFonts w:ascii="Calibri" w:hAnsi="Calibri"/>
          <w:b/>
          <w:color w:val="0B2545"/>
          <w:sz w:val="21"/>
        </w:rPr>
        <w:t>Persistence and Events</w:t>
      </w:r>
    </w:p>
    <w:p>
      <w:pPr>
        <w:pStyle w:val="ListNumber"/>
        <w:numPr>
          <w:ilvl w:val="0"/>
          <w:numId w:val="10"/>
        </w:numPr>
        <w:ind w:left="216" w:firstLine="0"/>
      </w:pPr>
      <w:r>
        <w:rPr>
          <w:rFonts w:ascii="Calibri" w:hAnsi="Calibri"/>
          <w:b/>
          <w:color w:val="0B2545"/>
          <w:sz w:val="21"/>
        </w:rPr>
        <w:t>Requirements Baseline</w:t>
      </w:r>
    </w:p>
    <w:p>
      <w:pPr>
        <w:pStyle w:val="ListNumber"/>
        <w:numPr>
          <w:ilvl w:val="0"/>
          <w:numId w:val="10"/>
        </w:numPr>
        <w:ind w:left="216" w:firstLine="0"/>
      </w:pPr>
      <w:r>
        <w:rPr>
          <w:rFonts w:ascii="Calibri" w:hAnsi="Calibri"/>
          <w:b/>
          <w:color w:val="0B2545"/>
          <w:sz w:val="21"/>
        </w:rPr>
        <w:t>Architecture Decisions</w:t>
      </w:r>
    </w:p>
    <w:p>
      <w:pPr>
        <w:pStyle w:val="ListNumber"/>
        <w:numPr>
          <w:ilvl w:val="0"/>
          <w:numId w:val="10"/>
        </w:numPr>
        <w:ind w:left="216" w:firstLine="0"/>
      </w:pPr>
      <w:r>
        <w:rPr>
          <w:rFonts w:ascii="Calibri" w:hAnsi="Calibri"/>
          <w:b/>
          <w:color w:val="0B2545"/>
          <w:sz w:val="21"/>
        </w:rPr>
        <w:t>Test Catalogue</w:t>
      </w:r>
    </w:p>
    <w:p>
      <w:pPr>
        <w:pStyle w:val="ListNumber"/>
        <w:numPr>
          <w:ilvl w:val="0"/>
          <w:numId w:val="10"/>
        </w:numPr>
        <w:ind w:left="216" w:firstLine="0"/>
      </w:pPr>
      <w:r>
        <w:rPr>
          <w:rFonts w:ascii="Calibri" w:hAnsi="Calibri"/>
          <w:b/>
          <w:color w:val="0B2545"/>
          <w:sz w:val="21"/>
        </w:rPr>
        <w:t>Verification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Exercises</w:t>
      </w:r>
    </w:p>
    <w:p>
      <w:pPr>
        <w:pStyle w:val="ListNumber"/>
        <w:numPr>
          <w:ilvl w:val="0"/>
          <w:numId w:val="10"/>
        </w:numPr>
        <w:ind w:left="216" w:firstLine="0"/>
      </w:pPr>
      <w:r>
        <w:rPr>
          <w:rFonts w:ascii="Calibri" w:hAnsi="Calibri"/>
          <w:b/>
          <w:color w:val="0B2545"/>
          <w:sz w:val="21"/>
        </w:rPr>
        <w:t>Next Development</w:t>
      </w:r>
    </w:p>
    <w:p>
      <w:r>
        <w:br w:type="page"/>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Document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Engineering Workbook - Volume VI: Electric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0.3.0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VI-1 battery/BMS, VI-2 motor/inverter, and VI-3 regenerative braking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software, simulation, QA, functional-safety, and platform engineers</w:t>
            </w:r>
          </w:p>
        </w:tc>
      </w:tr>
    </w:tbl>
    <w:p>
      <w:pPr>
        <w:spacing w:after="60"/>
      </w:pPr>
    </w:p>
    <w:p>
      <w:pPr>
        <w:pStyle w:val="Heading1"/>
        <w:keepNext/>
        <w:keepLines/>
      </w:pPr>
      <w:r>
        <w:t>1. Purpose and Scope</w:t>
      </w:r>
    </w:p>
    <w:p>
      <w:r>
        <w:rPr>
          <w:rFonts w:ascii="Calibri" w:hAnsi="Calibri"/>
          <w:color w:val="111827"/>
          <w:sz w:val="22"/>
        </w:rPr>
        <w:t>Volume VI turns the platform's general digital vehicle into a testable electric-energy system. VI-1 establishes a persistent battery pack and deterministic BMS behavior. VI-2 adds a persistent motor/inverter aggregate, torque delivery, efficiency, power loss, thermal protection, drive-mode limits, and battery-derived propulsion availability. VI-3 adds requested-deceleration control, regenerative energy recovery, battery charge acceptance, and blended friction braking.</w:t>
      </w:r>
    </w:p>
    <w:p>
      <w:pPr>
        <w:pStyle w:val="Heading2"/>
        <w:keepNext/>
        <w:keepLines/>
      </w:pPr>
      <w:r>
        <w:t>In Scope for VI-1</w:t>
      </w:r>
    </w:p>
    <w:p>
      <w:pPr>
        <w:pStyle w:val="ListBullet"/>
        <w:numPr>
          <w:ilvl w:val="0"/>
          <w:numId w:val="11"/>
        </w:numPr>
        <w:spacing w:after="80"/>
      </w:pPr>
      <w:r>
        <w:rPr>
          <w:rFonts w:ascii="Calibri" w:hAnsi="Calibri"/>
          <w:color w:val="111827"/>
          <w:sz w:val="22"/>
        </w:rPr>
        <w:t>one battery pack per registered vehicle;</w:t>
      </w:r>
    </w:p>
    <w:p>
      <w:pPr>
        <w:pStyle w:val="ListBullet"/>
        <w:numPr>
          <w:ilvl w:val="0"/>
          <w:numId w:val="11"/>
        </w:numPr>
        <w:spacing w:after="80"/>
      </w:pPr>
      <w:r>
        <w:rPr>
          <w:rFonts w:ascii="Calibri" w:hAnsi="Calibri"/>
          <w:color w:val="111827"/>
          <w:sz w:val="22"/>
        </w:rPr>
        <w:t>LFP and NMC identifiers;</w:t>
      </w:r>
    </w:p>
    <w:p>
      <w:pPr>
        <w:pStyle w:val="ListBullet"/>
        <w:numPr>
          <w:ilvl w:val="0"/>
          <w:numId w:val="11"/>
        </w:numPr>
        <w:spacing w:after="80"/>
      </w:pPr>
      <w:r>
        <w:rPr>
          <w:rFonts w:ascii="Calibri" w:hAnsi="Calibri"/>
          <w:color w:val="111827"/>
          <w:sz w:val="22"/>
        </w:rPr>
        <w:t>4 to 192 ordered series-cell projections;</w:t>
      </w:r>
    </w:p>
    <w:p>
      <w:pPr>
        <w:pStyle w:val="ListBullet"/>
        <w:numPr>
          <w:ilvl w:val="0"/>
          <w:numId w:val="11"/>
        </w:numPr>
        <w:spacing w:after="80"/>
      </w:pPr>
      <w:r>
        <w:rPr>
          <w:rFonts w:ascii="Calibri" w:hAnsi="Calibri"/>
          <w:color w:val="111827"/>
          <w:sz w:val="22"/>
        </w:rPr>
        <w:t>capacity, energy, SOC, SOH, voltage, current, power, and temperature;</w:t>
      </w:r>
    </w:p>
    <w:p>
      <w:pPr>
        <w:pStyle w:val="ListBullet"/>
        <w:numPr>
          <w:ilvl w:val="0"/>
          <w:numId w:val="11"/>
        </w:numPr>
        <w:spacing w:after="80"/>
      </w:pPr>
      <w:r>
        <w:rPr>
          <w:rFonts w:ascii="Calibri" w:hAnsi="Calibri"/>
          <w:color w:val="111827"/>
          <w:sz w:val="22"/>
        </w:rPr>
        <w:t>logical-time electrical and thermal steps;</w:t>
      </w:r>
    </w:p>
    <w:p>
      <w:pPr>
        <w:pStyle w:val="ListBullet"/>
        <w:numPr>
          <w:ilvl w:val="0"/>
          <w:numId w:val="11"/>
        </w:numPr>
        <w:spacing w:after="80"/>
      </w:pPr>
      <w:r>
        <w:rPr>
          <w:rFonts w:ascii="Calibri" w:hAnsi="Calibri"/>
          <w:color w:val="111827"/>
          <w:sz w:val="22"/>
        </w:rPr>
        <w:t>normal, warning, and protection BMS states;</w:t>
      </w:r>
    </w:p>
    <w:p>
      <w:pPr>
        <w:pStyle w:val="ListBullet"/>
        <w:numPr>
          <w:ilvl w:val="0"/>
          <w:numId w:val="11"/>
        </w:numPr>
        <w:spacing w:after="80"/>
      </w:pPr>
      <w:r>
        <w:rPr>
          <w:rFonts w:ascii="Calibri" w:hAnsi="Calibri"/>
          <w:color w:val="111827"/>
          <w:sz w:val="22"/>
        </w:rPr>
        <w:t>contactor opening on protection;</w:t>
      </w:r>
    </w:p>
    <w:p>
      <w:pPr>
        <w:pStyle w:val="ListBullet"/>
        <w:numPr>
          <w:ilvl w:val="0"/>
          <w:numId w:val="11"/>
        </w:numPr>
        <w:spacing w:after="80"/>
      </w:pPr>
      <w:r>
        <w:rPr>
          <w:rFonts w:ascii="Calibri" w:hAnsi="Calibri"/>
          <w:color w:val="111827"/>
          <w:sz w:val="22"/>
        </w:rPr>
        <w:t>optimistic concurrency and exact idempotent replay;</w:t>
      </w:r>
    </w:p>
    <w:p>
      <w:pPr>
        <w:pStyle w:val="ListBullet"/>
        <w:numPr>
          <w:ilvl w:val="0"/>
          <w:numId w:val="11"/>
        </w:numPr>
        <w:spacing w:after="80"/>
      </w:pPr>
      <w:r>
        <w:rPr>
          <w:rFonts w:ascii="Calibri" w:hAnsi="Calibri"/>
          <w:color w:val="111827"/>
          <w:sz w:val="22"/>
        </w:rPr>
        <w:t>dedicated RBAC, audit, outbox, migration, API, and automated tests.</w:t>
      </w:r>
    </w:p>
    <w:p>
      <w:pPr>
        <w:pStyle w:val="Heading2"/>
        <w:keepNext/>
        <w:keepLines/>
      </w:pPr>
      <w:r>
        <w:t>In Scope for VI-2</w:t>
      </w:r>
    </w:p>
    <w:p>
      <w:pPr>
        <w:pStyle w:val="ListBullet"/>
        <w:numPr>
          <w:ilvl w:val="0"/>
          <w:numId w:val="12"/>
        </w:numPr>
        <w:spacing w:after="80"/>
      </w:pPr>
      <w:r>
        <w:rPr>
          <w:rFonts w:ascii="Calibri" w:hAnsi="Calibri"/>
          <w:color w:val="111827"/>
          <w:sz w:val="22"/>
        </w:rPr>
        <w:t>one motor/inverter state per battery-equipped vehicle;</w:t>
      </w:r>
    </w:p>
    <w:p>
      <w:pPr>
        <w:pStyle w:val="ListBullet"/>
        <w:numPr>
          <w:ilvl w:val="0"/>
          <w:numId w:val="12"/>
        </w:numPr>
        <w:spacing w:after="80"/>
      </w:pPr>
      <w:r>
        <w:rPr>
          <w:rFonts w:ascii="Calibri" w:hAnsi="Calibri"/>
          <w:color w:val="111827"/>
          <w:sz w:val="22"/>
        </w:rPr>
        <w:t>requested and delivered torque, speed, mechanical/electrical power, efficiency, and loss;</w:t>
      </w:r>
    </w:p>
    <w:p>
      <w:pPr>
        <w:pStyle w:val="ListBullet"/>
        <w:numPr>
          <w:ilvl w:val="0"/>
          <w:numId w:val="12"/>
        </w:numPr>
        <w:spacing w:after="80"/>
      </w:pPr>
      <w:r>
        <w:rPr>
          <w:rFonts w:ascii="Calibri" w:hAnsi="Calibri"/>
          <w:color w:val="111827"/>
          <w:sz w:val="22"/>
        </w:rPr>
        <w:t>eco, normal, and sport torque ceilings;</w:t>
      </w:r>
    </w:p>
    <w:p>
      <w:pPr>
        <w:pStyle w:val="ListBullet"/>
        <w:numPr>
          <w:ilvl w:val="0"/>
          <w:numId w:val="12"/>
        </w:numPr>
        <w:spacing w:after="80"/>
      </w:pPr>
      <w:r>
        <w:rPr>
          <w:rFonts w:ascii="Calibri" w:hAnsi="Calibri"/>
          <w:color w:val="111827"/>
          <w:sz w:val="22"/>
        </w:rPr>
        <w:t>battery contactor, BMS, voltage, and inverter power constraints;</w:t>
      </w:r>
    </w:p>
    <w:p>
      <w:pPr>
        <w:pStyle w:val="ListBullet"/>
        <w:numPr>
          <w:ilvl w:val="0"/>
          <w:numId w:val="12"/>
        </w:numPr>
        <w:spacing w:after="80"/>
      </w:pPr>
      <w:r>
        <w:rPr>
          <w:rFonts w:ascii="Calibri" w:hAnsi="Calibri"/>
          <w:color w:val="111827"/>
          <w:sz w:val="22"/>
        </w:rPr>
        <w:t>motor and inverter thermal evolution and protection;</w:t>
      </w:r>
    </w:p>
    <w:p>
      <w:pPr>
        <w:pStyle w:val="ListBullet"/>
        <w:numPr>
          <w:ilvl w:val="0"/>
          <w:numId w:val="12"/>
        </w:numPr>
        <w:spacing w:after="80"/>
      </w:pPr>
      <w:r>
        <w:rPr>
          <w:rFonts w:ascii="Calibri" w:hAnsi="Calibri"/>
          <w:color w:val="111827"/>
          <w:sz w:val="22"/>
        </w:rPr>
        <w:t>stable limiting reasons, optimistic concurrency, exact replay, audit, and outbox evidence.</w:t>
      </w:r>
    </w:p>
    <w:p>
      <w:pPr>
        <w:pStyle w:val="Heading2"/>
        <w:keepNext/>
        <w:keepLines/>
      </w:pPr>
      <w:r>
        <w:t>In Scope for VI-3</w:t>
      </w:r>
    </w:p>
    <w:p>
      <w:pPr>
        <w:pStyle w:val="ListBullet"/>
        <w:numPr>
          <w:ilvl w:val="0"/>
          <w:numId w:val="13"/>
        </w:numPr>
        <w:spacing w:after="80"/>
      </w:pPr>
      <w:r>
        <w:rPr>
          <w:rFonts w:ascii="Calibri" w:hAnsi="Calibri"/>
          <w:color w:val="111827"/>
          <w:sz w:val="22"/>
        </w:rPr>
        <w:t>one regenerative-braking state per battery- and motor-equipped vehicle;</w:t>
      </w:r>
    </w:p>
    <w:p>
      <w:pPr>
        <w:pStyle w:val="ListBullet"/>
        <w:numPr>
          <w:ilvl w:val="0"/>
          <w:numId w:val="13"/>
        </w:numPr>
        <w:spacing w:after="80"/>
      </w:pPr>
      <w:r>
        <w:rPr>
          <w:rFonts w:ascii="Calibri" w:hAnsi="Calibri"/>
          <w:color w:val="111827"/>
          <w:sz w:val="22"/>
        </w:rPr>
        <w:t>requested and delivered deceleration with regenerative and friction allocation;</w:t>
      </w:r>
    </w:p>
    <w:p>
      <w:pPr>
        <w:pStyle w:val="ListBullet"/>
        <w:numPr>
          <w:ilvl w:val="0"/>
          <w:numId w:val="13"/>
        </w:numPr>
        <w:spacing w:after="80"/>
      </w:pPr>
      <w:r>
        <w:rPr>
          <w:rFonts w:ascii="Calibri" w:hAnsi="Calibri"/>
          <w:color w:val="111827"/>
          <w:sz w:val="22"/>
        </w:rPr>
        <w:t>motor-torque, drivetrain, wheel, speed, and battery charge-acceptance limits;</w:t>
      </w:r>
    </w:p>
    <w:p>
      <w:pPr>
        <w:pStyle w:val="ListBullet"/>
        <w:numPr>
          <w:ilvl w:val="0"/>
          <w:numId w:val="13"/>
        </w:numPr>
        <w:spacing w:after="80"/>
      </w:pPr>
      <w:r>
        <w:rPr>
          <w:rFonts w:ascii="Calibri" w:hAnsi="Calibri"/>
          <w:color w:val="111827"/>
          <w:sz w:val="22"/>
        </w:rPr>
        <w:t>recovered electrical power, step energy, cumulative energy, and battery SOC update;</w:t>
      </w:r>
    </w:p>
    <w:p>
      <w:pPr>
        <w:pStyle w:val="ListBullet"/>
        <w:numPr>
          <w:ilvl w:val="0"/>
          <w:numId w:val="13"/>
        </w:numPr>
        <w:spacing w:after="80"/>
      </w:pPr>
      <w:r>
        <w:rPr>
          <w:rFonts w:ascii="Calibri" w:hAnsi="Calibri"/>
          <w:color w:val="111827"/>
          <w:sz w:val="22"/>
        </w:rPr>
        <w:t>low-speed and battery-unavailable friction fallback;</w:t>
      </w:r>
    </w:p>
    <w:p>
      <w:pPr>
        <w:pStyle w:val="ListBullet"/>
        <w:numPr>
          <w:ilvl w:val="0"/>
          <w:numId w:val="13"/>
        </w:numPr>
        <w:spacing w:after="80"/>
      </w:pPr>
      <w:r>
        <w:rPr>
          <w:rFonts w:ascii="Calibri" w:hAnsi="Calibri"/>
          <w:color w:val="111827"/>
          <w:sz w:val="22"/>
        </w:rPr>
        <w:t>braking and battery optimistic versions, exact replay, audit, and outbox evidence.</w:t>
      </w:r>
    </w:p>
    <w:p>
      <w:pPr>
        <w:pStyle w:val="Heading2"/>
        <w:keepNext/>
        <w:keepLines/>
      </w:pPr>
      <w:r>
        <w:t>Deferred</w:t>
      </w:r>
    </w:p>
    <w:p>
      <w:pPr>
        <w:pStyle w:val="ListBullet"/>
        <w:numPr>
          <w:ilvl w:val="0"/>
          <w:numId w:val="14"/>
        </w:numPr>
        <w:spacing w:after="80"/>
      </w:pPr>
      <w:r>
        <w:rPr>
          <w:rFonts w:ascii="Calibri" w:hAnsi="Calibri"/>
          <w:color w:val="111827"/>
          <w:sz w:val="22"/>
        </w:rPr>
        <w:t>chemistry-specific equivalent-circuit and open-circuit-voltage curves;</w:t>
      </w:r>
    </w:p>
    <w:p>
      <w:pPr>
        <w:pStyle w:val="ListBullet"/>
        <w:numPr>
          <w:ilvl w:val="0"/>
          <w:numId w:val="14"/>
        </w:numPr>
        <w:spacing w:after="80"/>
      </w:pPr>
      <w:r>
        <w:rPr>
          <w:rFonts w:ascii="Calibri" w:hAnsi="Calibri"/>
          <w:color w:val="111827"/>
          <w:sz w:val="22"/>
        </w:rPr>
        <w:t>cell balancing, aging, sensor faults, and module topology;</w:t>
      </w:r>
    </w:p>
    <w:p>
      <w:pPr>
        <w:pStyle w:val="ListBullet"/>
        <w:numPr>
          <w:ilvl w:val="0"/>
          <w:numId w:val="14"/>
        </w:numPr>
        <w:spacing w:after="80"/>
      </w:pPr>
      <w:r>
        <w:rPr>
          <w:rFonts w:ascii="Calibri" w:hAnsi="Calibri"/>
          <w:color w:val="111827"/>
          <w:sz w:val="22"/>
        </w:rPr>
        <w:t>charging, cooling actuators, and range estimation;</w:t>
      </w:r>
    </w:p>
    <w:p>
      <w:pPr>
        <w:pStyle w:val="ListBullet"/>
        <w:numPr>
          <w:ilvl w:val="0"/>
          <w:numId w:val="14"/>
        </w:numPr>
        <w:spacing w:after="80"/>
      </w:pPr>
      <w:r>
        <w:rPr>
          <w:rFonts w:ascii="Calibri" w:hAnsi="Calibri"/>
          <w:color w:val="111827"/>
          <w:sz w:val="22"/>
        </w:rPr>
        <w:t>BMS ECU, CAN, UDS, dashboard, and test-framework end-to-end orchestration.</w:t>
      </w:r>
    </w:p>
    <w:p>
      <w:pPr>
        <w:pStyle w:val="Heading1"/>
        <w:keepNext/>
        <w:keepLines/>
      </w:pPr>
      <w:r>
        <w:t>2. Architecture</w:t>
      </w:r>
    </w:p>
    <w:p>
      <w:r>
        <w:rPr>
          <w:rFonts w:ascii="Calibri" w:hAnsi="Calibri"/>
          <w:color w:val="111827"/>
          <w:sz w:val="22"/>
        </w:rPr>
        <w:t xml:space="preserve">The FastAPI electric-vehicle boundary uses </w:t>
      </w:r>
      <w:r>
        <w:rPr>
          <w:rFonts w:ascii="Consolas" w:hAnsi="Consolas"/>
          <w:color w:val="1F4D78"/>
          <w:sz w:val="19"/>
        </w:rPr>
        <w:t>electric_vehicle:read</w:t>
      </w:r>
      <w:r>
        <w:rPr>
          <w:rFonts w:ascii="Calibri" w:hAnsi="Calibri"/>
          <w:color w:val="111827"/>
          <w:sz w:val="22"/>
        </w:rPr>
        <w:t xml:space="preserve"> and </w:t>
      </w:r>
      <w:r>
        <w:rPr>
          <w:rFonts w:ascii="Consolas" w:hAnsi="Consolas"/>
          <w:color w:val="1F4D78"/>
          <w:sz w:val="19"/>
        </w:rPr>
        <w:t>electric_vehicle:manage</w:t>
      </w:r>
      <w:r>
        <w:rPr>
          <w:rFonts w:ascii="Calibri" w:hAnsi="Calibri"/>
          <w:color w:val="111827"/>
          <w:sz w:val="22"/>
        </w:rPr>
        <w:t xml:space="preserve">. </w:t>
      </w:r>
      <w:r>
        <w:rPr>
          <w:rFonts w:ascii="Consolas" w:hAnsi="Consolas"/>
          <w:color w:val="1F4D78"/>
          <w:sz w:val="19"/>
        </w:rPr>
        <w:t>BatteryPackState</w:t>
      </w:r>
      <w:r>
        <w:rPr>
          <w:rFonts w:ascii="Calibri" w:hAnsi="Calibri"/>
          <w:color w:val="111827"/>
          <w:sz w:val="22"/>
        </w:rPr>
        <w:t xml:space="preserve">, </w:t>
      </w:r>
      <w:r>
        <w:rPr>
          <w:rFonts w:ascii="Consolas" w:hAnsi="Consolas"/>
          <w:color w:val="1F4D78"/>
          <w:sz w:val="19"/>
        </w:rPr>
        <w:t>MotorInverterState</w:t>
      </w:r>
      <w:r>
        <w:rPr>
          <w:rFonts w:ascii="Calibri" w:hAnsi="Calibri"/>
          <w:color w:val="111827"/>
          <w:sz w:val="22"/>
        </w:rPr>
        <w:t xml:space="preserve">, and </w:t>
      </w:r>
      <w:r>
        <w:rPr>
          <w:rFonts w:ascii="Consolas" w:hAnsi="Consolas"/>
          <w:color w:val="1F4D78"/>
          <w:sz w:val="19"/>
        </w:rPr>
        <w:t>RegenerativeBrakeState</w:t>
      </w:r>
      <w:r>
        <w:rPr>
          <w:rFonts w:ascii="Calibri" w:hAnsi="Calibri"/>
          <w:color w:val="111827"/>
          <w:sz w:val="22"/>
        </w:rPr>
        <w:t xml:space="preserve"> own the battery, propulsion, and braking aggregates. Their simulation step records preserve immutable replay evidence. </w:t>
      </w:r>
      <w:r>
        <w:rPr>
          <w:rFonts w:ascii="Consolas" w:hAnsi="Consolas"/>
          <w:color w:val="1F4D78"/>
          <w:sz w:val="19"/>
        </w:rPr>
        <w:t>AuditRecord</w:t>
      </w:r>
      <w:r>
        <w:rPr>
          <w:rFonts w:ascii="Calibri" w:hAnsi="Calibri"/>
          <w:color w:val="111827"/>
          <w:sz w:val="22"/>
        </w:rPr>
        <w:t xml:space="preserve"> and </w:t>
      </w:r>
      <w:r>
        <w:rPr>
          <w:rFonts w:ascii="Consolas" w:hAnsi="Consolas"/>
          <w:color w:val="1F4D78"/>
          <w:sz w:val="19"/>
        </w:rPr>
        <w:t>OutboxEvent</w:t>
      </w:r>
      <w:r>
        <w:rPr>
          <w:rFonts w:ascii="Calibri" w:hAnsi="Calibri"/>
          <w:color w:val="111827"/>
          <w:sz w:val="22"/>
        </w:rPr>
        <w:t xml:space="preserve"> commit in the same database transaction as each accepted mutation.</w:t>
      </w:r>
    </w:p>
    <w:p>
      <w:pPr>
        <w:pStyle w:val="Heading2"/>
        <w:keepNext/>
        <w:keepLines/>
      </w:pPr>
      <w:r>
        <w:t>Cross-Volume Ownership</w:t>
      </w:r>
    </w:p>
    <w:p>
      <w:r>
        <w:rPr>
          <w:rFonts w:ascii="Calibri" w:hAnsi="Calibri"/>
          <w:color w:val="111827"/>
          <w:sz w:val="22"/>
        </w:rPr>
        <w:t>Volume II owns whole-vehicle aggregate state and lightweight coupled dynamics. Volume VI owns the deeper EV energy and propulsion models. The BMS ECU remains a Volume III controller and will consume Volume VI state through explicit integration contracts rather than sharing database internals.</w:t>
      </w:r>
    </w:p>
    <w:p>
      <w:pPr>
        <w:pStyle w:val="Heading1"/>
        <w:keepNext/>
        <w:keepLines/>
      </w:pPr>
      <w:r>
        <w:t>3. Domain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Aggregate or value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bounds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BatteryPackState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Authoritative vehicle battery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BatteryCellState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cell projection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 to 192; voltage 2.0-5.0 V; temperature -50 to 120 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Simulation step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identity and immutable result snapshot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duration 1-3,600,000 ms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Chemistry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chemistry identifier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lfp</w:t>
            </w:r>
            <w:r>
              <w:rPr>
                <w:rFonts w:ascii="Calibri" w:hAnsi="Calibri"/>
                <w:b w:val="0"/>
                <w:color w:val="111827"/>
                <w:sz w:val="17"/>
              </w:rPr>
              <w:t xml:space="preserve">, </w:t>
            </w:r>
            <w:r>
              <w:rPr>
                <w:rFonts w:ascii="Calibri" w:hAnsi="Calibri"/>
                <w:b w:val="0"/>
                <w:color w:val="111827"/>
                <w:sz w:val="17"/>
              </w:rPr>
              <w:t>nmc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Operating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BMS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normal</w:t>
            </w:r>
            <w:r>
              <w:rPr>
                <w:rFonts w:ascii="Calibri" w:hAnsi="Calibri"/>
                <w:b w:val="0"/>
                <w:color w:val="111827"/>
                <w:sz w:val="17"/>
              </w:rPr>
              <w:t xml:space="preserve">, </w:t>
            </w:r>
            <w:r>
              <w:rPr>
                <w:rFonts w:ascii="Calibri" w:hAnsi="Calibri"/>
                <w:b w:val="0"/>
                <w:color w:val="111827"/>
                <w:sz w:val="17"/>
              </w:rPr>
              <w:t>warning</w:t>
            </w:r>
            <w:r>
              <w:rPr>
                <w:rFonts w:ascii="Calibri" w:hAnsi="Calibri"/>
                <w:b w:val="0"/>
                <w:color w:val="111827"/>
                <w:sz w:val="17"/>
              </w:rPr>
              <w:t xml:space="preserve">, </w:t>
            </w:r>
            <w:r>
              <w:rPr>
                <w:rFonts w:ascii="Calibri" w:hAnsi="Calibri"/>
                <w:b w:val="0"/>
                <w:color w:val="111827"/>
                <w:sz w:val="17"/>
              </w:rPr>
              <w:t>protection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Contactor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High-voltage isolation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w:t>
            </w:r>
            <w:r>
              <w:rPr>
                <w:rFonts w:ascii="Calibri" w:hAnsi="Calibri"/>
                <w:b w:val="0"/>
                <w:color w:val="111827"/>
                <w:sz w:val="17"/>
              </w:rPr>
              <w:t xml:space="preserve">, </w:t>
            </w:r>
            <w:r>
              <w:rPr>
                <w:rFonts w:ascii="Calibri" w:hAnsi="Calibri"/>
                <w:b w:val="0"/>
                <w:color w:val="111827"/>
                <w:sz w:val="17"/>
              </w:rPr>
              <w:t>closed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MotorInverterState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Authoritative propulsion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Drive mode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Driver-selectable torque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eco</w:t>
            </w:r>
            <w:r>
              <w:rPr>
                <w:rFonts w:ascii="Calibri" w:hAnsi="Calibri"/>
                <w:b w:val="0"/>
                <w:color w:val="111827"/>
                <w:sz w:val="17"/>
              </w:rPr>
              <w:t xml:space="preserve">, </w:t>
            </w:r>
            <w:r>
              <w:rPr>
                <w:rFonts w:ascii="Calibri" w:hAnsi="Calibri"/>
                <w:b w:val="0"/>
                <w:color w:val="111827"/>
                <w:sz w:val="17"/>
              </w:rPr>
              <w:t>normal</w:t>
            </w:r>
            <w:r>
              <w:rPr>
                <w:rFonts w:ascii="Calibri" w:hAnsi="Calibri"/>
                <w:b w:val="0"/>
                <w:color w:val="111827"/>
                <w:sz w:val="17"/>
              </w:rPr>
              <w:t xml:space="preserve">, </w:t>
            </w:r>
            <w:r>
              <w:rPr>
                <w:rFonts w:ascii="Calibri" w:hAnsi="Calibri"/>
                <w:b w:val="0"/>
                <w:color w:val="111827"/>
                <w:sz w:val="17"/>
              </w:rPr>
              <w:t>sport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Powertrain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Propulsion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standby</w:t>
            </w:r>
            <w:r>
              <w:rPr>
                <w:rFonts w:ascii="Calibri" w:hAnsi="Calibri"/>
                <w:b w:val="0"/>
                <w:color w:val="111827"/>
                <w:sz w:val="17"/>
              </w:rPr>
              <w:t xml:space="preserve">, </w:t>
            </w:r>
            <w:r>
              <w:rPr>
                <w:rFonts w:ascii="Calibri" w:hAnsi="Calibri"/>
                <w:b w:val="0"/>
                <w:color w:val="111827"/>
                <w:sz w:val="17"/>
              </w:rPr>
              <w:t>ready</w:t>
            </w:r>
            <w:r>
              <w:rPr>
                <w:rFonts w:ascii="Calibri" w:hAnsi="Calibri"/>
                <w:b w:val="0"/>
                <w:color w:val="111827"/>
                <w:sz w:val="17"/>
              </w:rPr>
              <w:t xml:space="preserve">, </w:t>
            </w:r>
            <w:r>
              <w:rPr>
                <w:rFonts w:ascii="Calibri" w:hAnsi="Calibri"/>
                <w:b w:val="0"/>
                <w:color w:val="111827"/>
                <w:sz w:val="17"/>
              </w:rPr>
              <w:t>derated</w:t>
            </w:r>
            <w:r>
              <w:rPr>
                <w:rFonts w:ascii="Calibri" w:hAnsi="Calibri"/>
                <w:b w:val="0"/>
                <w:color w:val="111827"/>
                <w:sz w:val="17"/>
              </w:rPr>
              <w:t xml:space="preserve">, </w:t>
            </w:r>
            <w:r>
              <w:rPr>
                <w:rFonts w:ascii="Calibri" w:hAnsi="Calibri"/>
                <w:b w:val="0"/>
                <w:color w:val="111827"/>
                <w:sz w:val="17"/>
              </w:rPr>
              <w:t>protection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RegenerativeBrakeState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Braking strategy and recovered energy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Brake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allocation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standby</w:t>
            </w:r>
            <w:r>
              <w:rPr>
                <w:rFonts w:ascii="Calibri" w:hAnsi="Calibri"/>
                <w:b w:val="0"/>
                <w:color w:val="111827"/>
                <w:sz w:val="17"/>
              </w:rPr>
              <w:t xml:space="preserve">, </w:t>
            </w:r>
            <w:r>
              <w:rPr>
                <w:rFonts w:ascii="Calibri" w:hAnsi="Calibri"/>
                <w:b w:val="0"/>
                <w:color w:val="111827"/>
                <w:sz w:val="17"/>
              </w:rPr>
              <w:t>regenerative</w:t>
            </w:r>
            <w:r>
              <w:rPr>
                <w:rFonts w:ascii="Calibri" w:hAnsi="Calibri"/>
                <w:b w:val="0"/>
                <w:color w:val="111827"/>
                <w:sz w:val="17"/>
              </w:rPr>
              <w:t xml:space="preserve">, </w:t>
            </w:r>
            <w:r>
              <w:rPr>
                <w:rFonts w:ascii="Calibri" w:hAnsi="Calibri"/>
                <w:b w:val="0"/>
                <w:color w:val="111827"/>
                <w:sz w:val="17"/>
              </w:rPr>
              <w:t>blended</w:t>
            </w:r>
            <w:r>
              <w:rPr>
                <w:rFonts w:ascii="Calibri" w:hAnsi="Calibri"/>
                <w:b w:val="0"/>
                <w:color w:val="111827"/>
                <w:sz w:val="17"/>
              </w:rPr>
              <w:t xml:space="preserve">, </w:t>
            </w:r>
            <w:r>
              <w:rPr>
                <w:rFonts w:ascii="Calibri" w:hAnsi="Calibri"/>
                <w:b w:val="0"/>
                <w:color w:val="111827"/>
                <w:sz w:val="17"/>
              </w:rPr>
              <w:t>friction</w:t>
            </w:r>
            <w:r>
              <w:rPr>
                <w:rFonts w:ascii="Calibri" w:hAnsi="Calibri"/>
                <w:b w:val="0"/>
                <w:color w:val="111827"/>
                <w:sz w:val="17"/>
              </w:rPr>
              <w:t xml:space="preserve">, </w:t>
            </w:r>
            <w:r>
              <w:rPr>
                <w:rFonts w:ascii="Calibri" w:hAnsi="Calibri"/>
                <w:b w:val="0"/>
                <w:color w:val="111827"/>
                <w:sz w:val="17"/>
              </w:rPr>
              <w:t>limited</w:t>
            </w:r>
          </w:p>
        </w:tc>
      </w:tr>
    </w:tbl>
    <w:p>
      <w:pPr>
        <w:spacing w:after="60"/>
      </w:pPr>
    </w:p>
    <w:p>
      <w:pPr>
        <w:pStyle w:val="Heading2"/>
        <w:keepNext/>
        <w:keepLines/>
      </w:pPr>
      <w:r>
        <w:t>Sign Convention</w:t>
      </w:r>
    </w:p>
    <w:p>
      <w:r>
        <w:rPr>
          <w:rFonts w:ascii="Calibri" w:hAnsi="Calibri"/>
          <w:color w:val="111827"/>
          <w:sz w:val="22"/>
        </w:rPr>
        <w:t>Positive current is discharge. Negative current is charge. Pack power follows the same sign. This convention is explicit in the API and tests so future motor, charger, and regeneration modules do not silently invert energy flow.</w:t>
      </w:r>
    </w:p>
    <w:p>
      <w:pPr>
        <w:pStyle w:val="Heading1"/>
        <w:keepNext/>
        <w:keepLines/>
      </w:pPr>
      <w:r>
        <w:t>4. Engineering Model</w:t>
      </w:r>
    </w:p>
    <w:p>
      <w:r>
        <w:rPr>
          <w:rFonts w:ascii="Calibri" w:hAnsi="Calibri"/>
          <w:color w:val="111827"/>
          <w:sz w:val="22"/>
        </w:rPr>
        <w:t>SOC is updated by coulomb counting:</w:t>
      </w:r>
    </w:p>
    <w:p>
      <w:pPr>
        <w:pStyle w:val="ListBullet"/>
        <w:numPr>
          <w:ilvl w:val="0"/>
          <w:numId w:val="15"/>
        </w:numPr>
        <w:spacing w:after="80"/>
      </w:pPr>
      <w:r>
        <w:rPr>
          <w:rFonts w:ascii="Calibri" w:hAnsi="Calibri"/>
          <w:color w:val="111827"/>
          <w:sz w:val="22"/>
        </w:rPr>
        <w:t>Usable capacity (Ah) = nominal capacity (Ah) multiplied by SOH / 100.</w:t>
      </w:r>
    </w:p>
    <w:p>
      <w:pPr>
        <w:pStyle w:val="ListBullet"/>
        <w:numPr>
          <w:ilvl w:val="0"/>
          <w:numId w:val="15"/>
        </w:numPr>
        <w:spacing w:after="80"/>
      </w:pPr>
      <w:r>
        <w:rPr>
          <w:rFonts w:ascii="Calibri" w:hAnsi="Calibri"/>
          <w:color w:val="111827"/>
          <w:sz w:val="22"/>
        </w:rPr>
        <w:t>SOC delta (%) = current (A) multiplied by duration (h), divided by usable capacity, multiplied by 100.</w:t>
      </w:r>
    </w:p>
    <w:p>
      <w:pPr>
        <w:pStyle w:val="ListBullet"/>
        <w:numPr>
          <w:ilvl w:val="0"/>
          <w:numId w:val="15"/>
        </w:numPr>
        <w:spacing w:after="80"/>
      </w:pPr>
      <w:r>
        <w:rPr>
          <w:rFonts w:ascii="Calibri" w:hAnsi="Calibri"/>
          <w:color w:val="111827"/>
          <w:sz w:val="22"/>
        </w:rPr>
        <w:t>New SOC (%) = previous SOC minus SOC delta, clamped between 0 and 100.</w:t>
      </w:r>
    </w:p>
    <w:p>
      <w:r>
        <w:rPr>
          <w:rFonts w:ascii="Calibri" w:hAnsi="Calibri"/>
          <w:color w:val="111827"/>
          <w:sz w:val="22"/>
        </w:rPr>
        <w:t>Temperature uses a deterministic lumped model:</w:t>
      </w:r>
    </w:p>
    <w:p>
      <w:pPr>
        <w:pStyle w:val="ListBullet"/>
        <w:numPr>
          <w:ilvl w:val="0"/>
          <w:numId w:val="16"/>
        </w:numPr>
        <w:spacing w:after="80"/>
      </w:pPr>
      <w:r>
        <w:rPr>
          <w:rFonts w:ascii="Calibri" w:hAnsi="Calibri"/>
          <w:color w:val="111827"/>
          <w:sz w:val="22"/>
        </w:rPr>
        <w:t>Resistive heat (W) = current squared multiplied by internal resistance.</w:t>
      </w:r>
    </w:p>
    <w:p>
      <w:pPr>
        <w:pStyle w:val="ListBullet"/>
        <w:numPr>
          <w:ilvl w:val="0"/>
          <w:numId w:val="16"/>
        </w:numPr>
        <w:spacing w:after="80"/>
      </w:pPr>
      <w:r>
        <w:rPr>
          <w:rFonts w:ascii="Calibri" w:hAnsi="Calibri"/>
          <w:color w:val="111827"/>
          <w:sz w:val="22"/>
        </w:rPr>
        <w:t>Net heat (W) = resistive heat minus the cooling coefficient multiplied by the pack-to-ambient</w:t>
      </w:r>
    </w:p>
    <w:p>
      <w:r>
        <w:rPr>
          <w:rFonts w:ascii="Calibri" w:hAnsi="Calibri"/>
          <w:color w:val="111827"/>
          <w:sz w:val="22"/>
        </w:rPr>
        <w:t>temperature difference.</w:t>
      </w:r>
    </w:p>
    <w:p>
      <w:pPr>
        <w:pStyle w:val="ListBullet"/>
        <w:numPr>
          <w:ilvl w:val="0"/>
          <w:numId w:val="17"/>
        </w:numPr>
        <w:spacing w:after="80"/>
      </w:pPr>
      <w:r>
        <w:rPr>
          <w:rFonts w:ascii="Calibri" w:hAnsi="Calibri"/>
          <w:color w:val="111827"/>
          <w:sz w:val="22"/>
        </w:rPr>
        <w:t>Temperature delta (C) = net heat multiplied by duration (s), divided by thermal mass (J/C).</w:t>
      </w:r>
    </w:p>
    <w:p>
      <w:r>
        <w:rPr>
          <w:rFonts w:ascii="Calibri" w:hAnsi="Calibri"/>
          <w:color w:val="111827"/>
          <w:sz w:val="22"/>
        </w:rPr>
        <w:t>VI-1 uses a 300,000 J/C thermal mass and 35 W/C passive-cooling coefficient. These values are simulation parameters, not production calibration data. When the projected temperature reaches a protection boundary, the model stops at the boundary, opens contactors, and reports zero delivered current rather than extrapolating heating beyond isolation.</w:t>
      </w:r>
    </w:p>
    <w:p>
      <w:pPr>
        <w:pStyle w:val="Heading2"/>
        <w:keepNext/>
        <w:keepLines/>
      </w:pPr>
      <w:r>
        <w:t>VI-2 Propulsion Model</w:t>
      </w:r>
    </w:p>
    <w:p>
      <w:pPr>
        <w:pStyle w:val="ListBullet"/>
        <w:numPr>
          <w:ilvl w:val="0"/>
          <w:numId w:val="18"/>
        </w:numPr>
        <w:spacing w:after="80"/>
      </w:pPr>
      <w:r>
        <w:rPr>
          <w:rFonts w:ascii="Calibri" w:hAnsi="Calibri"/>
          <w:color w:val="111827"/>
          <w:sz w:val="22"/>
        </w:rPr>
        <w:t>Mode torque ceiling = configured peak torque multiplied by 0.60, 0.85, or 1.00 for eco, normal, or sport.</w:t>
      </w:r>
    </w:p>
    <w:p>
      <w:pPr>
        <w:pStyle w:val="ListBullet"/>
        <w:numPr>
          <w:ilvl w:val="0"/>
          <w:numId w:val="18"/>
        </w:numPr>
        <w:spacing w:after="80"/>
      </w:pPr>
      <w:r>
        <w:rPr>
          <w:rFonts w:ascii="Calibri" w:hAnsi="Calibri"/>
          <w:color w:val="111827"/>
          <w:sz w:val="22"/>
        </w:rPr>
        <w:t>Mechanical power (kW) = delivered torque multiplied by 2 pi multiplied by rpm / 60 / 1,000.</w:t>
      </w:r>
    </w:p>
    <w:p>
      <w:pPr>
        <w:pStyle w:val="ListBullet"/>
        <w:numPr>
          <w:ilvl w:val="0"/>
          <w:numId w:val="18"/>
        </w:numPr>
        <w:spacing w:after="80"/>
      </w:pPr>
      <w:r>
        <w:rPr>
          <w:rFonts w:ascii="Calibri" w:hAnsi="Calibri"/>
          <w:color w:val="111827"/>
          <w:sz w:val="22"/>
        </w:rPr>
        <w:t>Electrical power (kW) = mechanical power divided by deterministic efficiency.</w:t>
      </w:r>
    </w:p>
    <w:p>
      <w:pPr>
        <w:pStyle w:val="ListBullet"/>
        <w:numPr>
          <w:ilvl w:val="0"/>
          <w:numId w:val="18"/>
        </w:numPr>
        <w:spacing w:after="80"/>
      </w:pPr>
      <w:r>
        <w:rPr>
          <w:rFonts w:ascii="Calibri" w:hAnsi="Calibri"/>
          <w:color w:val="111827"/>
          <w:sz w:val="22"/>
        </w:rPr>
        <w:t>Conversion loss (kW) = electrical power minus mechanical power.</w:t>
      </w:r>
    </w:p>
    <w:p>
      <w:pPr>
        <w:pStyle w:val="ListBullet"/>
        <w:numPr>
          <w:ilvl w:val="0"/>
          <w:numId w:val="18"/>
        </w:numPr>
        <w:spacing w:after="80"/>
      </w:pPr>
      <w:r>
        <w:rPr>
          <w:rFonts w:ascii="Calibri" w:hAnsi="Calibri"/>
          <w:color w:val="111827"/>
          <w:sz w:val="22"/>
        </w:rPr>
        <w:t>Available power is the lower of inverter rating and battery voltage multiplied by the BMS current ceiling.</w:t>
      </w:r>
    </w:p>
    <w:p>
      <w:pPr>
        <w:pStyle w:val="ListBullet"/>
        <w:numPr>
          <w:ilvl w:val="0"/>
          <w:numId w:val="18"/>
        </w:numPr>
        <w:spacing w:after="80"/>
      </w:pPr>
      <w:r>
        <w:rPr>
          <w:rFonts w:ascii="Calibri" w:hAnsi="Calibri"/>
          <w:color w:val="111827"/>
          <w:sz w:val="22"/>
        </w:rPr>
        <w:t>Motor and inverter temperatures integrate conversion loss and passive cooling over logical time.</w:t>
      </w:r>
    </w:p>
    <w:p>
      <w:pPr>
        <w:pStyle w:val="Heading2"/>
        <w:keepNext/>
        <w:keepLines/>
      </w:pPr>
      <w:r>
        <w:t>VI-3 Braking Model</w:t>
      </w:r>
    </w:p>
    <w:p>
      <w:pPr>
        <w:pStyle w:val="ListBullet"/>
        <w:numPr>
          <w:ilvl w:val="0"/>
          <w:numId w:val="19"/>
        </w:numPr>
        <w:spacing w:after="80"/>
      </w:pPr>
      <w:r>
        <w:rPr>
          <w:rFonts w:ascii="Calibri" w:hAnsi="Calibri"/>
          <w:color w:val="111827"/>
          <w:sz w:val="22"/>
        </w:rPr>
        <w:t>Requested braking force (N) = vehicle mass multiplied by requested deceleration.</w:t>
      </w:r>
    </w:p>
    <w:p>
      <w:pPr>
        <w:pStyle w:val="ListBullet"/>
        <w:numPr>
          <w:ilvl w:val="0"/>
          <w:numId w:val="19"/>
        </w:numPr>
        <w:spacing w:after="80"/>
      </w:pPr>
      <w:r>
        <w:rPr>
          <w:rFonts w:ascii="Calibri" w:hAnsi="Calibri"/>
          <w:color w:val="111827"/>
          <w:sz w:val="22"/>
        </w:rPr>
        <w:t>Regenerative force is bounded by motor torque, final-drive ratio, drivetrain efficiency, and wheel radius.</w:t>
      </w:r>
    </w:p>
    <w:p>
      <w:pPr>
        <w:pStyle w:val="ListBullet"/>
        <w:numPr>
          <w:ilvl w:val="0"/>
          <w:numId w:val="19"/>
        </w:numPr>
        <w:spacing w:after="80"/>
      </w:pPr>
      <w:r>
        <w:rPr>
          <w:rFonts w:ascii="Calibri" w:hAnsi="Calibri"/>
          <w:color w:val="111827"/>
          <w:sz w:val="22"/>
        </w:rPr>
        <w:t>Battery-limited regenerative force is charge acceptance divided by speed and regeneration efficiency.</w:t>
      </w:r>
    </w:p>
    <w:p>
      <w:pPr>
        <w:pStyle w:val="ListBullet"/>
        <w:numPr>
          <w:ilvl w:val="0"/>
          <w:numId w:val="19"/>
        </w:numPr>
        <w:spacing w:after="80"/>
      </w:pPr>
      <w:r>
        <w:rPr>
          <w:rFonts w:ascii="Calibri" w:hAnsi="Calibri"/>
          <w:color w:val="111827"/>
          <w:sz w:val="22"/>
        </w:rPr>
        <w:t>Friction force supplies the remaining request within its configured limit.</w:t>
      </w:r>
    </w:p>
    <w:p>
      <w:pPr>
        <w:pStyle w:val="ListBullet"/>
        <w:numPr>
          <w:ilvl w:val="0"/>
          <w:numId w:val="19"/>
        </w:numPr>
        <w:spacing w:after="80"/>
      </w:pPr>
      <w:r>
        <w:rPr>
          <w:rFonts w:ascii="Calibri" w:hAnsi="Calibri"/>
          <w:color w:val="111827"/>
          <w:sz w:val="22"/>
        </w:rPr>
        <w:t>Recovered power (kW) = regenerative force multiplied by speed and efficiency, divided by 1,000.</w:t>
      </w:r>
    </w:p>
    <w:p>
      <w:pPr>
        <w:pStyle w:val="ListBullet"/>
        <w:numPr>
          <w:ilvl w:val="0"/>
          <w:numId w:val="19"/>
        </w:numPr>
        <w:spacing w:after="80"/>
      </w:pPr>
      <w:r>
        <w:rPr>
          <w:rFonts w:ascii="Calibri" w:hAnsi="Calibri"/>
          <w:color w:val="111827"/>
          <w:sz w:val="22"/>
        </w:rPr>
        <w:t>Step energy (kWh) = recovered power multiplied by duration in hours.</w:t>
      </w:r>
    </w:p>
    <w:p>
      <w:r>
        <w:rPr>
          <w:rFonts w:ascii="Calibri" w:hAnsi="Calibri"/>
          <w:color w:val="111827"/>
          <w:sz w:val="22"/>
        </w:rPr>
        <w:t>Recovered energy increases SOC using SOH-adjusted pack energy.</w:t>
      </w:r>
    </w:p>
    <w:p>
      <w:r>
        <w:rPr>
          <w:rFonts w:ascii="Calibri" w:hAnsi="Calibri"/>
          <w:color w:val="111827"/>
          <w:sz w:val="22"/>
        </w:rPr>
        <w:t>Charge acceptance is zero below 0.5 m/s, with open contactors, in BMS protection, at or above 95% SOC, or outside 0-50 C. It tapers from 80% to 95% SOC, is reduced near the temperature limits, and is capped by the remaining energy room so a long step cannot cross 95% SOC.</w:t>
      </w:r>
    </w:p>
    <w:p>
      <w:pPr>
        <w:pStyle w:val="Heading1"/>
        <w:keepNext/>
        <w:keepLines/>
      </w:pPr>
      <w:r>
        <w:t>5. BMS State Policy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Contactors</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-30 C or at/above 60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Discharge at 0% SOC or charge at 100% SOC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-20 C or at/above 50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SOC at/below 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Otherwise</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bl>
    <w:p>
      <w:pPr>
        <w:spacing w:after="60"/>
      </w:pPr>
    </w:p>
    <w:p>
      <w:r>
        <w:rPr>
          <w:rFonts w:ascii="Calibri" w:hAnsi="Calibri"/>
          <w:color w:val="111827"/>
          <w:sz w:val="22"/>
        </w:rPr>
        <w:t>The limits are deliberately simple and deterministic. Production BMS calibration would add hysteresis, debounce, chemistry, current, voltage, isolation, and sensor-plausibility policies.</w:t>
      </w:r>
    </w:p>
    <w:p>
      <w:pPr>
        <w:pStyle w:val="Heading1"/>
        <w:keepNext/>
        <w:keepLines/>
      </w:pPr>
      <w:r>
        <w:t>6. API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Permission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vehicle battery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pack, BMS, and cell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electrical/thermal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/api/v1/vehicles/{vehicle_id}/electric/powertrain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motor/inverter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/api/v1/vehicles/{vehicle_id}/electric/powertrain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torque, power, efficiency, and thermal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/api/v1/vehicles/{vehicle_id}/electric/powertrain/steps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propulsion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/api/v1/vehicles/{vehicle_id}/electric/braking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regenerative-braking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/api/v1/vehicles/{vehicle_id}/electric/braking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braking allocation and recovery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/api/v1/vehicles/{vehicle_id}/electric/braking/steps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braking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bl>
    <w:p>
      <w:pPr>
        <w:spacing w:after="60"/>
      </w:pPr>
    </w:p>
    <w:p>
      <w:pPr>
        <w:pStyle w:val="Heading2"/>
        <w:keepNext/>
        <w:keepLines/>
      </w:pPr>
      <w:r>
        <w:t>Stable Errors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Code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Meaning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a battery pack.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battery pack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command ID was reused with different content.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motor_inverter_already_exists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a motor/inverter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motor_inverter_not_found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motor/inverter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powertrain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motor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regenerative_brake_already_exists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braking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regenerative_brake_not_found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braking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braking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brake_battery_version_conflict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battery version supplied to braking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braking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forbidden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authenticated user lacks the required permission.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validation_error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request violates a declared bound or format.</w:t>
            </w:r>
          </w:p>
        </w:tc>
      </w:tr>
    </w:tbl>
    <w:p>
      <w:pPr>
        <w:spacing w:after="60"/>
      </w:pPr>
    </w:p>
    <w:p>
      <w:pPr>
        <w:pStyle w:val="Heading1"/>
        <w:keepNext/>
        <w:keepLines/>
      </w:pPr>
      <w:r>
        <w:t>7. Persistence and Events</w:t>
      </w:r>
    </w:p>
    <w:p>
      <w:r>
        <w:rPr>
          <w:rFonts w:ascii="Calibri" w:hAnsi="Calibri"/>
          <w:color w:val="111827"/>
          <w:sz w:val="22"/>
        </w:rPr>
        <w:t xml:space="preserve">Migration </w:t>
      </w:r>
      <w:r>
        <w:rPr>
          <w:rFonts w:ascii="Consolas" w:hAnsi="Consolas"/>
          <w:color w:val="1F4D78"/>
          <w:sz w:val="19"/>
        </w:rPr>
        <w:t>0037_battery_bms_foundation</w:t>
      </w:r>
      <w:r>
        <w:rPr>
          <w:rFonts w:ascii="Calibri" w:hAnsi="Calibri"/>
          <w:color w:val="111827"/>
          <w:sz w:val="22"/>
        </w:rPr>
        <w:t xml:space="preserve"> creates </w:t>
      </w:r>
      <w:r>
        <w:rPr>
          <w:rFonts w:ascii="Consolas" w:hAnsi="Consolas"/>
          <w:color w:val="1F4D78"/>
          <w:sz w:val="19"/>
        </w:rPr>
        <w:t>battery_pack_states</w:t>
      </w:r>
      <w:r>
        <w:rPr>
          <w:rFonts w:ascii="Calibri" w:hAnsi="Calibri"/>
          <w:color w:val="111827"/>
          <w:sz w:val="22"/>
        </w:rPr>
        <w:t xml:space="preserve"> and </w:t>
      </w:r>
      <w:r>
        <w:rPr>
          <w:rFonts w:ascii="Consolas" w:hAnsi="Consolas"/>
          <w:color w:val="1F4D78"/>
          <w:sz w:val="19"/>
        </w:rPr>
        <w:t>battery_simulation_steps</w:t>
      </w:r>
      <w:r>
        <w:rPr>
          <w:rFonts w:ascii="Calibri" w:hAnsi="Calibri"/>
          <w:color w:val="111827"/>
          <w:sz w:val="22"/>
        </w:rPr>
        <w:t xml:space="preserve">. Migration </w:t>
      </w:r>
      <w:r>
        <w:rPr>
          <w:rFonts w:ascii="Consolas" w:hAnsi="Consolas"/>
          <w:color w:val="1F4D78"/>
          <w:sz w:val="19"/>
        </w:rPr>
        <w:t>0038_motor_inverter</w:t>
      </w:r>
      <w:r>
        <w:rPr>
          <w:rFonts w:ascii="Calibri" w:hAnsi="Calibri"/>
          <w:color w:val="111827"/>
          <w:sz w:val="22"/>
        </w:rPr>
        <w:t xml:space="preserve"> creates </w:t>
      </w:r>
      <w:r>
        <w:rPr>
          <w:rFonts w:ascii="Consolas" w:hAnsi="Consolas"/>
          <w:color w:val="1F4D78"/>
          <w:sz w:val="19"/>
        </w:rPr>
        <w:t>motor_inverter_states</w:t>
      </w:r>
      <w:r>
        <w:rPr>
          <w:rFonts w:ascii="Calibri" w:hAnsi="Calibri"/>
          <w:color w:val="111827"/>
          <w:sz w:val="22"/>
        </w:rPr>
        <w:t xml:space="preserve"> and </w:t>
      </w:r>
      <w:r>
        <w:rPr>
          <w:rFonts w:ascii="Consolas" w:hAnsi="Consolas"/>
          <w:color w:val="1F4D78"/>
          <w:sz w:val="19"/>
        </w:rPr>
        <w:t>motor_simulation_steps</w:t>
      </w:r>
      <w:r>
        <w:rPr>
          <w:rFonts w:ascii="Calibri" w:hAnsi="Calibri"/>
          <w:color w:val="111827"/>
          <w:sz w:val="22"/>
        </w:rPr>
        <w:t xml:space="preserve">. Migration </w:t>
      </w:r>
      <w:r>
        <w:rPr>
          <w:rFonts w:ascii="Consolas" w:hAnsi="Consolas"/>
          <w:color w:val="1F4D78"/>
          <w:sz w:val="19"/>
        </w:rPr>
        <w:t>0039_regenerative_braking</w:t>
      </w:r>
      <w:r>
        <w:rPr>
          <w:rFonts w:ascii="Calibri" w:hAnsi="Calibri"/>
          <w:color w:val="111827"/>
          <w:sz w:val="22"/>
        </w:rPr>
        <w:t xml:space="preserve"> creates </w:t>
      </w:r>
      <w:r>
        <w:rPr>
          <w:rFonts w:ascii="Consolas" w:hAnsi="Consolas"/>
          <w:color w:val="1F4D78"/>
          <w:sz w:val="19"/>
        </w:rPr>
        <w:t>regenerative_brake_states</w:t>
      </w:r>
      <w:r>
        <w:rPr>
          <w:rFonts w:ascii="Calibri" w:hAnsi="Calibri"/>
          <w:color w:val="111827"/>
          <w:sz w:val="22"/>
        </w:rPr>
        <w:t xml:space="preserve"> and </w:t>
      </w:r>
      <w:r>
        <w:rPr>
          <w:rFonts w:ascii="Consolas" w:hAnsi="Consolas"/>
          <w:color w:val="1F4D78"/>
          <w:sz w:val="19"/>
        </w:rPr>
        <w:t>brake_simulation_steps</w:t>
      </w:r>
      <w:r>
        <w:rPr>
          <w:rFonts w:ascii="Calibri" w:hAnsi="Calibri"/>
          <w:color w:val="111827"/>
          <w:sz w:val="22"/>
        </w:rPr>
        <w:t>. Database checks reinforce bounded states, versions, and durations.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Event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Privacy/minimization rule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a configured pack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metadata only; no full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deterministic state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summary and versions; no full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atep.electric_vehicle.motor_inverter.created.v1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configured propulsion hardware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atep.electric_vehicle.motor.step.completed.v1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torque and power outcome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Summary, limit reason, and 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atep.electric_vehicle.regenerative_brake.created.v1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braking configuration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atep.electric_vehicle.brake.step.completed.v1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allocation and recovered energy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Summary, SOC, limit reason, and versions</w:t>
            </w:r>
          </w:p>
        </w:tc>
      </w:tr>
    </w:tbl>
    <w:p>
      <w:pPr>
        <w:spacing w:after="60"/>
      </w:pPr>
    </w:p>
    <w:p>
      <w:pPr>
        <w:pStyle w:val="Heading1"/>
        <w:keepNext/>
        <w:keepLines/>
      </w:pPr>
      <w:r>
        <w:t>8. Requirements Baseline</w:t>
      </w:r>
    </w:p>
    <w:p>
      <w:r>
        <w:rPr>
          <w:rFonts w:ascii="Calibri" w:hAnsi="Calibri"/>
          <w:color w:val="111827"/>
          <w:sz w:val="22"/>
        </w:rPr>
        <w:t xml:space="preserve">VI-1 through VI-3 implement EV-F-001 through EV-F-043 and EV-NF-001 through EV-NF-016. The authoritative traceability table is maintained in </w:t>
      </w:r>
      <w:r>
        <w:rPr>
          <w:rFonts w:ascii="Consolas" w:hAnsi="Consolas"/>
          <w:color w:val="1F4D78"/>
          <w:sz w:val="19"/>
        </w:rPr>
        <w:t>docs/requirements-volume-vi.md</w:t>
      </w:r>
      <w:r>
        <w:rPr>
          <w:rFonts w:ascii="Calibri" w:hAnsi="Calibri"/>
          <w:color w:val="111827"/>
          <w:sz w:val="22"/>
        </w:rPr>
        <w:t>.</w:t>
      </w:r>
    </w:p>
    <w:p>
      <w:pPr>
        <w:pStyle w:val="Heading1"/>
        <w:keepNext/>
        <w:keepLines/>
      </w:pPr>
      <w:r>
        <w:t>9. Architecture Decisions</w:t>
      </w:r>
    </w:p>
    <w:p>
      <w:pPr>
        <w:pStyle w:val="Heading2"/>
        <w:keepNext/>
        <w:keepLines/>
      </w:pPr>
      <w:r>
        <w:t>ADR-EV-001 - Separate High-Fidelity EV State from the Volume II Projection</w:t>
      </w:r>
    </w:p>
    <w:p>
      <w:r>
        <w:rPr>
          <w:rFonts w:ascii="Calibri" w:hAnsi="Calibri"/>
          <w:color w:val="111827"/>
          <w:sz w:val="22"/>
        </w:rPr>
        <w:t>Decision: keep a dedicated battery aggregate in Volume VI. Rationale: Volume II needs inexpensive whole-vehicle simulation, while EV validation needs deeper cell, electrical, thermal, and BMS evidence. An explicit integration contract avoids one oversized aggregate.</w:t>
      </w:r>
    </w:p>
    <w:p>
      <w:pPr>
        <w:pStyle w:val="Heading2"/>
        <w:keepNext/>
        <w:keepLines/>
      </w:pPr>
      <w:r>
        <w:t>ADR-EV-002 - Use Logical Time and Commanded Steps</w:t>
      </w:r>
    </w:p>
    <w:p>
      <w:r>
        <w:rPr>
          <w:rFonts w:ascii="Calibri" w:hAnsi="Calibri"/>
          <w:color w:val="111827"/>
          <w:sz w:val="22"/>
        </w:rPr>
        <w:t xml:space="preserve">Decision: accept bounded </w:t>
      </w:r>
      <w:r>
        <w:rPr>
          <w:rFonts w:ascii="Consolas" w:hAnsi="Consolas"/>
          <w:color w:val="1F4D78"/>
          <w:sz w:val="19"/>
        </w:rPr>
        <w:t>duration_ms</w:t>
      </w:r>
      <w:r>
        <w:rPr>
          <w:rFonts w:ascii="Calibri" w:hAnsi="Calibri"/>
          <w:color w:val="111827"/>
          <w:sz w:val="22"/>
        </w:rPr>
        <w:t xml:space="preserve"> commands and persist </w:t>
      </w:r>
      <w:r>
        <w:rPr>
          <w:rFonts w:ascii="Consolas" w:hAnsi="Consolas"/>
          <w:color w:val="1F4D78"/>
          <w:sz w:val="19"/>
        </w:rPr>
        <w:t>simulation_time_ms</w:t>
      </w:r>
      <w:r>
        <w:rPr>
          <w:rFonts w:ascii="Calibri" w:hAnsi="Calibri"/>
          <w:color w:val="111827"/>
          <w:sz w:val="22"/>
        </w:rPr>
        <w:t>. Rationale: tests must be deterministic, fast, replayable, and independent of scheduler timing.</w:t>
      </w:r>
    </w:p>
    <w:p>
      <w:pPr>
        <w:pStyle w:val="Heading2"/>
        <w:keepNext/>
        <w:keepLines/>
      </w:pPr>
      <w:r>
        <w:t>ADR-EV-003 - Persist Successful Replay Snapshots</w:t>
      </w:r>
    </w:p>
    <w:p>
      <w:r>
        <w:rPr>
          <w:rFonts w:ascii="Calibri" w:hAnsi="Calibri"/>
          <w:color w:val="111827"/>
          <w:sz w:val="22"/>
        </w:rPr>
        <w:t>Decision: persist the complete client response for each command while minimizing shared event and audit payloads. Rationale: an exact retry remains stable even after later pack mutations.</w:t>
      </w:r>
    </w:p>
    <w:p>
      <w:pPr>
        <w:pStyle w:val="Heading2"/>
        <w:keepNext/>
        <w:keepLines/>
      </w:pPr>
      <w:r>
        <w:t>ADR-EV-004 - Model Protection as Isolation at the Boundary</w:t>
      </w:r>
    </w:p>
    <w:p>
      <w:r>
        <w:rPr>
          <w:rFonts w:ascii="Calibri" w:hAnsi="Calibri"/>
          <w:color w:val="111827"/>
          <w:sz w:val="22"/>
        </w:rPr>
        <w:t>Decision: clamp a thermal transition at the protection threshold and set delivered current to zero. Rationale: continuing full-current heating after contactor opening would create invalid evidence.</w:t>
      </w:r>
    </w:p>
    <w:p>
      <w:pPr>
        <w:pStyle w:val="Heading2"/>
        <w:keepNext/>
        <w:keepLines/>
      </w:pPr>
      <w:r>
        <w:t>ADR-EV-005 - Keep Battery and Propulsion Aggregates Separate</w:t>
      </w:r>
    </w:p>
    <w:p>
      <w:r>
        <w:rPr>
          <w:rFonts w:ascii="Calibri" w:hAnsi="Calibri"/>
          <w:color w:val="111827"/>
          <w:sz w:val="22"/>
        </w:rPr>
        <w:t>Decision: motor commands lock and read the battery aggregate but persist propulsion state in a dedicated aggregate. Rationale: explicit ownership prevents a single oversized EV state while still producing consistent power-limit evidence.</w:t>
      </w:r>
    </w:p>
    <w:p>
      <w:pPr>
        <w:pStyle w:val="Heading2"/>
        <w:keepNext/>
        <w:keepLines/>
      </w:pPr>
      <w:r>
        <w:t>ADR-EV-006 - Use an Explainable Analytic Efficiency Surface</w:t>
      </w:r>
    </w:p>
    <w:p>
      <w:r>
        <w:rPr>
          <w:rFonts w:ascii="Calibri" w:hAnsi="Calibri"/>
          <w:color w:val="111827"/>
          <w:sz w:val="22"/>
        </w:rPr>
        <w:t>Decision: VI-2 derives efficiency from bounded torque and speed ratios. Rationale: the model is portable, deterministic, and auditable without proprietary calibration data. Versioned efficiency maps can replace it later behind the same contract.</w:t>
      </w:r>
    </w:p>
    <w:p>
      <w:pPr>
        <w:pStyle w:val="Heading2"/>
        <w:keepNext/>
        <w:keepLines/>
      </w:pPr>
      <w:r>
        <w:t>ADR-EV-007 - Reserve Negative Torque for Regeneration</w:t>
      </w:r>
    </w:p>
    <w:p>
      <w:r>
        <w:rPr>
          <w:rFonts w:ascii="Calibri" w:hAnsi="Calibri"/>
          <w:color w:val="111827"/>
          <w:sz w:val="22"/>
        </w:rPr>
        <w:t>Decision: reject negative requested torque in VI-2. Rationale: regeneration requires battery charge-acceptance and blended-brake policies that belong together in VI-3.</w:t>
      </w:r>
    </w:p>
    <w:p>
      <w:pPr>
        <w:pStyle w:val="Heading2"/>
        <w:keepNext/>
        <w:keepLines/>
      </w:pPr>
      <w:r>
        <w:t>ADR-EV-008 - Represent Braking as Requested Deceleration</w:t>
      </w:r>
    </w:p>
    <w:p>
      <w:r>
        <w:rPr>
          <w:rFonts w:ascii="Calibri" w:hAnsi="Calibri"/>
          <w:color w:val="111827"/>
          <w:sz w:val="22"/>
        </w:rPr>
        <w:t>Decision: expose nonnegative requested deceleration rather than negative propulsion torque. Rationale: the service can allocate one vehicle-level request across regenerative and friction actuators without overloading the propulsion command contract.</w:t>
      </w:r>
    </w:p>
    <w:p>
      <w:pPr>
        <w:pStyle w:val="Heading2"/>
        <w:keepNext/>
        <w:keepLines/>
      </w:pPr>
      <w:r>
        <w:t>ADR-EV-009 - Update Recovered Battery Energy Atomically</w:t>
      </w:r>
    </w:p>
    <w:p>
      <w:r>
        <w:rPr>
          <w:rFonts w:ascii="Calibri" w:hAnsi="Calibri"/>
          <w:color w:val="111827"/>
          <w:sz w:val="22"/>
        </w:rPr>
        <w:t>Decision: a regenerative step validates the battery version and commits recovered energy, SOC, braking state, replay evidence, audit, and outbox together. Rationale: partial energy evidence would make cross-domain test results internally inconsistent.</w:t>
      </w:r>
    </w:p>
    <w:p>
      <w:pPr>
        <w:pStyle w:val="Heading2"/>
        <w:keepNext/>
        <w:keepLines/>
      </w:pPr>
      <w:r>
        <w:t>ADR-EV-010 - Use Deterministic Charge-Acceptance Tapering</w:t>
      </w:r>
    </w:p>
    <w:p>
      <w:r>
        <w:rPr>
          <w:rFonts w:ascii="Calibri" w:hAnsi="Calibri"/>
          <w:color w:val="111827"/>
          <w:sz w:val="22"/>
        </w:rPr>
        <w:t>Decision: VI-3 uses explicit SOC, temperature, contactor, BMS, voltage, and current ceilings. Rationale: explainable bounds support repeatable QA before chemistry-specific calibration exists.</w:t>
      </w:r>
    </w:p>
    <w:p>
      <w:pPr>
        <w:pStyle w:val="Heading1"/>
        <w:keepNext/>
        <w:keepLines/>
      </w:pPr>
      <w:r>
        <w:t>10. Test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Objective</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lower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fewer than four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upper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more than 192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current outside +/-1,000 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Duration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zero or over-one-hour steps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pack with ordered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contactors open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pack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pack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positive-current coulomb counting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decreases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negative-current sign convention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increases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Resistive heating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current-squared heat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matches formula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Passive cooling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convergence toward ambient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decreases when pack is hotter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Low-SOC 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warning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 with contactors closed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Overtemperature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60 C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contactors open, 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Empty-pack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at the lower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Full-pack charge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at the upper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 stale expected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conflict with current version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duplicate true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different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read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without read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mutation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without manage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Observe pack/step, audit, and outbox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and event payloads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full cell array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contract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numeric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upgrade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revision from Volume V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VI-1 tables and indexes exist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downgrade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Revert revision in disposable database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VI-1 tables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state after battery creation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standby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motor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state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 torque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torque within all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torque delivered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Mechanical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torque at nonzero speed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Torque times angular speed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Electrical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conversion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Greater than mechanical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Efficiency loss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electrical and mechanical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Positive deterministic loss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Eco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eco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60%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normal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85%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Sport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sport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100%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unavailable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 battery contactors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delivered torque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available electrical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Derated torque and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Overspeed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configured motor speed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torque and speed-limit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Reach motor or inverter trip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zero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deferred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negative torque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identical motor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changed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state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step, audit, and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Powertrain OpenAPI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physical bounds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0038</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and downgrade disposable DB</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Tables created and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state after battery and motor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standby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braking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state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Pure regeneration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deceleration within regenerative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friction contribution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Blended braking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regenerative torque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plus friction meets request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Low-speed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below 0.5 m/s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stable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High-SOC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at or above 95%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no recovered energy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Open-contactor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with contactors 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stable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acceptance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outside charge window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Regeneration unavailable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taper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acceptance at 80% and near 95%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Higher SOC has lower acceptance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torque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recoverable motor torque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torque-limit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charge acceptance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charge-limit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capacity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combined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Limited delivered deceleration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Recovered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force, speed, and efficiency formula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electrical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Recovered energy and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Integrate a logical step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Energy and SOC increase atomically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cross-aggregate snapshot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changed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braking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battery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battery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state, battery, step, audit,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OpenAPI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numeric bounds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0039</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and downgrade disposable DB</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Tables created and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Long-step SOC ceiling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 energy near 95% SOC for one hour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stops at 95% and friction supplies the remainder</w:t>
            </w:r>
          </w:p>
        </w:tc>
      </w:tr>
    </w:tbl>
    <w:p>
      <w:pPr>
        <w:spacing w:after="60"/>
      </w:pPr>
    </w:p>
    <w:p>
      <w:pPr>
        <w:pStyle w:val="Heading1"/>
        <w:keepNext/>
        <w:keepLines/>
      </w:pPr>
      <w:r>
        <w:t>11. Verification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Gate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VI-1 through VI-3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Battery/BMS, propulsion, regenerative allocation, friction fallback, energy recovery, replay, conflicts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Routes and safe numeric limits published in OpenAPI</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Ruff</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mypy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pytest suite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integration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in GitHub Actions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Workbook render and accessibility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delivery</w:t>
            </w:r>
          </w:p>
        </w:tc>
      </w:tr>
    </w:tbl>
    <w:p>
      <w:pPr>
        <w:spacing w:after="60"/>
      </w:pPr>
    </w:p>
    <w:p>
      <w:pPr>
        <w:pStyle w:val="Heading1"/>
        <w:keepNext/>
        <w:keepLines/>
      </w:pPr>
      <w:r>
        <w:t>12. Risks and Technical Debt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Risk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Impact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Treatment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Simplified linear cell voltage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Insufficient production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chemistry-specific OCV curves and equivalent circuits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Uniform SOC across cells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yet test imbalance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per-cell capacity and balancing in a future increment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thermal constants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Limited pack-design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Introduce versioned calibration profiles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SOH does not 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degradation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cycle/calendar aging after charge and drive behavior stabilizes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current derating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Warning state remains simplistic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temperature/SOC-dependent charge and discharge limits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Separate Volume II battery projection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Possible divergence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an explicit projection/synchronization contract in VI-7</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Analytic efficiency surface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Lower fidelity than dyno calibration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torque-speed-efficiency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 step does not debit SOC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Energy domains can diverge across long scenarios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 energy flow in VI-6/VI-7 scenarios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motor thermal constants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represent every cooling design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calibration profiles in VI-5</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Quasi-static braking step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speed is not integrated over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 braking to Volume II dynamics in VI-7</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Simplified charge acceptance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represent chemistry-specific power maps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SOC-temperature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hydraulic pressure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valve or pressure dynamics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brake-system actuator fidelity in a later volume</w:t>
            </w:r>
          </w:p>
        </w:tc>
      </w:tr>
    </w:tbl>
    <w:p>
      <w:pPr>
        <w:spacing w:after="60"/>
      </w:pPr>
    </w:p>
    <w:p>
      <w:pPr>
        <w:pStyle w:val="Heading1"/>
        <w:keepNext/>
        <w:keepLines/>
      </w:pPr>
      <w:r>
        <w:t>13. Exercises</w:t>
      </w:r>
    </w:p>
    <w:p>
      <w:pPr>
        <w:pStyle w:val="ListNumber"/>
        <w:numPr>
          <w:ilvl w:val="0"/>
          <w:numId w:val="20"/>
        </w:numPr>
        <w:spacing w:after="120"/>
      </w:pPr>
      <w:r>
        <w:rPr>
          <w:rFonts w:ascii="Calibri" w:hAnsi="Calibri"/>
          <w:color w:val="111827"/>
          <w:sz w:val="22"/>
        </w:rPr>
        <w:t>Create an LFP pack at 80% SOC and calculate its nominal energy.</w:t>
      </w:r>
    </w:p>
    <w:p>
      <w:pPr>
        <w:pStyle w:val="ListNumber"/>
        <w:numPr>
          <w:ilvl w:val="0"/>
          <w:numId w:val="20"/>
        </w:numPr>
        <w:spacing w:after="120"/>
      </w:pPr>
      <w:r>
        <w:rPr>
          <w:rFonts w:ascii="Calibri" w:hAnsi="Calibri"/>
          <w:color w:val="111827"/>
          <w:sz w:val="22"/>
        </w:rPr>
        <w:t>Execute a one-hour 10 A discharge and verify the expected SOC delta.</w:t>
      </w:r>
    </w:p>
    <w:p>
      <w:pPr>
        <w:pStyle w:val="ListNumber"/>
        <w:numPr>
          <w:ilvl w:val="0"/>
          <w:numId w:val="20"/>
        </w:numPr>
        <w:spacing w:after="120"/>
      </w:pPr>
      <w:r>
        <w:rPr>
          <w:rFonts w:ascii="Calibri" w:hAnsi="Calibri"/>
          <w:color w:val="111827"/>
          <w:sz w:val="22"/>
        </w:rPr>
        <w:t>Repeat the command identifier and prove that logical time does not advance twice.</w:t>
      </w:r>
    </w:p>
    <w:p>
      <w:pPr>
        <w:pStyle w:val="ListNumber"/>
        <w:numPr>
          <w:ilvl w:val="0"/>
          <w:numId w:val="20"/>
        </w:numPr>
        <w:spacing w:after="120"/>
      </w:pPr>
      <w:r>
        <w:rPr>
          <w:rFonts w:ascii="Calibri" w:hAnsi="Calibri"/>
          <w:color w:val="111827"/>
          <w:sz w:val="22"/>
        </w:rPr>
        <w:t>Reuse the identifier with a different duration and inspect the stable conflict envelope.</w:t>
      </w:r>
    </w:p>
    <w:p>
      <w:pPr>
        <w:pStyle w:val="ListNumber"/>
        <w:numPr>
          <w:ilvl w:val="0"/>
          <w:numId w:val="20"/>
        </w:numPr>
        <w:spacing w:after="120"/>
      </w:pPr>
      <w:r>
        <w:rPr>
          <w:rFonts w:ascii="Calibri" w:hAnsi="Calibri"/>
          <w:color w:val="111827"/>
          <w:sz w:val="22"/>
        </w:rPr>
        <w:t>Start at 59 C, apply a high-current step, and verify protection and zero delivered current.</w:t>
      </w:r>
    </w:p>
    <w:p>
      <w:pPr>
        <w:pStyle w:val="ListNumber"/>
        <w:numPr>
          <w:ilvl w:val="0"/>
          <w:numId w:val="20"/>
        </w:numPr>
        <w:spacing w:after="120"/>
      </w:pPr>
      <w:r>
        <w:rPr>
          <w:rFonts w:ascii="Calibri" w:hAnsi="Calibri"/>
          <w:color w:val="111827"/>
          <w:sz w:val="22"/>
        </w:rPr>
        <w:t>Inspect audit and outbox evidence and confirm that the 96-cell array is absent.</w:t>
      </w:r>
    </w:p>
    <w:p>
      <w:pPr>
        <w:pStyle w:val="ListNumber"/>
        <w:numPr>
          <w:ilvl w:val="0"/>
          <w:numId w:val="20"/>
        </w:numPr>
        <w:spacing w:after="120"/>
      </w:pPr>
      <w:r>
        <w:rPr>
          <w:rFonts w:ascii="Calibri" w:hAnsi="Calibri"/>
          <w:color w:val="111827"/>
          <w:sz w:val="22"/>
        </w:rPr>
        <w:t>Design a chemistry-specific OCV curve without breaking persisted replay evidence.</w:t>
      </w:r>
    </w:p>
    <w:p>
      <w:pPr>
        <w:pStyle w:val="ListNumber"/>
        <w:numPr>
          <w:ilvl w:val="0"/>
          <w:numId w:val="20"/>
        </w:numPr>
        <w:spacing w:after="120"/>
      </w:pPr>
      <w:r>
        <w:rPr>
          <w:rFonts w:ascii="Calibri" w:hAnsi="Calibri"/>
          <w:color w:val="111827"/>
          <w:sz w:val="22"/>
        </w:rPr>
        <w:t>Create the motor/inverter baseline and explain why it begins in standby.</w:t>
      </w:r>
    </w:p>
    <w:p>
      <w:pPr>
        <w:pStyle w:val="ListNumber"/>
        <w:numPr>
          <w:ilvl w:val="0"/>
          <w:numId w:val="20"/>
        </w:numPr>
        <w:spacing w:after="120"/>
      </w:pPr>
      <w:r>
        <w:rPr>
          <w:rFonts w:ascii="Calibri" w:hAnsi="Calibri"/>
          <w:color w:val="111827"/>
          <w:sz w:val="22"/>
        </w:rPr>
        <w:t>Compare eco, normal, and sport peak-torque limits.</w:t>
      </w:r>
    </w:p>
    <w:p>
      <w:pPr>
        <w:pStyle w:val="ListNumber"/>
        <w:numPr>
          <w:ilvl w:val="0"/>
          <w:numId w:val="20"/>
        </w:numPr>
        <w:spacing w:after="120"/>
      </w:pPr>
      <w:r>
        <w:rPr>
          <w:rFonts w:ascii="Calibri" w:hAnsi="Calibri"/>
          <w:color w:val="111827"/>
          <w:sz w:val="22"/>
        </w:rPr>
        <w:t>Calculate mechanical and electrical power for 100 Nm at 3,000 rpm.</w:t>
      </w:r>
    </w:p>
    <w:p>
      <w:pPr>
        <w:pStyle w:val="ListNumber"/>
        <w:numPr>
          <w:ilvl w:val="0"/>
          <w:numId w:val="20"/>
        </w:numPr>
        <w:spacing w:after="120"/>
      </w:pPr>
      <w:r>
        <w:rPr>
          <w:rFonts w:ascii="Calibri" w:hAnsi="Calibri"/>
          <w:color w:val="111827"/>
          <w:sz w:val="22"/>
        </w:rPr>
        <w:t>Open the battery contactors and prove that propulsion torque becomes unavailable.</w:t>
      </w:r>
    </w:p>
    <w:p>
      <w:pPr>
        <w:pStyle w:val="ListNumber"/>
        <w:numPr>
          <w:ilvl w:val="0"/>
          <w:numId w:val="20"/>
        </w:numPr>
        <w:spacing w:after="120"/>
      </w:pPr>
      <w:r>
        <w:rPr>
          <w:rFonts w:ascii="Calibri" w:hAnsi="Calibri"/>
          <w:color w:val="111827"/>
          <w:sz w:val="22"/>
        </w:rPr>
        <w:t>Trigger the motor thermal boundary and inspect the stable limiting reason.</w:t>
      </w:r>
    </w:p>
    <w:p>
      <w:pPr>
        <w:pStyle w:val="ListNumber"/>
        <w:numPr>
          <w:ilvl w:val="0"/>
          <w:numId w:val="20"/>
        </w:numPr>
        <w:spacing w:after="120"/>
      </w:pPr>
      <w:r>
        <w:rPr>
          <w:rFonts w:ascii="Calibri" w:hAnsi="Calibri"/>
          <w:color w:val="111827"/>
          <w:sz w:val="22"/>
        </w:rPr>
        <w:t>Request 1 m/s2 at 20 m/s and verify pure regenerative braking and recovered energy.</w:t>
      </w:r>
    </w:p>
    <w:p>
      <w:pPr>
        <w:pStyle w:val="ListNumber"/>
        <w:numPr>
          <w:ilvl w:val="0"/>
          <w:numId w:val="20"/>
        </w:numPr>
        <w:spacing w:after="120"/>
      </w:pPr>
      <w:r>
        <w:rPr>
          <w:rFonts w:ascii="Calibri" w:hAnsi="Calibri"/>
          <w:color w:val="111827"/>
          <w:sz w:val="22"/>
        </w:rPr>
        <w:t>Increase the request until friction braking is blended with regeneration.</w:t>
      </w:r>
    </w:p>
    <w:p>
      <w:pPr>
        <w:pStyle w:val="ListNumber"/>
        <w:numPr>
          <w:ilvl w:val="0"/>
          <w:numId w:val="20"/>
        </w:numPr>
        <w:spacing w:after="120"/>
      </w:pPr>
      <w:r>
        <w:rPr>
          <w:rFonts w:ascii="Calibri" w:hAnsi="Calibri"/>
          <w:color w:val="111827"/>
          <w:sz w:val="22"/>
        </w:rPr>
        <w:t>Compare regenerative availability at 80% and 95% SOC.</w:t>
      </w:r>
    </w:p>
    <w:p>
      <w:pPr>
        <w:pStyle w:val="ListNumber"/>
        <w:numPr>
          <w:ilvl w:val="0"/>
          <w:numId w:val="20"/>
        </w:numPr>
        <w:spacing w:after="120"/>
      </w:pPr>
      <w:r>
        <w:rPr>
          <w:rFonts w:ascii="Calibri" w:hAnsi="Calibri"/>
          <w:color w:val="111827"/>
          <w:sz w:val="22"/>
        </w:rPr>
        <w:t>Repeat a successful braking command and prove that battery SOC does not increase twice.</w:t>
      </w:r>
    </w:p>
    <w:p>
      <w:pPr>
        <w:pStyle w:val="Heading1"/>
        <w:keepNext/>
        <w:keepLines/>
      </w:pPr>
      <w:r>
        <w:t>14. Next Development</w:t>
      </w:r>
    </w:p>
    <w:p>
      <w:r>
        <w:rPr>
          <w:rFonts w:ascii="Calibri" w:hAnsi="Calibri"/>
          <w:color w:val="111827"/>
          <w:sz w:val="22"/>
        </w:rPr>
        <w:t>VI-4 will add AC and DC charging sessions, connector and charger-power contracts, deterministic charge curves, SOC/temperature limits, session lifecycle, interruptions, and fault handling. It will retain logical time, optimistic versions, idempotency, RBAC, audit, outbox, and bounded evidence.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VI Workbook  |  Version 0.3.0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VI  /  ELECTRIC VEHICLE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 - Electric Vehicle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docs/workbook-volume-vi.md</dc:description>
  <cp:lastModifiedBy/>
  <cp:revision>1</cp:revision>
  <dcterms:created xsi:type="dcterms:W3CDTF">2013-12-23T23:15:00Z</dcterms:created>
  <dcterms:modified xsi:type="dcterms:W3CDTF">2013-12-23T23:15:00Z</dcterms:modified>
  <cp:category/>
</cp:coreProperties>
</file>