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97 fast tests plus expanded disposable black-box and live alert-delivery scenarios, 27 Android tests, Ruff, strict mypy, Android lint/build,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and injected development operator token must be protected on the Android side; managed OAuth2 workload tokens or mTLS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Commit separate runtime and development dependency graphs, including build requirements, with SHA-256 hashes.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and immutable workflow/container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security-policy calibration;</w:t>
      </w:r>
    </w:p>
    <w:p>
      <w:pPr>
        <w:pStyle w:val="ListBullet"/>
        <w:numPr>
          <w:ilvl w:val="0"/>
          <w:numId w:val="31"/>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