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VI</w:t>
      </w:r>
    </w:p>
    <w:p>
      <w:pPr>
        <w:spacing w:after="80"/>
        <w:jc w:val="center"/>
      </w:pPr>
      <w:r>
        <w:rPr>
          <w:rFonts w:ascii="Calibri" w:hAnsi="Calibri"/>
          <w:b/>
          <w:color w:val="1F4D78"/>
          <w:sz w:val="34"/>
        </w:rPr>
        <w:t>Electric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3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VI-1 battery and BMS foundation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Purpose and Scope</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Engineering Model</w:t>
      </w:r>
    </w:p>
    <w:p>
      <w:pPr>
        <w:pStyle w:val="ListNumber"/>
        <w:numPr>
          <w:ilvl w:val="0"/>
          <w:numId w:val="10"/>
        </w:numPr>
        <w:ind w:left="216" w:firstLine="0"/>
      </w:pPr>
      <w:r>
        <w:rPr>
          <w:rFonts w:ascii="Calibri" w:hAnsi="Calibri"/>
          <w:b/>
          <w:color w:val="0B2545"/>
          <w:sz w:val="21"/>
        </w:rPr>
        <w:t>BMS State Policy</w:t>
      </w:r>
    </w:p>
    <w:p>
      <w:pPr>
        <w:pStyle w:val="ListNumber"/>
        <w:numPr>
          <w:ilvl w:val="0"/>
          <w:numId w:val="10"/>
        </w:numPr>
        <w:ind w:left="216" w:firstLine="0"/>
      </w:pPr>
      <w:r>
        <w:rPr>
          <w:rFonts w:ascii="Calibri" w:hAnsi="Calibri"/>
          <w:b/>
          <w:color w:val="0B2545"/>
          <w:sz w:val="21"/>
        </w:rPr>
        <w:t>API Contract</w:t>
      </w:r>
    </w:p>
    <w:p>
      <w:pPr>
        <w:pStyle w:val="ListNumber"/>
        <w:numPr>
          <w:ilvl w:val="0"/>
          <w:numId w:val="10"/>
        </w:numPr>
        <w:ind w:left="216" w:firstLine="0"/>
      </w:pPr>
      <w:r>
        <w:rPr>
          <w:rFonts w:ascii="Calibri" w:hAnsi="Calibri"/>
          <w:b/>
          <w:color w:val="0B2545"/>
          <w:sz w:val="21"/>
        </w:rPr>
        <w:t>Persistence and Events</w:t>
      </w:r>
    </w:p>
    <w:p>
      <w:pPr>
        <w:pStyle w:val="ListNumber"/>
        <w:numPr>
          <w:ilvl w:val="0"/>
          <w:numId w:val="10"/>
        </w:numPr>
        <w:ind w:left="216" w:firstLine="0"/>
      </w:pPr>
      <w:r>
        <w:rPr>
          <w:rFonts w:ascii="Calibri" w:hAnsi="Calibri"/>
          <w:b/>
          <w:color w:val="0B2545"/>
          <w:sz w:val="21"/>
        </w:rPr>
        <w:t>Requirements Baseline</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Test Catalogue</w:t>
      </w:r>
    </w:p>
    <w:p>
      <w:pPr>
        <w:pStyle w:val="ListNumber"/>
        <w:numPr>
          <w:ilvl w:val="0"/>
          <w:numId w:val="10"/>
        </w:numPr>
        <w:ind w:left="216" w:firstLine="0"/>
      </w:pPr>
      <w:r>
        <w:rPr>
          <w:rFonts w:ascii="Calibri" w:hAnsi="Calibri"/>
          <w:b/>
          <w:color w:val="0B2545"/>
          <w:sz w:val="21"/>
        </w:rPr>
        <w:t>Verification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Exercises</w:t>
      </w:r>
    </w:p>
    <w:p>
      <w:pPr>
        <w:pStyle w:val="ListNumber"/>
        <w:numPr>
          <w:ilvl w:val="0"/>
          <w:numId w:val="10"/>
        </w:numPr>
        <w:ind w:left="216" w:firstLine="0"/>
      </w:pPr>
      <w:r>
        <w:rPr>
          <w:rFonts w:ascii="Calibri" w:hAnsi="Calibri"/>
          <w:b/>
          <w:color w:val="0B2545"/>
          <w:sz w:val="21"/>
        </w:rPr>
        <w:t>Next Development</w:t>
      </w:r>
    </w:p>
    <w:p>
      <w:r>
        <w:br w:type="page"/>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Document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Engineering Workbook - Volume VI: Electric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0.1.0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3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VI-1 battery and BMS foundation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simulation, QA, functional-safety, and platform engineers</w:t>
            </w:r>
          </w:p>
        </w:tc>
      </w:tr>
    </w:tbl>
    <w:p>
      <w:pPr>
        <w:spacing w:after="60"/>
      </w:pPr>
    </w:p>
    <w:p>
      <w:pPr>
        <w:pStyle w:val="Heading1"/>
        <w:keepNext/>
        <w:keepLines/>
      </w:pPr>
      <w:r>
        <w:t>1. Purpose and Scope</w:t>
      </w:r>
    </w:p>
    <w:p>
      <w:r>
        <w:rPr>
          <w:rFonts w:ascii="Calibri" w:hAnsi="Calibri"/>
          <w:color w:val="111827"/>
          <w:sz w:val="22"/>
        </w:rPr>
        <w:t>Volume VI turns the platform's general digital vehicle into a testable electric-energy system. The first increment establishes a persistent battery pack and deterministic BMS behavior suitable for repeatable software tests. It provides the foundation for motor torque, charging, thermal control, regenerative braking, range estimation, and full cross-domain EV scenarios.</w:t>
      </w:r>
    </w:p>
    <w:p>
      <w:pPr>
        <w:pStyle w:val="Heading2"/>
        <w:keepNext/>
        <w:keepLines/>
      </w:pPr>
      <w:r>
        <w:t>In Scope for VI-1</w:t>
      </w:r>
    </w:p>
    <w:p>
      <w:pPr>
        <w:pStyle w:val="ListBullet"/>
        <w:numPr>
          <w:ilvl w:val="0"/>
          <w:numId w:val="11"/>
        </w:numPr>
        <w:spacing w:after="80"/>
      </w:pPr>
      <w:r>
        <w:rPr>
          <w:rFonts w:ascii="Calibri" w:hAnsi="Calibri"/>
          <w:color w:val="111827"/>
          <w:sz w:val="22"/>
        </w:rPr>
        <w:t>one battery pack per registered vehicle;</w:t>
      </w:r>
    </w:p>
    <w:p>
      <w:pPr>
        <w:pStyle w:val="ListBullet"/>
        <w:numPr>
          <w:ilvl w:val="0"/>
          <w:numId w:val="11"/>
        </w:numPr>
        <w:spacing w:after="80"/>
      </w:pPr>
      <w:r>
        <w:rPr>
          <w:rFonts w:ascii="Calibri" w:hAnsi="Calibri"/>
          <w:color w:val="111827"/>
          <w:sz w:val="22"/>
        </w:rPr>
        <w:t>LFP and NMC identifiers;</w:t>
      </w:r>
    </w:p>
    <w:p>
      <w:pPr>
        <w:pStyle w:val="ListBullet"/>
        <w:numPr>
          <w:ilvl w:val="0"/>
          <w:numId w:val="11"/>
        </w:numPr>
        <w:spacing w:after="80"/>
      </w:pPr>
      <w:r>
        <w:rPr>
          <w:rFonts w:ascii="Calibri" w:hAnsi="Calibri"/>
          <w:color w:val="111827"/>
          <w:sz w:val="22"/>
        </w:rPr>
        <w:t>4 to 192 ordered series-cell projections;</w:t>
      </w:r>
    </w:p>
    <w:p>
      <w:pPr>
        <w:pStyle w:val="ListBullet"/>
        <w:numPr>
          <w:ilvl w:val="0"/>
          <w:numId w:val="11"/>
        </w:numPr>
        <w:spacing w:after="80"/>
      </w:pPr>
      <w:r>
        <w:rPr>
          <w:rFonts w:ascii="Calibri" w:hAnsi="Calibri"/>
          <w:color w:val="111827"/>
          <w:sz w:val="22"/>
        </w:rPr>
        <w:t>capacity, energy, SOC, SOH, voltage, current, power, and temperature;</w:t>
      </w:r>
    </w:p>
    <w:p>
      <w:pPr>
        <w:pStyle w:val="ListBullet"/>
        <w:numPr>
          <w:ilvl w:val="0"/>
          <w:numId w:val="11"/>
        </w:numPr>
        <w:spacing w:after="80"/>
      </w:pPr>
      <w:r>
        <w:rPr>
          <w:rFonts w:ascii="Calibri" w:hAnsi="Calibri"/>
          <w:color w:val="111827"/>
          <w:sz w:val="22"/>
        </w:rPr>
        <w:t>logical-time electrical and thermal steps;</w:t>
      </w:r>
    </w:p>
    <w:p>
      <w:pPr>
        <w:pStyle w:val="ListBullet"/>
        <w:numPr>
          <w:ilvl w:val="0"/>
          <w:numId w:val="11"/>
        </w:numPr>
        <w:spacing w:after="80"/>
      </w:pPr>
      <w:r>
        <w:rPr>
          <w:rFonts w:ascii="Calibri" w:hAnsi="Calibri"/>
          <w:color w:val="111827"/>
          <w:sz w:val="22"/>
        </w:rPr>
        <w:t>normal, warning, and protection BMS states;</w:t>
      </w:r>
    </w:p>
    <w:p>
      <w:pPr>
        <w:pStyle w:val="ListBullet"/>
        <w:numPr>
          <w:ilvl w:val="0"/>
          <w:numId w:val="11"/>
        </w:numPr>
        <w:spacing w:after="80"/>
      </w:pPr>
      <w:r>
        <w:rPr>
          <w:rFonts w:ascii="Calibri" w:hAnsi="Calibri"/>
          <w:color w:val="111827"/>
          <w:sz w:val="22"/>
        </w:rPr>
        <w:t>contactor opening on protection;</w:t>
      </w:r>
    </w:p>
    <w:p>
      <w:pPr>
        <w:pStyle w:val="ListBullet"/>
        <w:numPr>
          <w:ilvl w:val="0"/>
          <w:numId w:val="11"/>
        </w:numPr>
        <w:spacing w:after="80"/>
      </w:pPr>
      <w:r>
        <w:rPr>
          <w:rFonts w:ascii="Calibri" w:hAnsi="Calibri"/>
          <w:color w:val="111827"/>
          <w:sz w:val="22"/>
        </w:rPr>
        <w:t>optimistic concurrency and exact idempotent replay;</w:t>
      </w:r>
    </w:p>
    <w:p>
      <w:pPr>
        <w:pStyle w:val="ListBullet"/>
        <w:numPr>
          <w:ilvl w:val="0"/>
          <w:numId w:val="11"/>
        </w:numPr>
        <w:spacing w:after="80"/>
      </w:pPr>
      <w:r>
        <w:rPr>
          <w:rFonts w:ascii="Calibri" w:hAnsi="Calibri"/>
          <w:color w:val="111827"/>
          <w:sz w:val="22"/>
        </w:rPr>
        <w:t>dedicated RBAC, audit, outbox, migration, API, and automated tests.</w:t>
      </w:r>
    </w:p>
    <w:p>
      <w:pPr>
        <w:pStyle w:val="Heading2"/>
        <w:keepNext/>
        <w:keepLines/>
      </w:pPr>
      <w:r>
        <w:t>Deferred</w:t>
      </w:r>
    </w:p>
    <w:p>
      <w:pPr>
        <w:pStyle w:val="ListBullet"/>
        <w:numPr>
          <w:ilvl w:val="0"/>
          <w:numId w:val="12"/>
        </w:numPr>
        <w:spacing w:after="80"/>
      </w:pPr>
      <w:r>
        <w:rPr>
          <w:rFonts w:ascii="Calibri" w:hAnsi="Calibri"/>
          <w:color w:val="111827"/>
          <w:sz w:val="22"/>
        </w:rPr>
        <w:t>chemistry-specific equivalent-circuit and open-circuit-voltage curves;</w:t>
      </w:r>
    </w:p>
    <w:p>
      <w:pPr>
        <w:pStyle w:val="ListBullet"/>
        <w:numPr>
          <w:ilvl w:val="0"/>
          <w:numId w:val="12"/>
        </w:numPr>
        <w:spacing w:after="80"/>
      </w:pPr>
      <w:r>
        <w:rPr>
          <w:rFonts w:ascii="Calibri" w:hAnsi="Calibri"/>
          <w:color w:val="111827"/>
          <w:sz w:val="22"/>
        </w:rPr>
        <w:t>cell balancing, aging, sensor faults, and module topology;</w:t>
      </w:r>
    </w:p>
    <w:p>
      <w:pPr>
        <w:pStyle w:val="ListBullet"/>
        <w:numPr>
          <w:ilvl w:val="0"/>
          <w:numId w:val="12"/>
        </w:numPr>
        <w:spacing w:after="80"/>
      </w:pPr>
      <w:r>
        <w:rPr>
          <w:rFonts w:ascii="Calibri" w:hAnsi="Calibri"/>
          <w:color w:val="111827"/>
          <w:sz w:val="22"/>
        </w:rPr>
        <w:t>inverter, motor, regen, charging, cooling actuators, and range estimation;</w:t>
      </w:r>
    </w:p>
    <w:p>
      <w:pPr>
        <w:pStyle w:val="ListBullet"/>
        <w:numPr>
          <w:ilvl w:val="0"/>
          <w:numId w:val="12"/>
        </w:numPr>
        <w:spacing w:after="80"/>
      </w:pPr>
      <w:r>
        <w:rPr>
          <w:rFonts w:ascii="Calibri" w:hAnsi="Calibri"/>
          <w:color w:val="111827"/>
          <w:sz w:val="22"/>
        </w:rPr>
        <w:t>BMS ECU, CAN, UDS, dashboard, and test-framework end-to-end orchestration.</w:t>
      </w:r>
    </w:p>
    <w:p>
      <w:pPr>
        <w:pStyle w:val="Heading1"/>
        <w:keepNext/>
        <w:keepLines/>
      </w:pPr>
      <w:r>
        <w:t>2. Architecture</w:t>
      </w:r>
    </w:p>
    <w:p>
      <w:r>
        <w:rPr>
          <w:rFonts w:ascii="Calibri" w:hAnsi="Calibri"/>
          <w:color w:val="111827"/>
          <w:sz w:val="22"/>
        </w:rPr>
        <w:t>The FastAPI electric-vehicle boundary coordinates these explicit components:</w:t>
      </w:r>
    </w:p>
    <w:p>
      <w:pPr>
        <w:pStyle w:val="ListBullet"/>
        <w:numPr>
          <w:ilvl w:val="0"/>
          <w:numId w:val="13"/>
        </w:numPr>
        <w:spacing w:after="80"/>
      </w:pPr>
      <w:r>
        <w:rPr>
          <w:rFonts w:ascii="Calibri" w:hAnsi="Calibri"/>
          <w:color w:val="111827"/>
          <w:sz w:val="22"/>
        </w:rPr>
        <w:t xml:space="preserve">RBAC through </w:t>
      </w:r>
      <w:r>
        <w:rPr>
          <w:rFonts w:ascii="Consolas" w:hAnsi="Consolas"/>
          <w:color w:val="1F4D78"/>
          <w:sz w:val="19"/>
        </w:rPr>
        <w:t>electric_vehicle:read</w:t>
      </w:r>
      <w:r>
        <w:rPr>
          <w:rFonts w:ascii="Calibri" w:hAnsi="Calibri"/>
          <w:color w:val="111827"/>
          <w:sz w:val="22"/>
        </w:rPr>
        <w:t xml:space="preserve"> and </w:t>
      </w:r>
      <w:r>
        <w:rPr>
          <w:rFonts w:ascii="Consolas" w:hAnsi="Consolas"/>
          <w:color w:val="1F4D78"/>
          <w:sz w:val="19"/>
        </w:rPr>
        <w:t>electric_vehicle:manage</w:t>
      </w:r>
      <w:r>
        <w:rPr>
          <w:rFonts w:ascii="Calibri" w:hAnsi="Calibri"/>
          <w:color w:val="111827"/>
          <w:sz w:val="22"/>
        </w:rPr>
        <w:t>;</w:t>
      </w:r>
    </w:p>
    <w:p>
      <w:pPr>
        <w:pStyle w:val="ListBullet"/>
        <w:numPr>
          <w:ilvl w:val="0"/>
          <w:numId w:val="13"/>
        </w:numPr>
        <w:spacing w:after="80"/>
      </w:pPr>
      <w:r>
        <w:rPr>
          <w:rFonts w:ascii="Consolas" w:hAnsi="Consolas"/>
          <w:color w:val="1F4D78"/>
          <w:sz w:val="19"/>
        </w:rPr>
        <w:t>BatteryPackState</w:t>
      </w:r>
      <w:r>
        <w:rPr>
          <w:rFonts w:ascii="Calibri" w:hAnsi="Calibri"/>
          <w:color w:val="111827"/>
          <w:sz w:val="22"/>
        </w:rPr>
        <w:t xml:space="preserve"> as the one-per-vehicle electrical, thermal, BMS, contactor, and cell state;</w:t>
      </w:r>
    </w:p>
    <w:p>
      <w:pPr>
        <w:pStyle w:val="ListBullet"/>
        <w:numPr>
          <w:ilvl w:val="0"/>
          <w:numId w:val="13"/>
        </w:numPr>
        <w:spacing w:after="80"/>
      </w:pPr>
      <w:r>
        <w:rPr>
          <w:rFonts w:ascii="Consolas" w:hAnsi="Consolas"/>
          <w:color w:val="1F4D78"/>
          <w:sz w:val="19"/>
        </w:rPr>
        <w:t>BatterySimulationStep</w:t>
      </w:r>
      <w:r>
        <w:rPr>
          <w:rFonts w:ascii="Calibri" w:hAnsi="Calibri"/>
          <w:color w:val="111827"/>
          <w:sz w:val="22"/>
        </w:rPr>
        <w:t xml:space="preserve"> as the command identity and immutable replay evidence;</w:t>
      </w:r>
    </w:p>
    <w:p>
      <w:pPr>
        <w:pStyle w:val="ListBullet"/>
        <w:numPr>
          <w:ilvl w:val="0"/>
          <w:numId w:val="13"/>
        </w:numPr>
        <w:spacing w:after="80"/>
      </w:pPr>
      <w:r>
        <w:rPr>
          <w:rFonts w:ascii="Consolas" w:hAnsi="Consolas"/>
          <w:color w:val="1F4D78"/>
          <w:sz w:val="19"/>
        </w:rPr>
        <w:t>AuditRecord</w:t>
      </w:r>
      <w:r>
        <w:rPr>
          <w:rFonts w:ascii="Calibri" w:hAnsi="Calibri"/>
          <w:color w:val="111827"/>
          <w:sz w:val="22"/>
        </w:rPr>
        <w:t xml:space="preserve"> and </w:t>
      </w:r>
      <w:r>
        <w:rPr>
          <w:rFonts w:ascii="Consolas" w:hAnsi="Consolas"/>
          <w:color w:val="1F4D78"/>
          <w:sz w:val="19"/>
        </w:rPr>
        <w:t>OutboxEvent</w:t>
      </w:r>
      <w:r>
        <w:rPr>
          <w:rFonts w:ascii="Calibri" w:hAnsi="Calibri"/>
          <w:color w:val="111827"/>
          <w:sz w:val="22"/>
        </w:rPr>
        <w:t xml:space="preserve"> in the same database transaction as each accepted mutation.</w:t>
      </w:r>
    </w:p>
    <w:p>
      <w:pPr>
        <w:pStyle w:val="Heading2"/>
        <w:keepNext/>
        <w:keepLines/>
      </w:pPr>
      <w:r>
        <w:t>Cross-Volume Ownership</w:t>
      </w:r>
    </w:p>
    <w:p>
      <w:r>
        <w:rPr>
          <w:rFonts w:ascii="Calibri" w:hAnsi="Calibri"/>
          <w:color w:val="111827"/>
          <w:sz w:val="22"/>
        </w:rPr>
        <w:t>Volume II owns whole-vehicle aggregate state and lightweight coupled dynamics. Volume VI owns the deeper EV energy and propulsion models. The BMS ECU remains a Volume III controller and will consume Volume VI state through explicit integration contracts rather than sharing database internals.</w:t>
      </w:r>
    </w:p>
    <w:p>
      <w:pPr>
        <w:pStyle w:val="Heading1"/>
        <w:keepNext/>
        <w:keepLines/>
      </w:pPr>
      <w:r>
        <w:t>3. Domain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Aggregate or value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BatteryPackState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vehicle battery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BatteryCellState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cell projection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to 192; voltage 2.0-5.0 V; temperature -50 to 120 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Simulation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identity and immutable result snapshot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duration 1-3,600,000 ms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Chemistry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chemistry identifier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lfp</w:t>
            </w:r>
            <w:r>
              <w:rPr>
                <w:rFonts w:ascii="Calibri" w:hAnsi="Calibri"/>
                <w:b w:val="0"/>
                <w:color w:val="111827"/>
                <w:sz w:val="17"/>
              </w:rPr>
              <w:t xml:space="preserve">, </w:t>
            </w:r>
            <w:r>
              <w:rPr>
                <w:rFonts w:ascii="Calibri" w:hAnsi="Calibri"/>
                <w:b w:val="0"/>
                <w:color w:val="111827"/>
                <w:sz w:val="17"/>
              </w:rPr>
              <w:t>nmc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BMS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warning</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Contactor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High-voltage isolation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w:t>
            </w:r>
            <w:r>
              <w:rPr>
                <w:rFonts w:ascii="Calibri" w:hAnsi="Calibri"/>
                <w:b w:val="0"/>
                <w:color w:val="111827"/>
                <w:sz w:val="17"/>
              </w:rPr>
              <w:t xml:space="preserve">, </w:t>
            </w:r>
            <w:r>
              <w:rPr>
                <w:rFonts w:ascii="Calibri" w:hAnsi="Calibri"/>
                <w:b w:val="0"/>
                <w:color w:val="111827"/>
                <w:sz w:val="17"/>
              </w:rPr>
              <w:t>closed</w:t>
            </w:r>
          </w:p>
        </w:tc>
      </w:tr>
    </w:tbl>
    <w:p>
      <w:pPr>
        <w:spacing w:after="60"/>
      </w:pPr>
    </w:p>
    <w:p>
      <w:pPr>
        <w:pStyle w:val="Heading2"/>
        <w:keepNext/>
        <w:keepLines/>
      </w:pPr>
      <w:r>
        <w:t>Sign Convention</w:t>
      </w:r>
    </w:p>
    <w:p>
      <w:r>
        <w:rPr>
          <w:rFonts w:ascii="Calibri" w:hAnsi="Calibri"/>
          <w:color w:val="111827"/>
          <w:sz w:val="22"/>
        </w:rPr>
        <w:t>Positive current is discharge. Negative current is charge. Pack power follows the same sign. This convention is explicit in the API and tests so future motor, charger, and regeneration modules do not silently invert energy flow.</w:t>
      </w:r>
    </w:p>
    <w:p>
      <w:pPr>
        <w:pStyle w:val="Heading1"/>
        <w:keepNext/>
        <w:keepLines/>
      </w:pPr>
      <w:r>
        <w:t>4. Engineering Model</w:t>
      </w:r>
    </w:p>
    <w:p>
      <w:r>
        <w:rPr>
          <w:rFonts w:ascii="Calibri" w:hAnsi="Calibri"/>
          <w:color w:val="111827"/>
          <w:sz w:val="22"/>
        </w:rPr>
        <w:t>SOC is updated by coulomb counting:</w:t>
      </w:r>
    </w:p>
    <w:p>
      <w:pPr>
        <w:pStyle w:val="ListBullet"/>
        <w:numPr>
          <w:ilvl w:val="0"/>
          <w:numId w:val="14"/>
        </w:numPr>
        <w:spacing w:after="80"/>
      </w:pPr>
      <w:r>
        <w:rPr>
          <w:rFonts w:ascii="Calibri" w:hAnsi="Calibri"/>
          <w:color w:val="111827"/>
          <w:sz w:val="22"/>
        </w:rPr>
        <w:t>Usable capacity (Ah) = nominal capacity (Ah) multiplied by SOH / 100.</w:t>
      </w:r>
    </w:p>
    <w:p>
      <w:pPr>
        <w:pStyle w:val="ListBullet"/>
        <w:numPr>
          <w:ilvl w:val="0"/>
          <w:numId w:val="14"/>
        </w:numPr>
        <w:spacing w:after="80"/>
      </w:pPr>
      <w:r>
        <w:rPr>
          <w:rFonts w:ascii="Calibri" w:hAnsi="Calibri"/>
          <w:color w:val="111827"/>
          <w:sz w:val="22"/>
        </w:rPr>
        <w:t>SOC delta (%) = current (A) multiplied by duration (h), divided by usable capacity, multiplied by 100.</w:t>
      </w:r>
    </w:p>
    <w:p>
      <w:pPr>
        <w:pStyle w:val="ListBullet"/>
        <w:numPr>
          <w:ilvl w:val="0"/>
          <w:numId w:val="14"/>
        </w:numPr>
        <w:spacing w:after="80"/>
      </w:pPr>
      <w:r>
        <w:rPr>
          <w:rFonts w:ascii="Calibri" w:hAnsi="Calibri"/>
          <w:color w:val="111827"/>
          <w:sz w:val="22"/>
        </w:rPr>
        <w:t>New SOC (%) = previous SOC minus SOC delta, clamped between 0 and 100.</w:t>
      </w:r>
    </w:p>
    <w:p>
      <w:r>
        <w:rPr>
          <w:rFonts w:ascii="Calibri" w:hAnsi="Calibri"/>
          <w:color w:val="111827"/>
          <w:sz w:val="22"/>
        </w:rPr>
        <w:t>Temperature uses a deterministic lumped model:</w:t>
      </w:r>
    </w:p>
    <w:p>
      <w:pPr>
        <w:pStyle w:val="ListBullet"/>
        <w:numPr>
          <w:ilvl w:val="0"/>
          <w:numId w:val="15"/>
        </w:numPr>
        <w:spacing w:after="80"/>
      </w:pPr>
      <w:r>
        <w:rPr>
          <w:rFonts w:ascii="Calibri" w:hAnsi="Calibri"/>
          <w:color w:val="111827"/>
          <w:sz w:val="22"/>
        </w:rPr>
        <w:t>Resistive heat (W) = current squared multiplied by internal resistance.</w:t>
      </w:r>
    </w:p>
    <w:p>
      <w:pPr>
        <w:pStyle w:val="ListBullet"/>
        <w:numPr>
          <w:ilvl w:val="0"/>
          <w:numId w:val="15"/>
        </w:numPr>
        <w:spacing w:after="80"/>
      </w:pPr>
      <w:r>
        <w:rPr>
          <w:rFonts w:ascii="Calibri" w:hAnsi="Calibri"/>
          <w:color w:val="111827"/>
          <w:sz w:val="22"/>
        </w:rPr>
        <w:t>Net heat (W) = resistive heat minus the cooling coefficient multiplied by the pack-to-ambient</w:t>
      </w:r>
    </w:p>
    <w:p>
      <w:r>
        <w:rPr>
          <w:rFonts w:ascii="Calibri" w:hAnsi="Calibri"/>
          <w:color w:val="111827"/>
          <w:sz w:val="22"/>
        </w:rPr>
        <w:t>temperature difference.</w:t>
      </w:r>
    </w:p>
    <w:p>
      <w:pPr>
        <w:pStyle w:val="ListBullet"/>
        <w:numPr>
          <w:ilvl w:val="0"/>
          <w:numId w:val="16"/>
        </w:numPr>
        <w:spacing w:after="80"/>
      </w:pPr>
      <w:r>
        <w:rPr>
          <w:rFonts w:ascii="Calibri" w:hAnsi="Calibri"/>
          <w:color w:val="111827"/>
          <w:sz w:val="22"/>
        </w:rPr>
        <w:t>Temperature delta (C) = net heat multiplied by duration (s), divided by thermal mass (J/C).</w:t>
      </w:r>
    </w:p>
    <w:p>
      <w:r>
        <w:rPr>
          <w:rFonts w:ascii="Calibri" w:hAnsi="Calibri"/>
          <w:color w:val="111827"/>
          <w:sz w:val="22"/>
        </w:rPr>
        <w:t>VI-1 uses a 300,000 J/C thermal mass and 35 W/C passive-cooling coefficient. These values are simulation parameters, not production calibration data. When the projected temperature reaches a protection boundary, the model stops at the boundary, opens contactors, and reports zero delivered current rather than extrapolating heating beyond isolation.</w:t>
      </w:r>
    </w:p>
    <w:p>
      <w:pPr>
        <w:pStyle w:val="Heading1"/>
        <w:keepNext/>
        <w:keepLines/>
      </w:pPr>
      <w:r>
        <w:t>5. BMS State Policy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Contactors</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-30 C or at/above 60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Discharge at 0% SOC or charge at 100% SOC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-20 C or at/above 50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SOC at/below 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Otherwise</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bl>
    <w:p>
      <w:pPr>
        <w:spacing w:after="60"/>
      </w:pPr>
    </w:p>
    <w:p>
      <w:r>
        <w:rPr>
          <w:rFonts w:ascii="Calibri" w:hAnsi="Calibri"/>
          <w:color w:val="111827"/>
          <w:sz w:val="22"/>
        </w:rPr>
        <w:t>The limits are deliberately simple and deterministic. Production BMS calibration would add hysteresis, debounce, chemistry, current, voltage, isolation, and sensor-plausibility policies.</w:t>
      </w:r>
    </w:p>
    <w:p>
      <w:pPr>
        <w:pStyle w:val="Heading1"/>
        <w:keepNext/>
        <w:keepLines/>
      </w:pPr>
      <w:r>
        <w:t>6. API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vehicle battery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pack, BMS, and cell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electrical/thermal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bl>
    <w:p>
      <w:pPr>
        <w:spacing w:after="60"/>
      </w:pPr>
    </w:p>
    <w:p>
      <w:pPr>
        <w:pStyle w:val="Heading2"/>
        <w:keepNext/>
        <w:keepLines/>
      </w:pPr>
      <w:r>
        <w:t>Stable Errors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Code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Meaning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battery pack.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battery pack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command ID was reused with different content.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forbidden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authenticated user lacks the required permission.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validation_error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request violates a declared bound or format.</w:t>
            </w:r>
          </w:p>
        </w:tc>
      </w:tr>
    </w:tbl>
    <w:p>
      <w:pPr>
        <w:spacing w:after="60"/>
      </w:pPr>
    </w:p>
    <w:p>
      <w:pPr>
        <w:pStyle w:val="Heading1"/>
        <w:keepNext/>
        <w:keepLines/>
      </w:pPr>
      <w:r>
        <w:t>7. Persistence and Events</w:t>
      </w:r>
    </w:p>
    <w:p>
      <w:r>
        <w:rPr>
          <w:rFonts w:ascii="Calibri" w:hAnsi="Calibri"/>
          <w:color w:val="111827"/>
          <w:sz w:val="22"/>
        </w:rPr>
        <w:t xml:space="preserve">Migration </w:t>
      </w:r>
      <w:r>
        <w:rPr>
          <w:rFonts w:ascii="Consolas" w:hAnsi="Consolas"/>
          <w:color w:val="1F4D78"/>
          <w:sz w:val="19"/>
        </w:rPr>
        <w:t>0037_battery_bms_foundation</w:t>
      </w:r>
      <w:r>
        <w:rPr>
          <w:rFonts w:ascii="Calibri" w:hAnsi="Calibri"/>
          <w:color w:val="111827"/>
          <w:sz w:val="22"/>
        </w:rPr>
        <w:t xml:space="preserve"> creates </w:t>
      </w:r>
      <w:r>
        <w:rPr>
          <w:rFonts w:ascii="Consolas" w:hAnsi="Consolas"/>
          <w:color w:val="1F4D78"/>
          <w:sz w:val="19"/>
        </w:rPr>
        <w:t>battery_pack_states</w:t>
      </w:r>
      <w:r>
        <w:rPr>
          <w:rFonts w:ascii="Calibri" w:hAnsi="Calibri"/>
          <w:color w:val="111827"/>
          <w:sz w:val="22"/>
        </w:rPr>
        <w:t xml:space="preserve"> and </w:t>
      </w:r>
      <w:r>
        <w:rPr>
          <w:rFonts w:ascii="Consolas" w:hAnsi="Consolas"/>
          <w:color w:val="1F4D78"/>
          <w:sz w:val="19"/>
        </w:rPr>
        <w:t>battery_simulation_steps</w:t>
      </w:r>
      <w:r>
        <w:rPr>
          <w:rFonts w:ascii="Calibri" w:hAnsi="Calibri"/>
          <w:color w:val="111827"/>
          <w:sz w:val="22"/>
        </w:rPr>
        <w:t>. Database checks reinforce API limits for cell count, capacity, SOC, SOH, versions, duration, BMS state, and contactor state.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Event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Privacy/minimization rule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 configured pack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metadata only;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deterministic state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summary and versions; no full cells</w:t>
            </w:r>
          </w:p>
        </w:tc>
      </w:tr>
    </w:tbl>
    <w:p>
      <w:pPr>
        <w:spacing w:after="60"/>
      </w:pPr>
    </w:p>
    <w:p>
      <w:pPr>
        <w:pStyle w:val="Heading1"/>
        <w:keepNext/>
        <w:keepLines/>
      </w:pPr>
      <w:r>
        <w:t>8. Requirements Baseline</w:t>
      </w:r>
    </w:p>
    <w:p>
      <w:r>
        <w:rPr>
          <w:rFonts w:ascii="Calibri" w:hAnsi="Calibri"/>
          <w:color w:val="111827"/>
          <w:sz w:val="22"/>
        </w:rPr>
        <w:t xml:space="preserve">VI-1 implements EV-F-001 through EV-F-014 and EV-NF-001 through EV-NF-008. The authoritative traceability table is maintained in </w:t>
      </w:r>
      <w:r>
        <w:rPr>
          <w:rFonts w:ascii="Consolas" w:hAnsi="Consolas"/>
          <w:color w:val="1F4D78"/>
          <w:sz w:val="19"/>
        </w:rPr>
        <w:t>docs/requirements-volume-vi.md</w:t>
      </w:r>
      <w:r>
        <w:rPr>
          <w:rFonts w:ascii="Calibri" w:hAnsi="Calibri"/>
          <w:color w:val="111827"/>
          <w:sz w:val="22"/>
        </w:rPr>
        <w:t>.</w:t>
      </w:r>
    </w:p>
    <w:p>
      <w:pPr>
        <w:pStyle w:val="Heading1"/>
        <w:keepNext/>
        <w:keepLines/>
      </w:pPr>
      <w:r>
        <w:t>9. Architecture Decisions</w:t>
      </w:r>
    </w:p>
    <w:p>
      <w:pPr>
        <w:pStyle w:val="Heading2"/>
        <w:keepNext/>
        <w:keepLines/>
      </w:pPr>
      <w:r>
        <w:t>ADR-EV-001 - Separate High-Fidelity EV State from the Volume II Projection</w:t>
      </w:r>
    </w:p>
    <w:p>
      <w:r>
        <w:rPr>
          <w:rFonts w:ascii="Calibri" w:hAnsi="Calibri"/>
          <w:color w:val="111827"/>
          <w:sz w:val="22"/>
        </w:rPr>
        <w:t>Decision: keep a dedicated battery aggregate in Volume VI. Rationale: Volume II needs inexpensive whole-vehicle simulation, while EV validation needs deeper cell, electrical, thermal, and BMS evidence. An explicit integration contract avoids one oversized aggregate.</w:t>
      </w:r>
    </w:p>
    <w:p>
      <w:pPr>
        <w:pStyle w:val="Heading2"/>
        <w:keepNext/>
        <w:keepLines/>
      </w:pPr>
      <w:r>
        <w:t>ADR-EV-002 - Use Logical Time and Commanded Steps</w:t>
      </w:r>
    </w:p>
    <w:p>
      <w:r>
        <w:rPr>
          <w:rFonts w:ascii="Calibri" w:hAnsi="Calibri"/>
          <w:color w:val="111827"/>
          <w:sz w:val="22"/>
        </w:rPr>
        <w:t xml:space="preserve">Decision: accept bounded </w:t>
      </w:r>
      <w:r>
        <w:rPr>
          <w:rFonts w:ascii="Consolas" w:hAnsi="Consolas"/>
          <w:color w:val="1F4D78"/>
          <w:sz w:val="19"/>
        </w:rPr>
        <w:t>duration_ms</w:t>
      </w:r>
      <w:r>
        <w:rPr>
          <w:rFonts w:ascii="Calibri" w:hAnsi="Calibri"/>
          <w:color w:val="111827"/>
          <w:sz w:val="22"/>
        </w:rPr>
        <w:t xml:space="preserve"> commands and persist </w:t>
      </w:r>
      <w:r>
        <w:rPr>
          <w:rFonts w:ascii="Consolas" w:hAnsi="Consolas"/>
          <w:color w:val="1F4D78"/>
          <w:sz w:val="19"/>
        </w:rPr>
        <w:t>simulation_time_ms</w:t>
      </w:r>
      <w:r>
        <w:rPr>
          <w:rFonts w:ascii="Calibri" w:hAnsi="Calibri"/>
          <w:color w:val="111827"/>
          <w:sz w:val="22"/>
        </w:rPr>
        <w:t>. Rationale: tests must be deterministic, fast, replayable, and independent of scheduler timing.</w:t>
      </w:r>
    </w:p>
    <w:p>
      <w:pPr>
        <w:pStyle w:val="Heading2"/>
        <w:keepNext/>
        <w:keepLines/>
      </w:pPr>
      <w:r>
        <w:t>ADR-EV-003 - Persist Successful Replay Snapshots</w:t>
      </w:r>
    </w:p>
    <w:p>
      <w:r>
        <w:rPr>
          <w:rFonts w:ascii="Calibri" w:hAnsi="Calibri"/>
          <w:color w:val="111827"/>
          <w:sz w:val="22"/>
        </w:rPr>
        <w:t>Decision: persist the complete client response for each command while minimizing shared event and audit payloads. Rationale: an exact retry remains stable even after later pack mutations.</w:t>
      </w:r>
    </w:p>
    <w:p>
      <w:pPr>
        <w:pStyle w:val="Heading2"/>
        <w:keepNext/>
        <w:keepLines/>
      </w:pPr>
      <w:r>
        <w:t>ADR-EV-004 - Model Protection as Isolation at the Boundary</w:t>
      </w:r>
    </w:p>
    <w:p>
      <w:r>
        <w:rPr>
          <w:rFonts w:ascii="Calibri" w:hAnsi="Calibri"/>
          <w:color w:val="111827"/>
          <w:sz w:val="22"/>
        </w:rPr>
        <w:t>Decision: clamp a thermal transition at the protection threshold and set delivered current to zero. Rationale: continuing full-current heating after contactor opening would create invalid evidence.</w:t>
      </w:r>
    </w:p>
    <w:p>
      <w:pPr>
        <w:pStyle w:val="Heading1"/>
        <w:keepNext/>
        <w:keepLines/>
      </w:pPr>
      <w:r>
        <w:t>10. Test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Objective</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lower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fewer than four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upper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more than 192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current outside +/-1,000 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Duration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zero or over-one-hour steps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pack with ordered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pack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pack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positive-current coulomb counting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decreases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negative-current sign convention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increases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Resistive heating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current-squared heat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matches formula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Passive cooling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convergence toward ambient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decreases when pack is hotter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Low-SOC 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warning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 with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Overtemperature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60 C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contactors open, 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Empty-pack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at the lower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Full-pack charge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at the upper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conflict with current version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duplicate true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different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read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without read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mutation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without manage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Observe pack/step, audit, and outbox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and event payloads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full cell array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contract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upgrade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revision from Volume V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VI-1 tables and indexes exist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downgrade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Revert revision in disposable database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VI-1 tables removed cleanly</w:t>
            </w:r>
          </w:p>
        </w:tc>
      </w:tr>
    </w:tbl>
    <w:p>
      <w:pPr>
        <w:spacing w:after="60"/>
      </w:pPr>
    </w:p>
    <w:p>
      <w:pPr>
        <w:pStyle w:val="Heading1"/>
        <w:keepNext/>
        <w:keepLines/>
      </w:pPr>
      <w:r>
        <w:t>11. Verification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Gate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VI-1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 creation, deterministic discharge, thermal protection, replay, conflicts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Routes and safe numeric limits published in OpenAPI</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Ruff</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mypy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pytest suite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in GitHub Actions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Workbook render and accessibility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delivery</w:t>
            </w:r>
          </w:p>
        </w:tc>
      </w:tr>
    </w:tbl>
    <w:p>
      <w:pPr>
        <w:spacing w:after="60"/>
      </w:pPr>
    </w:p>
    <w:p>
      <w:pPr>
        <w:pStyle w:val="Heading1"/>
        <w:keepNext/>
        <w:keepLines/>
      </w:pPr>
      <w:r>
        <w:t>12.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linear cell voltage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Insufficient production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chemistry-specific OCV curves and equivalent circuits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Uniform SOC across cells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yet test imbalance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per-cell capacity and balancing in a future increment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Limited pack-design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Introduce versioned calibration profiles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SOH does not 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degradation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cycle/calendar aging after charge and drive behavior stabilizes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current derating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Warning state remains simplistic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temperature/SOC-dependent charge and discharge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Separate Volume II battery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Possible divergence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an explicit projection/synchronization contract in VI-7</w:t>
            </w:r>
          </w:p>
        </w:tc>
      </w:tr>
    </w:tbl>
    <w:p>
      <w:pPr>
        <w:spacing w:after="60"/>
      </w:pPr>
    </w:p>
    <w:p>
      <w:pPr>
        <w:pStyle w:val="Heading1"/>
        <w:keepNext/>
        <w:keepLines/>
      </w:pPr>
      <w:r>
        <w:t>13. Exercises</w:t>
      </w:r>
    </w:p>
    <w:p>
      <w:pPr>
        <w:pStyle w:val="ListNumber"/>
        <w:numPr>
          <w:ilvl w:val="0"/>
          <w:numId w:val="17"/>
        </w:numPr>
        <w:spacing w:after="120"/>
      </w:pPr>
      <w:r>
        <w:rPr>
          <w:rFonts w:ascii="Calibri" w:hAnsi="Calibri"/>
          <w:color w:val="111827"/>
          <w:sz w:val="22"/>
        </w:rPr>
        <w:t>Create an LFP pack at 80% SOC and calculate its nominal energy.</w:t>
      </w:r>
    </w:p>
    <w:p>
      <w:pPr>
        <w:pStyle w:val="ListNumber"/>
        <w:numPr>
          <w:ilvl w:val="0"/>
          <w:numId w:val="17"/>
        </w:numPr>
        <w:spacing w:after="120"/>
      </w:pPr>
      <w:r>
        <w:rPr>
          <w:rFonts w:ascii="Calibri" w:hAnsi="Calibri"/>
          <w:color w:val="111827"/>
          <w:sz w:val="22"/>
        </w:rPr>
        <w:t>Execute a one-hour 10 A discharge and verify the expected SOC delta.</w:t>
      </w:r>
    </w:p>
    <w:p>
      <w:pPr>
        <w:pStyle w:val="ListNumber"/>
        <w:numPr>
          <w:ilvl w:val="0"/>
          <w:numId w:val="17"/>
        </w:numPr>
        <w:spacing w:after="120"/>
      </w:pPr>
      <w:r>
        <w:rPr>
          <w:rFonts w:ascii="Calibri" w:hAnsi="Calibri"/>
          <w:color w:val="111827"/>
          <w:sz w:val="22"/>
        </w:rPr>
        <w:t>Repeat the command identifier and prove that logical time does not advance twice.</w:t>
      </w:r>
    </w:p>
    <w:p>
      <w:pPr>
        <w:pStyle w:val="ListNumber"/>
        <w:numPr>
          <w:ilvl w:val="0"/>
          <w:numId w:val="17"/>
        </w:numPr>
        <w:spacing w:after="120"/>
      </w:pPr>
      <w:r>
        <w:rPr>
          <w:rFonts w:ascii="Calibri" w:hAnsi="Calibri"/>
          <w:color w:val="111827"/>
          <w:sz w:val="22"/>
        </w:rPr>
        <w:t>Reuse the identifier with a different duration and inspect the stable conflict envelope.</w:t>
      </w:r>
    </w:p>
    <w:p>
      <w:pPr>
        <w:pStyle w:val="ListNumber"/>
        <w:numPr>
          <w:ilvl w:val="0"/>
          <w:numId w:val="17"/>
        </w:numPr>
        <w:spacing w:after="120"/>
      </w:pPr>
      <w:r>
        <w:rPr>
          <w:rFonts w:ascii="Calibri" w:hAnsi="Calibri"/>
          <w:color w:val="111827"/>
          <w:sz w:val="22"/>
        </w:rPr>
        <w:t>Start at 59 C, apply a high-current step, and verify protection and zero delivered current.</w:t>
      </w:r>
    </w:p>
    <w:p>
      <w:pPr>
        <w:pStyle w:val="ListNumber"/>
        <w:numPr>
          <w:ilvl w:val="0"/>
          <w:numId w:val="17"/>
        </w:numPr>
        <w:spacing w:after="120"/>
      </w:pPr>
      <w:r>
        <w:rPr>
          <w:rFonts w:ascii="Calibri" w:hAnsi="Calibri"/>
          <w:color w:val="111827"/>
          <w:sz w:val="22"/>
        </w:rPr>
        <w:t>Inspect audit and outbox evidence and confirm that the 96-cell array is absent.</w:t>
      </w:r>
    </w:p>
    <w:p>
      <w:pPr>
        <w:pStyle w:val="ListNumber"/>
        <w:numPr>
          <w:ilvl w:val="0"/>
          <w:numId w:val="17"/>
        </w:numPr>
        <w:spacing w:after="120"/>
      </w:pPr>
      <w:r>
        <w:rPr>
          <w:rFonts w:ascii="Calibri" w:hAnsi="Calibri"/>
          <w:color w:val="111827"/>
          <w:sz w:val="22"/>
        </w:rPr>
        <w:t>Design a chemistry-specific OCV curve without breaking persisted replay evidence.</w:t>
      </w:r>
    </w:p>
    <w:p>
      <w:pPr>
        <w:pStyle w:val="Heading1"/>
        <w:keepNext/>
        <w:keepLines/>
      </w:pPr>
      <w:r>
        <w:t>14. Next Development</w:t>
      </w:r>
    </w:p>
    <w:p>
      <w:r>
        <w:rPr>
          <w:rFonts w:ascii="Calibri" w:hAnsi="Calibri"/>
          <w:color w:val="111827"/>
          <w:sz w:val="22"/>
        </w:rPr>
        <w:t>VI-2 will add motor and inverter state, requested and delivered torque, efficiency, electrical power, thermal loss, speed limits, and battery-derived charge/discharge power constraints. It should reuse the same logical-time, optimistic-version, idempotency, RBAC, audit, outbox, and evidence patterns.</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VI Workbook  |  Version 0.1.0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VI  /  ELECTRIC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 - Electric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docs/workbook-volume-vi.md</dc:description>
  <cp:lastModifiedBy/>
  <cp:revision>1</cp:revision>
  <dcterms:created xsi:type="dcterms:W3CDTF">2013-12-23T23:15:00Z</dcterms:created>
  <dcterms:modified xsi:type="dcterms:W3CDTF">2013-12-23T23:15:00Z</dcterms:modified>
  <cp:category/>
</cp:coreProperties>
</file>