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Calibri" w:hAnsi="Calibri"/>
          <w:b/>
          <w:color w:val="2E74B5"/>
          <w:sz w:val="20"/>
        </w:rPr>
        <w:t>AUTOMOTIVE TEST ENGINEERING PLATFORM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60"/>
        </w:rPr>
        <w:t>Volume III</w:t>
      </w:r>
    </w:p>
    <w:p>
      <w:pPr>
        <w:spacing w:after="80"/>
        <w:jc w:val="center"/>
      </w:pPr>
      <w:r>
        <w:rPr>
          <w:rFonts w:ascii="Calibri" w:hAnsi="Calibri"/>
          <w:b/>
          <w:color w:val="1F4D78"/>
          <w:sz w:val="34"/>
        </w:rPr>
        <w:t>ECU Simulator Engineering Workbook</w:t>
      </w:r>
    </w:p>
    <w:p>
      <w:pPr>
        <w:spacing w:after="680"/>
        <w:jc w:val="center"/>
      </w:pPr>
      <w:r>
        <w:rPr>
          <w:rFonts w:ascii="Calibri" w:hAnsi="Calibri"/>
          <w:i/>
          <w:color w:val="667085"/>
          <w:sz w:val="23"/>
        </w:rPr>
        <w:t>Architecture, implementation record, verification strategy, and engineering evidence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8C4D1"/>
          <w:left w:val="single" w:sz="6" w:color="B8C4D1"/>
          <w:bottom w:val="single" w:sz="6" w:color="B8C4D1"/>
          <w:right w:val="single" w:sz="6" w:color="B8C4D1"/>
          <w:insideH w:val="single" w:sz="6" w:color="B8C4D1"/>
          <w:insideV w:val="single" w:sz="6" w:color="B8C4D1"/>
        </w:tblBorders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Document version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0.1.0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9"/>
              </w:rPr>
              <w:t>Baseline date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9"/>
              </w:rPr>
              <w:t>24 August 2026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9"/>
              </w:rPr>
              <w:t>Status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9"/>
              </w:rPr>
              <w:t>Living document - Increment III-1 implemented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9"/>
              </w:rPr>
              <w:t>Language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9"/>
              </w:rPr>
              <w:t>English</w:t>
            </w:r>
          </w:p>
        </w:tc>
      </w:tr>
    </w:tbl>
    <w:p>
      <w:pPr>
        <w:spacing w:after="60"/>
      </w:pPr>
    </w:p>
    <w:p>
      <w:pPr>
        <w:spacing w:before="560"/>
        <w:jc w:val="center"/>
      </w:pPr>
      <w:r>
        <w:rPr>
          <w:rFonts w:ascii="Calibri" w:hAnsi="Calibri"/>
          <w:color w:val="667085"/>
          <w:sz w:val="21"/>
        </w:rPr>
        <w:t>A living technical record for architecture, software engineering, testing, operations, and portfolio evidence.</w:t>
      </w:r>
    </w:p>
    <w:p>
      <w:r>
        <w:br w:type="page"/>
      </w:r>
    </w:p>
    <w:p>
      <w:pPr>
        <w:pStyle w:val="Heading1"/>
        <w:keepNext/>
        <w:keepLines/>
      </w:pPr>
      <w:r>
        <w:t>Contents</w:t>
      </w:r>
    </w:p>
    <w:p>
      <w:pPr>
        <w:spacing w:after="200"/>
      </w:pPr>
      <w:r>
        <w:t>This contents list follows the workbook's maintained section structure. Word's Navigation Pane can also be used because all sections use semantic heading styles.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1. Document Purpose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2. Document Control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3. Revision History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4. Scope and Boundaries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5. Architecture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6. Domain Model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7. Public API and Security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8. Consistency and Evidence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9. Functional Requirements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10. Architecture Decisions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11. Verification Catalogue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12. Implemented Evidence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13. Risks and Technical Debt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14. Roadmap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15. Study Exercises</w:t>
      </w:r>
    </w:p>
    <w:p>
      <w:pPr>
        <w:pStyle w:val="ListNumber"/>
        <w:numPr>
          <w:ilvl w:val="0"/>
          <w:numId w:val="10"/>
        </w:numPr>
        <w:ind w:left="216" w:firstLine="0"/>
      </w:pPr>
      <w:r>
        <w:rPr>
          <w:rFonts w:ascii="Calibri" w:hAnsi="Calibri"/>
          <w:b/>
          <w:color w:val="0B2545"/>
          <w:sz w:val="21"/>
        </w:rPr>
        <w:t>16. Workbook Maintenance Checklist</w:t>
      </w:r>
    </w:p>
    <w:p>
      <w:r>
        <w:br w:type="page"/>
      </w:r>
    </w:p>
    <w:p>
      <w:pPr>
        <w:pStyle w:val="Heading1"/>
        <w:keepNext/>
        <w:keepLines/>
      </w:pPr>
      <w:r>
        <w:t>1. Document Purpose</w:t>
      </w:r>
    </w:p>
    <w:p>
      <w:r>
        <w:rPr>
          <w:rFonts w:ascii="Calibri" w:hAnsi="Calibri"/>
          <w:color w:val="111827"/>
          <w:sz w:val="22"/>
        </w:rPr>
        <w:t>This workbook records the engineering decisions, requirements, implementation evidence, verification strategy, risks, and learning opportunities for Volume III. It is both a portfolio artifact and a maintainable technical record for future ECU, CAN, and diagnostics development.</w:t>
      </w:r>
    </w:p>
    <w:p>
      <w:pPr>
        <w:pStyle w:val="Heading1"/>
        <w:keepNext/>
        <w:keepLines/>
      </w:pPr>
      <w:r>
        <w:t>2. 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8C4D1"/>
          <w:left w:val="single" w:sz="6" w:color="B8C4D1"/>
          <w:bottom w:val="single" w:sz="6" w:color="B8C4D1"/>
          <w:right w:val="single" w:sz="6" w:color="B8C4D1"/>
          <w:insideH w:val="single" w:sz="6" w:color="B8C4D1"/>
          <w:insideV w:val="single" w:sz="6" w:color="B8C4D1"/>
        </w:tblBorders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Field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Volume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III - ECU Simulator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Baseline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Increment III-1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Architecture style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Modular monolith with transactional domain services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Primary runtime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Python 3.12, FastAPI, SQLAlchemy, PostgreSQL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Quality gates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pytest, Ruff, strict mypy, Alembic migration checks</w:t>
            </w:r>
          </w:p>
        </w:tc>
      </w:tr>
    </w:tbl>
    <w:p>
      <w:pPr>
        <w:spacing w:after="60"/>
      </w:pPr>
    </w:p>
    <w:p>
      <w:pPr>
        <w:pStyle w:val="Heading1"/>
        <w:keepNext/>
        <w:keepLines/>
      </w:pPr>
      <w:r>
        <w:t>3. Revision History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8C4D1"/>
          <w:left w:val="single" w:sz="6" w:color="B8C4D1"/>
          <w:bottom w:val="single" w:sz="6" w:color="B8C4D1"/>
          <w:right w:val="single" w:sz="6" w:color="B8C4D1"/>
          <w:insideH w:val="single" w:sz="6" w:color="B8C4D1"/>
          <w:insideV w:val="single" w:sz="6" w:color="B8C4D1"/>
        </w:tblBorders>
      </w:tblPr>
      <w:tblGrid>
        <w:gridCol w:w="1650"/>
        <w:gridCol w:w="4450"/>
        <w:gridCol w:w="3260"/>
      </w:tblGrid>
      <w:tr>
        <w:trPr>
          <w:tblHeader w:val="true"/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/>
                <w:color w:val="0B2545"/>
                <w:sz w:val="17"/>
              </w:rPr>
              <w:t>Release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Date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Change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0.1.0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2026-08-24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Added ECU aggregate, lifecycle, memory, faults, API, RBAC, audit, outbox, migration, and tests.</w:t>
            </w:r>
          </w:p>
        </w:tc>
      </w:tr>
    </w:tbl>
    <w:p>
      <w:pPr>
        <w:spacing w:after="60"/>
      </w:pPr>
    </w:p>
    <w:p>
      <w:pPr>
        <w:pStyle w:val="Heading1"/>
        <w:keepNext/>
        <w:keepLines/>
      </w:pPr>
      <w:r>
        <w:t>4. Scope and Boundaries</w:t>
      </w:r>
    </w:p>
    <w:p>
      <w:pPr>
        <w:pStyle w:val="Heading2"/>
        <w:keepNext/>
        <w:keepLines/>
      </w:pPr>
      <w:r>
        <w:t>4.1 Included</w:t>
      </w:r>
    </w:p>
    <w:p>
      <w:pPr>
        <w:pStyle w:val="ListBullet"/>
        <w:numPr>
          <w:ilvl w:val="0"/>
          <w:numId w:val="11"/>
        </w:numPr>
      </w:pPr>
      <w:r>
        <w:rPr>
          <w:rFonts w:ascii="Calibri" w:hAnsi="Calibri"/>
          <w:color w:val="111827"/>
          <w:sz w:val="22"/>
        </w:rPr>
        <w:t>ECU identity unique within a vehicle.</w:t>
      </w:r>
    </w:p>
    <w:p>
      <w:pPr>
        <w:pStyle w:val="ListBullet"/>
        <w:numPr>
          <w:ilvl w:val="0"/>
          <w:numId w:val="11"/>
        </w:numPr>
      </w:pPr>
      <w:r>
        <w:rPr>
          <w:rFonts w:ascii="Calibri" w:hAnsi="Calibri"/>
          <w:color w:val="111827"/>
          <w:sz w:val="22"/>
        </w:rPr>
        <w:t>Nine initial ECU types and six lifecycle states.</w:t>
      </w:r>
    </w:p>
    <w:p>
      <w:pPr>
        <w:pStyle w:val="ListBullet"/>
        <w:numPr>
          <w:ilvl w:val="0"/>
          <w:numId w:val="11"/>
        </w:numPr>
      </w:pPr>
      <w:r>
        <w:rPr>
          <w:rFonts w:ascii="Calibri" w:hAnsi="Calibri"/>
          <w:color w:val="111827"/>
          <w:sz w:val="22"/>
        </w:rPr>
        <w:t>Bounded byte-addressable memory cells.</w:t>
      </w:r>
    </w:p>
    <w:p>
      <w:pPr>
        <w:pStyle w:val="ListBullet"/>
        <w:numPr>
          <w:ilvl w:val="0"/>
          <w:numId w:val="11"/>
        </w:numPr>
      </w:pPr>
      <w:r>
        <w:rPr>
          <w:rFonts w:ascii="Calibri" w:hAnsi="Calibri"/>
          <w:color w:val="111827"/>
          <w:sz w:val="22"/>
        </w:rPr>
        <w:t>Explicit, typed, and bounded fault records.</w:t>
      </w:r>
    </w:p>
    <w:p>
      <w:pPr>
        <w:pStyle w:val="ListBullet"/>
        <w:numPr>
          <w:ilvl w:val="0"/>
          <w:numId w:val="11"/>
        </w:numPr>
      </w:pPr>
      <w:r>
        <w:rPr>
          <w:rFonts w:ascii="Calibri" w:hAnsi="Calibri"/>
          <w:color w:val="111827"/>
          <w:sz w:val="22"/>
        </w:rPr>
        <w:t>Optimistic state versioning and idempotent exact retries.</w:t>
      </w:r>
    </w:p>
    <w:p>
      <w:pPr>
        <w:pStyle w:val="ListBullet"/>
        <w:numPr>
          <w:ilvl w:val="0"/>
          <w:numId w:val="11"/>
        </w:numPr>
      </w:pPr>
      <w:r>
        <w:rPr>
          <w:rFonts w:ascii="Calibri" w:hAnsi="Calibri"/>
          <w:color w:val="111827"/>
          <w:sz w:val="22"/>
        </w:rPr>
        <w:t>Nested REST APIs, safe pagination, and type filtering.</w:t>
      </w:r>
    </w:p>
    <w:p>
      <w:pPr>
        <w:pStyle w:val="ListBullet"/>
        <w:numPr>
          <w:ilvl w:val="0"/>
          <w:numId w:val="11"/>
        </w:numPr>
      </w:pPr>
      <w:r>
        <w:rPr>
          <w:rFonts w:ascii="Calibri" w:hAnsi="Calibri"/>
          <w:color w:val="111827"/>
          <w:sz w:val="22"/>
        </w:rPr>
        <w:t>Independent read/manage permissions.</w:t>
      </w:r>
    </w:p>
    <w:p>
      <w:pPr>
        <w:pStyle w:val="ListBullet"/>
        <w:numPr>
          <w:ilvl w:val="0"/>
          <w:numId w:val="11"/>
        </w:numPr>
      </w:pPr>
      <w:r>
        <w:rPr>
          <w:rFonts w:ascii="Calibri" w:hAnsi="Calibri"/>
          <w:color w:val="111827"/>
          <w:sz w:val="22"/>
        </w:rPr>
        <w:t>Transactional audit and outbox evidence.</w:t>
      </w:r>
    </w:p>
    <w:p>
      <w:pPr>
        <w:pStyle w:val="Heading2"/>
        <w:keepNext/>
        <w:keepLines/>
      </w:pPr>
      <w:r>
        <w:t>4.2 Deferred</w:t>
      </w:r>
    </w:p>
    <w:p>
      <w:pPr>
        <w:pStyle w:val="ListBullet"/>
        <w:numPr>
          <w:ilvl w:val="0"/>
          <w:numId w:val="12"/>
        </w:numPr>
      </w:pPr>
      <w:r>
        <w:rPr>
          <w:rFonts w:ascii="Calibri" w:hAnsi="Calibri"/>
          <w:color w:val="111827"/>
          <w:sz w:val="22"/>
        </w:rPr>
        <w:t>Firmware or instruction execution.</w:t>
      </w:r>
    </w:p>
    <w:p>
      <w:pPr>
        <w:pStyle w:val="ListBullet"/>
        <w:numPr>
          <w:ilvl w:val="0"/>
          <w:numId w:val="12"/>
        </w:numPr>
      </w:pPr>
      <w:r>
        <w:rPr>
          <w:rFonts w:ascii="Calibri" w:hAnsi="Calibri"/>
          <w:color w:val="111827"/>
          <w:sz w:val="22"/>
        </w:rPr>
        <w:t>Logical execution cycles and task scheduling.</w:t>
      </w:r>
    </w:p>
    <w:p>
      <w:pPr>
        <w:pStyle w:val="ListBullet"/>
        <w:numPr>
          <w:ilvl w:val="0"/>
          <w:numId w:val="12"/>
        </w:numPr>
      </w:pPr>
      <w:r>
        <w:rPr>
          <w:rFonts w:ascii="Calibri" w:hAnsi="Calibri"/>
          <w:color w:val="111827"/>
          <w:sz w:val="22"/>
        </w:rPr>
        <w:t>CAN, CAN FD, LIN, Ethernet, and gateway routing.</w:t>
      </w:r>
    </w:p>
    <w:p>
      <w:pPr>
        <w:pStyle w:val="ListBullet"/>
        <w:numPr>
          <w:ilvl w:val="0"/>
          <w:numId w:val="12"/>
        </w:numPr>
      </w:pPr>
      <w:r>
        <w:rPr>
          <w:rFonts w:ascii="Calibri" w:hAnsi="Calibri"/>
          <w:color w:val="111827"/>
          <w:sz w:val="22"/>
        </w:rPr>
        <w:t>UDS/OBD-II services, DTC aging, security access, and flashing.</w:t>
      </w:r>
    </w:p>
    <w:p>
      <w:pPr>
        <w:pStyle w:val="ListBullet"/>
        <w:numPr>
          <w:ilvl w:val="0"/>
          <w:numId w:val="12"/>
        </w:numPr>
      </w:pPr>
      <w:r>
        <w:rPr>
          <w:rFonts w:ascii="Calibri" w:hAnsi="Calibri"/>
          <w:color w:val="111827"/>
          <w:sz w:val="22"/>
        </w:rPr>
        <w:t>Persistent memory regions and reset semantics.</w:t>
      </w:r>
    </w:p>
    <w:p>
      <w:pPr>
        <w:pStyle w:val="ListBullet"/>
        <w:numPr>
          <w:ilvl w:val="0"/>
          <w:numId w:val="12"/>
        </w:numPr>
      </w:pPr>
      <w:r>
        <w:rPr>
          <w:rFonts w:ascii="Calibri" w:hAnsi="Calibri"/>
          <w:color w:val="111827"/>
          <w:sz w:val="22"/>
        </w:rPr>
        <w:t>Time-based fault injection and healing.</w:t>
      </w:r>
    </w:p>
    <w:p>
      <w:pPr>
        <w:pStyle w:val="Heading1"/>
        <w:keepNext/>
        <w:keepLines/>
      </w:pPr>
      <w:r>
        <w:t>5. Architecture</w:t>
      </w:r>
    </w:p>
    <w:p>
      <w:r>
        <w:rPr>
          <w:rFonts w:ascii="Calibri" w:hAnsi="Calibri"/>
          <w:color w:val="111827"/>
          <w:sz w:val="22"/>
        </w:rPr>
        <w:t xml:space="preserve">The ECU domain is a separate module under </w:t>
      </w:r>
      <w:r>
        <w:rPr>
          <w:rFonts w:ascii="Consolas" w:hAnsi="Consolas"/>
          <w:color w:val="1F4D78"/>
          <w:sz w:val="19"/>
        </w:rPr>
        <w:t>atep.ecus</w:t>
      </w:r>
      <w:r>
        <w:rPr>
          <w:rFonts w:ascii="Calibri" w:hAnsi="Calibri"/>
          <w:color w:val="111827"/>
          <w:sz w:val="22"/>
        </w:rPr>
        <w:t>. Its public API is nested beneath a vehicle, while its database table has a foreign key to the vehicle aggregate. The ECU state is intentionally protocol-independent: later CAN and UDS modules will reference the ECU rather than redefine it.</w:t>
      </w:r>
    </w:p>
    <w:p>
      <w:r>
        <w:rPr>
          <w:rFonts w:ascii="Calibri" w:hAnsi="Calibri"/>
          <w:color w:val="111827"/>
          <w:sz w:val="22"/>
        </w:rPr>
        <w:t>Request flow: authenticated client -&gt; FastAPI router -&gt; RBAC dependency -&gt; ECU domain service -&gt; PostgreSQL aggregate + audit record + transactional outbox event -&gt; HTTP response.</w:t>
      </w:r>
    </w:p>
    <w:p>
      <w:pPr>
        <w:pStyle w:val="Heading1"/>
        <w:keepNext/>
        <w:keepLines/>
      </w:pPr>
      <w:r>
        <w:t>6. Domain Model</w:t>
      </w:r>
    </w:p>
    <w:p>
      <w:r>
        <w:rPr>
          <w:rFonts w:ascii="Calibri" w:hAnsi="Calibri"/>
          <w:color w:val="111827"/>
          <w:sz w:val="22"/>
        </w:rPr>
        <w:t xml:space="preserve">An ECU contains </w:t>
      </w:r>
      <w:r>
        <w:rPr>
          <w:rFonts w:ascii="Consolas" w:hAnsi="Consolas"/>
          <w:color w:val="1F4D78"/>
          <w:sz w:val="19"/>
        </w:rPr>
        <w:t>vehicle_id</w:t>
      </w:r>
      <w:r>
        <w:rPr>
          <w:rFonts w:ascii="Calibri" w:hAnsi="Calibri"/>
          <w:color w:val="111827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identifier</w:t>
      </w:r>
      <w:r>
        <w:rPr>
          <w:rFonts w:ascii="Calibri" w:hAnsi="Calibri"/>
          <w:color w:val="111827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display_name</w:t>
      </w:r>
      <w:r>
        <w:rPr>
          <w:rFonts w:ascii="Calibri" w:hAnsi="Calibri"/>
          <w:color w:val="111827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ecu_type</w:t>
      </w:r>
      <w:r>
        <w:rPr>
          <w:rFonts w:ascii="Calibri" w:hAnsi="Calibri"/>
          <w:color w:val="111827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operational_state</w:t>
      </w:r>
      <w:r>
        <w:rPr>
          <w:rFonts w:ascii="Calibri" w:hAnsi="Calibri"/>
          <w:color w:val="111827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memory</w:t>
      </w:r>
      <w:r>
        <w:rPr>
          <w:rFonts w:ascii="Calibri" w:hAnsi="Calibri"/>
          <w:color w:val="111827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faults</w:t>
      </w:r>
      <w:r>
        <w:rPr>
          <w:rFonts w:ascii="Calibri" w:hAnsi="Calibri"/>
          <w:color w:val="111827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version</w:t>
      </w:r>
      <w:r>
        <w:rPr>
          <w:rFonts w:ascii="Calibri" w:hAnsi="Calibri"/>
          <w:color w:val="111827"/>
          <w:sz w:val="22"/>
        </w:rPr>
        <w:t>, and timestamps. Memory has at most 256 cells, each with a 16-bit address and an 8-bit value. Faults have a canonical code, severity, pending/confirmed status, and description.</w:t>
      </w:r>
    </w:p>
    <w:p>
      <w:r>
        <w:rPr>
          <w:rFonts w:ascii="Calibri" w:hAnsi="Calibri"/>
          <w:color w:val="111827"/>
          <w:sz w:val="22"/>
        </w:rPr>
        <w:t>The lifecycle contains offline, booting, running, degraded, fault, and shutdown. A confirmed critical fault cannot coexist with a non-fault lifecycle state. This protects the simulator from representing an obviously contradictory safety state.</w:t>
      </w:r>
    </w:p>
    <w:p>
      <w:pPr>
        <w:pStyle w:val="Heading1"/>
        <w:keepNext/>
        <w:keepLines/>
      </w:pPr>
      <w:r>
        <w:t>7. Public API and Security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8C4D1"/>
          <w:left w:val="single" w:sz="6" w:color="B8C4D1"/>
          <w:bottom w:val="single" w:sz="6" w:color="B8C4D1"/>
          <w:right w:val="single" w:sz="6" w:color="B8C4D1"/>
          <w:insideH w:val="single" w:sz="6" w:color="B8C4D1"/>
          <w:insideV w:val="single" w:sz="6" w:color="B8C4D1"/>
        </w:tblBorders>
      </w:tblPr>
      <w:tblGrid>
        <w:gridCol w:w="1150"/>
        <w:gridCol w:w="3700"/>
        <w:gridCol w:w="3100"/>
        <w:gridCol w:w="1410"/>
      </w:tblGrid>
      <w:tr>
        <w:trPr>
          <w:tblHeader w:val="true"/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/>
                <w:color w:val="0B2545"/>
                <w:sz w:val="16"/>
              </w:rPr>
              <w:t>Method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6"/>
              </w:rPr>
              <w:t>Path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6"/>
              </w:rPr>
              <w:t>Permission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POST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/api/v1/vehicles/{vehicle_id}/ecus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ecus:manage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Create one ECU.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GET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/api/v1/vehicles/{vehicle_id}/ecus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ecus:read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List and filter ECUs.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GET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/api/v1/vehicles/{vehicle_id}/ecus/{ecu_id}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ecus:read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Retrieve one ECU.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PUT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/api/v1/vehicles/{vehicle_id}/ecus/{ecu_id}/state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ecus:manage</w:t>
            </w:r>
          </w:p>
        </w:tc>
        <w:tc>
          <w:tcPr>
            <w:tcW w:type="dxa" w:w="1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6"/>
              </w:rPr>
              <w:t>Replace versioned ECU state.</w:t>
            </w:r>
          </w:p>
        </w:tc>
      </w:tr>
    </w:tbl>
    <w:p>
      <w:pPr>
        <w:spacing w:after="60"/>
      </w:pPr>
    </w:p>
    <w:p>
      <w:r>
        <w:rPr>
          <w:rFonts w:ascii="Calibri" w:hAnsi="Calibri"/>
          <w:color w:val="111827"/>
          <w:sz w:val="22"/>
        </w:rPr>
        <w:t xml:space="preserve">The Android Automotive client continues to access only the public ATEP API. It never connects to PostgreSQL or RabbitMQ directly. Stable errors include </w:t>
      </w:r>
      <w:r>
        <w:rPr>
          <w:rFonts w:ascii="Consolas" w:hAnsi="Consolas"/>
          <w:color w:val="1F4D78"/>
          <w:sz w:val="19"/>
        </w:rPr>
        <w:t>ecu_not_found</w:t>
      </w:r>
      <w:r>
        <w:rPr>
          <w:rFonts w:ascii="Calibri" w:hAnsi="Calibri"/>
          <w:color w:val="111827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ecu_identifier_already_exists</w:t>
      </w:r>
      <w:r>
        <w:rPr>
          <w:rFonts w:ascii="Calibri" w:hAnsi="Calibri"/>
          <w:color w:val="111827"/>
          <w:sz w:val="22"/>
        </w:rPr>
        <w:t xml:space="preserve">, and </w:t>
      </w:r>
      <w:r>
        <w:rPr>
          <w:rFonts w:ascii="Consolas" w:hAnsi="Consolas"/>
          <w:color w:val="1F4D78"/>
          <w:sz w:val="19"/>
        </w:rPr>
        <w:t>ecu_state_version_conflict</w:t>
      </w:r>
      <w:r>
        <w:rPr>
          <w:rFonts w:ascii="Calibri" w:hAnsi="Calibri"/>
          <w:color w:val="111827"/>
          <w:sz w:val="22"/>
        </w:rPr>
        <w:t>.</w:t>
      </w:r>
    </w:p>
    <w:p>
      <w:pPr>
        <w:pStyle w:val="Heading1"/>
        <w:keepNext/>
        <w:keepLines/>
      </w:pPr>
      <w:r>
        <w:t>8. Consistency and Evidence</w:t>
      </w:r>
    </w:p>
    <w:p>
      <w:r>
        <w:rPr>
          <w:rFonts w:ascii="Calibri" w:hAnsi="Calibri"/>
          <w:color w:val="111827"/>
          <w:sz w:val="22"/>
        </w:rPr>
        <w:t xml:space="preserve">Creation and state replacement add audit and outbox rows in the same transaction as the aggregate. State mutation locks the ECU row and compares </w:t>
      </w:r>
      <w:r>
        <w:rPr>
          <w:rFonts w:ascii="Consolas" w:hAnsi="Consolas"/>
          <w:color w:val="1F4D78"/>
          <w:sz w:val="19"/>
        </w:rPr>
        <w:t>expected_version</w:t>
      </w:r>
      <w:r>
        <w:rPr>
          <w:rFonts w:ascii="Calibri" w:hAnsi="Calibri"/>
          <w:color w:val="111827"/>
          <w:sz w:val="22"/>
        </w:rPr>
        <w:t>. Exact replay of the preceding state is accepted as idempotent; a different stale state is rejected. Audit evidence records counts and identity but excludes complete memory and fault payloads to reduce sensitive or excessive logging.</w:t>
      </w:r>
    </w:p>
    <w:p>
      <w:pPr>
        <w:pStyle w:val="Heading1"/>
        <w:keepNext/>
        <w:keepLines/>
      </w:pPr>
      <w:r>
        <w:t>9. Functional Requirements</w:t>
      </w:r>
    </w:p>
    <w:p>
      <w:r>
        <w:rPr>
          <w:rFonts w:ascii="Calibri" w:hAnsi="Calibri"/>
          <w:color w:val="111827"/>
          <w:sz w:val="22"/>
        </w:rPr>
        <w:t xml:space="preserve">The authoritative catalogue is </w:t>
      </w:r>
      <w:r>
        <w:rPr>
          <w:rFonts w:ascii="Consolas" w:hAnsi="Consolas"/>
          <w:color w:val="1F4D78"/>
          <w:sz w:val="19"/>
        </w:rPr>
        <w:t>docs/requirements-volume-iii.md</w:t>
      </w:r>
      <w:r>
        <w:rPr>
          <w:rFonts w:ascii="Calibri" w:hAnsi="Calibri"/>
          <w:color w:val="111827"/>
          <w:sz w:val="22"/>
        </w:rPr>
        <w:t>. III-1 covers ownership, uniqueness, retrieval, bounded state, consistency invariants, optimistic concurrency, RBAC, events, and audit.</w:t>
      </w:r>
    </w:p>
    <w:p>
      <w:pPr>
        <w:pStyle w:val="Heading1"/>
        <w:keepNext/>
        <w:keepLines/>
      </w:pPr>
      <w:r>
        <w:t>10. Architecture Decisions</w:t>
      </w:r>
    </w:p>
    <w:p>
      <w:pPr>
        <w:pStyle w:val="Heading2"/>
        <w:keepNext/>
        <w:keepLines/>
      </w:pPr>
      <w:r>
        <w:t>ADR-ECU-001 — Establish a Protocol-Independent ECU Aggregate</w:t>
      </w:r>
    </w:p>
    <w:p>
      <w:r>
        <w:rPr>
          <w:rFonts w:ascii="Calibri" w:hAnsi="Calibri"/>
          <w:color w:val="111827"/>
          <w:sz w:val="22"/>
        </w:rPr>
        <w:t>CAN and UDS will depend on a single ECU identity and state model. This prevents protocol modules from creating incompatible controller representations.</w:t>
      </w:r>
    </w:p>
    <w:p>
      <w:pPr>
        <w:pStyle w:val="Heading2"/>
        <w:keepNext/>
        <w:keepLines/>
      </w:pPr>
      <w:r>
        <w:t>ADR-ECU-002 — Model Memory as a Bounded Sparse Byte Map</w:t>
      </w:r>
    </w:p>
    <w:p>
      <w:r>
        <w:rPr>
          <w:rFonts w:ascii="Calibri" w:hAnsi="Calibri"/>
          <w:color w:val="111827"/>
          <w:sz w:val="22"/>
        </w:rPr>
        <w:t>A sparse address/value list is easy to validate, serialize, and inspect. It supports early tests while avoiding the resource cost and ambiguity of arbitrary binary blobs.</w:t>
      </w:r>
    </w:p>
    <w:p>
      <w:pPr>
        <w:pStyle w:val="Heading2"/>
        <w:keepNext/>
        <w:keepLines/>
      </w:pPr>
      <w:r>
        <w:t>ADR-ECU-003 — Make Faults Explicit Domain Data</w:t>
      </w:r>
    </w:p>
    <w:p>
      <w:r>
        <w:rPr>
          <w:rFonts w:ascii="Calibri" w:hAnsi="Calibri"/>
          <w:color w:val="111827"/>
          <w:sz w:val="22"/>
        </w:rPr>
        <w:t>Faults are not hidden flags. Canonical codes, severity, confirmation status, and descriptions provide traceable inputs for later DTC, diagnostics, test generation, and root-cause analysis.</w:t>
      </w:r>
    </w:p>
    <w:p>
      <w:pPr>
        <w:pStyle w:val="Heading2"/>
        <w:keepNext/>
        <w:keepLines/>
      </w:pPr>
      <w:r>
        <w:t>ADR-ECU-004 — Use Whole-State Optimistic Replacement First</w:t>
      </w:r>
    </w:p>
    <w:p>
      <w:r>
        <w:rPr>
          <w:rFonts w:ascii="Calibri" w:hAnsi="Calibri"/>
          <w:color w:val="111827"/>
          <w:sz w:val="22"/>
        </w:rPr>
        <w:t>One versioned command gives deterministic conflict behavior and atomic evidence. Fine-grained memory and fault commands can be introduced later when their timing semantics are defined.</w:t>
      </w:r>
    </w:p>
    <w:p>
      <w:pPr>
        <w:pStyle w:val="Heading1"/>
        <w:keepNext/>
        <w:keepLines/>
      </w:pPr>
      <w:r>
        <w:t>11. Verification Catalogue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B8C4D1"/>
          <w:left w:val="single" w:sz="6" w:color="B8C4D1"/>
          <w:bottom w:val="single" w:sz="6" w:color="B8C4D1"/>
          <w:right w:val="single" w:sz="6" w:color="B8C4D1"/>
          <w:insideH w:val="single" w:sz="6" w:color="B8C4D1"/>
          <w:insideV w:val="single" w:sz="6" w:color="B8C4D1"/>
        </w:tblBorders>
      </w:tblPr>
      <w:tblGrid>
        <w:gridCol w:w="1650"/>
        <w:gridCol w:w="4450"/>
        <w:gridCol w:w="3260"/>
      </w:tblGrid>
      <w:tr>
        <w:trPr>
          <w:tblHeader w:val="true"/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/>
                <w:color w:val="0B2545"/>
                <w:sz w:val="17"/>
              </w:rPr>
              <w:t>Test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Objective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7"/>
              </w:rPr>
              <w:t>Level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Valid ECU creation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Prove identity, defaults, ownership, audit, and event creation.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Duplicate identifier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Return one stable conflict within the same vehicle.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Service/integration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Vehicle isolation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Prevent retrieving an ECU through a different vehicle.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API/integration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Pagination bounds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Prevent unbounded list reads and excessive offsets.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Contract/API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Type filter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Return only ECUs of the requested type.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Service/integration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Memory byte bounds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Reject negative addresses, addresses above 65535, and values above 255.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Schema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Unique memory addresses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Reject ambiguous duplicate cell updates.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Schema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Fault code normalization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Normalize valid codes and reject unsafe formats.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Schema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Unique fault codes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Reject duplicate faults in one state.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Schema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Critical fault invariant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Require fault state for a confirmed critical fault.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Schema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Successful state replacement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Increment version and persist complete requested state.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Exact retry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Return the current aggregate without duplicate evidence.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Stale conflicting update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Return HTTP 409 with the current version.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Service/API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Read RBAC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 xml:space="preserve">Return HTTP 403 without </w:t>
            </w:r>
            <w:r>
              <w:rPr>
                <w:rFonts w:ascii="Calibri" w:hAnsi="Calibri"/>
                <w:b w:val="0"/>
                <w:color w:val="111827"/>
                <w:sz w:val="17"/>
              </w:rPr>
              <w:t>ecus:read</w:t>
            </w:r>
            <w:r>
              <w:rPr>
                <w:rFonts w:ascii="Calibri" w:hAnsi="Calibri"/>
                <w:b w:val="0"/>
                <w:color w:val="111827"/>
                <w:sz w:val="17"/>
              </w:rPr>
              <w:t>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API/integration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Manage RBAC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 xml:space="preserve">Return HTTP 403 without </w:t>
            </w:r>
            <w:r>
              <w:rPr>
                <w:rFonts w:ascii="Calibri" w:hAnsi="Calibri"/>
                <w:b w:val="0"/>
                <w:color w:val="111827"/>
                <w:sz w:val="17"/>
              </w:rPr>
              <w:t>ecus:manage</w:t>
            </w:r>
            <w:r>
              <w:rPr>
                <w:rFonts w:ascii="Calibri" w:hAnsi="Calibri"/>
                <w:b w:val="0"/>
                <w:color w:val="111827"/>
                <w:sz w:val="17"/>
              </w:rPr>
              <w:t>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API/integration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Atomic outbox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Roll back aggregate and event together on transaction failure.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Integration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Audit minimization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Ensure full memory and fault state is absent from audit details.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Service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OpenAPI publication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Prove paths, schemas, filters, and safe limits are published.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Contract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center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Migration upgrade/downgrade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Prove schema lifecycle on PostgreSQL.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before="0" w:after="40" w:line="252" w:lineRule="auto"/>
              <w:jc w:val="left"/>
            </w:pPr>
            <w:r>
              <w:rPr>
                <w:rFonts w:ascii="Calibri" w:hAnsi="Calibri"/>
                <w:b w:val="0"/>
                <w:color w:val="111827"/>
                <w:sz w:val="17"/>
              </w:rPr>
              <w:t>Integration</w:t>
            </w:r>
          </w:p>
        </w:tc>
      </w:tr>
    </w:tbl>
    <w:p>
      <w:pPr>
        <w:spacing w:after="60"/>
      </w:pPr>
    </w:p>
    <w:p>
      <w:pPr>
        <w:pStyle w:val="Heading1"/>
        <w:keepNext/>
        <w:keepLines/>
      </w:pPr>
      <w:r>
        <w:t>12. Implemented Evidence</w:t>
      </w:r>
    </w:p>
    <w:p>
      <w:pPr>
        <w:pStyle w:val="ListBullet"/>
        <w:numPr>
          <w:ilvl w:val="0"/>
          <w:numId w:val="13"/>
        </w:numPr>
      </w:pPr>
      <w:r>
        <w:rPr>
          <w:rFonts w:ascii="Consolas" w:hAnsi="Consolas"/>
          <w:color w:val="1F4D78"/>
          <w:sz w:val="19"/>
        </w:rPr>
        <w:t>src/atep/ecus/</w:t>
      </w:r>
      <w:r>
        <w:rPr>
          <w:rFonts w:ascii="Calibri" w:hAnsi="Calibri"/>
          <w:color w:val="111827"/>
          <w:sz w:val="22"/>
        </w:rPr>
        <w:t xml:space="preserve"> contains models, schemas, services, and routers.</w:t>
      </w:r>
    </w:p>
    <w:p>
      <w:pPr>
        <w:pStyle w:val="ListBullet"/>
        <w:numPr>
          <w:ilvl w:val="0"/>
          <w:numId w:val="13"/>
        </w:numPr>
      </w:pPr>
      <w:r>
        <w:rPr>
          <w:rFonts w:ascii="Calibri" w:hAnsi="Calibri"/>
          <w:color w:val="111827"/>
          <w:sz w:val="22"/>
        </w:rPr>
        <w:t xml:space="preserve">Migration </w:t>
      </w:r>
      <w:r>
        <w:rPr>
          <w:rFonts w:ascii="Consolas" w:hAnsi="Consolas"/>
          <w:color w:val="1F4D78"/>
          <w:sz w:val="19"/>
        </w:rPr>
        <w:t>0018_ecu_aggregate</w:t>
      </w:r>
      <w:r>
        <w:rPr>
          <w:rFonts w:ascii="Calibri" w:hAnsi="Calibri"/>
          <w:color w:val="111827"/>
          <w:sz w:val="22"/>
        </w:rPr>
        <w:t xml:space="preserve"> owns the database schema.</w:t>
      </w:r>
    </w:p>
    <w:p>
      <w:pPr>
        <w:pStyle w:val="ListBullet"/>
        <w:numPr>
          <w:ilvl w:val="0"/>
          <w:numId w:val="13"/>
        </w:numPr>
      </w:pPr>
      <w:r>
        <w:rPr>
          <w:rFonts w:ascii="Calibri" w:hAnsi="Calibri"/>
          <w:color w:val="111827"/>
          <w:sz w:val="22"/>
        </w:rPr>
        <w:t xml:space="preserve">Permission catalogue contains </w:t>
      </w:r>
      <w:r>
        <w:rPr>
          <w:rFonts w:ascii="Consolas" w:hAnsi="Consolas"/>
          <w:color w:val="1F4D78"/>
          <w:sz w:val="19"/>
        </w:rPr>
        <w:t>ecus:read</w:t>
      </w:r>
      <w:r>
        <w:rPr>
          <w:rFonts w:ascii="Calibri" w:hAnsi="Calibri"/>
          <w:color w:val="111827"/>
          <w:sz w:val="22"/>
        </w:rPr>
        <w:t xml:space="preserve"> and </w:t>
      </w:r>
      <w:r>
        <w:rPr>
          <w:rFonts w:ascii="Consolas" w:hAnsi="Consolas"/>
          <w:color w:val="1F4D78"/>
          <w:sz w:val="19"/>
        </w:rPr>
        <w:t>ecus:manage</w:t>
      </w:r>
      <w:r>
        <w:rPr>
          <w:rFonts w:ascii="Calibri" w:hAnsi="Calibri"/>
          <w:color w:val="111827"/>
          <w:sz w:val="22"/>
        </w:rPr>
        <w:t>.</w:t>
      </w:r>
    </w:p>
    <w:p>
      <w:pPr>
        <w:pStyle w:val="ListBullet"/>
        <w:numPr>
          <w:ilvl w:val="0"/>
          <w:numId w:val="13"/>
        </w:numPr>
      </w:pPr>
      <w:r>
        <w:rPr>
          <w:rFonts w:ascii="Calibri" w:hAnsi="Calibri"/>
          <w:color w:val="111827"/>
          <w:sz w:val="22"/>
        </w:rPr>
        <w:t xml:space="preserve">Events are </w:t>
      </w:r>
      <w:r>
        <w:rPr>
          <w:rFonts w:ascii="Consolas" w:hAnsi="Consolas"/>
          <w:color w:val="1F4D78"/>
          <w:sz w:val="19"/>
        </w:rPr>
        <w:t>atep.ecu.created.v1</w:t>
      </w:r>
      <w:r>
        <w:rPr>
          <w:rFonts w:ascii="Calibri" w:hAnsi="Calibri"/>
          <w:color w:val="111827"/>
          <w:sz w:val="22"/>
        </w:rPr>
        <w:t xml:space="preserve"> and </w:t>
      </w:r>
      <w:r>
        <w:rPr>
          <w:rFonts w:ascii="Consolas" w:hAnsi="Consolas"/>
          <w:color w:val="1F4D78"/>
          <w:sz w:val="19"/>
        </w:rPr>
        <w:t>atep.ecu.state.updated.v1</w:t>
      </w:r>
      <w:r>
        <w:rPr>
          <w:rFonts w:ascii="Calibri" w:hAnsi="Calibri"/>
          <w:color w:val="111827"/>
          <w:sz w:val="22"/>
        </w:rPr>
        <w:t>.</w:t>
      </w:r>
    </w:p>
    <w:p>
      <w:pPr>
        <w:pStyle w:val="ListBullet"/>
        <w:numPr>
          <w:ilvl w:val="0"/>
          <w:numId w:val="13"/>
        </w:numPr>
      </w:pPr>
      <w:r>
        <w:rPr>
          <w:rFonts w:ascii="Calibri" w:hAnsi="Calibri"/>
          <w:color w:val="111827"/>
          <w:sz w:val="22"/>
        </w:rPr>
        <w:t>Automated tests cover validation, atomic evidence, concurrency, idempotency, permissions, and API contracts.</w:t>
      </w:r>
    </w:p>
    <w:p>
      <w:pPr>
        <w:pStyle w:val="Heading1"/>
        <w:keepNext/>
        <w:keepLines/>
      </w:pPr>
      <w:r>
        <w:t>13. Risks and Technical Debt</w:t>
      </w:r>
    </w:p>
    <w:p>
      <w:pPr>
        <w:pStyle w:val="ListBullet"/>
        <w:numPr>
          <w:ilvl w:val="0"/>
          <w:numId w:val="14"/>
        </w:numPr>
      </w:pPr>
      <w:r>
        <w:rPr>
          <w:rFonts w:ascii="Calibri" w:hAnsi="Calibri"/>
          <w:color w:val="111827"/>
          <w:sz w:val="22"/>
        </w:rPr>
        <w:t>JSON state is practical for the baseline but may require normalized history tables for large traces.</w:t>
      </w:r>
    </w:p>
    <w:p>
      <w:pPr>
        <w:pStyle w:val="ListBullet"/>
        <w:numPr>
          <w:ilvl w:val="0"/>
          <w:numId w:val="14"/>
        </w:numPr>
      </w:pPr>
      <w:r>
        <w:rPr>
          <w:rFonts w:ascii="Calibri" w:hAnsi="Calibri"/>
          <w:color w:val="111827"/>
          <w:sz w:val="22"/>
        </w:rPr>
        <w:t>Whole-state replacement is not intended for high-frequency RAM writes.</w:t>
      </w:r>
    </w:p>
    <w:p>
      <w:pPr>
        <w:pStyle w:val="ListBullet"/>
        <w:numPr>
          <w:ilvl w:val="0"/>
          <w:numId w:val="14"/>
        </w:numPr>
      </w:pPr>
      <w:r>
        <w:rPr>
          <w:rFonts w:ascii="Calibri" w:hAnsi="Calibri"/>
          <w:color w:val="111827"/>
          <w:sz w:val="22"/>
        </w:rPr>
        <w:t>ECU type profiles are not yet behaviorally distinct.</w:t>
      </w:r>
    </w:p>
    <w:p>
      <w:pPr>
        <w:pStyle w:val="ListBullet"/>
        <w:numPr>
          <w:ilvl w:val="0"/>
          <w:numId w:val="14"/>
        </w:numPr>
      </w:pPr>
      <w:r>
        <w:rPr>
          <w:rFonts w:ascii="Calibri" w:hAnsi="Calibri"/>
          <w:color w:val="111827"/>
          <w:sz w:val="22"/>
        </w:rPr>
        <w:t>Memory persistence across reset is undefined until III-4.</w:t>
      </w:r>
    </w:p>
    <w:p>
      <w:pPr>
        <w:pStyle w:val="ListBullet"/>
        <w:numPr>
          <w:ilvl w:val="0"/>
          <w:numId w:val="14"/>
        </w:numPr>
      </w:pPr>
      <w:r>
        <w:rPr>
          <w:rFonts w:ascii="Calibri" w:hAnsi="Calibri"/>
          <w:color w:val="111827"/>
          <w:sz w:val="22"/>
        </w:rPr>
        <w:t>Fault-to-DTC mapping belongs to the Diagnostics boundary and is not implemented here.</w:t>
      </w:r>
    </w:p>
    <w:p>
      <w:pPr>
        <w:pStyle w:val="Heading1"/>
        <w:keepNext/>
        <w:keepLines/>
      </w:pPr>
      <w:r>
        <w:t>14. Roadmap</w:t>
      </w:r>
    </w:p>
    <w:p>
      <w:r>
        <w:rPr>
          <w:rFonts w:ascii="Calibri" w:hAnsi="Calibri"/>
          <w:color w:val="111827"/>
          <w:sz w:val="22"/>
        </w:rPr>
        <w:t xml:space="preserve">The next increment adds a deterministic logical clock, cyclic tasks, and reset semantics without wall-clock sleeps. Later increments add ECU profiles, memory regions, fault lifecycle, CAN contracts, and multi-ECU scenarios. See </w:t>
      </w:r>
      <w:r>
        <w:rPr>
          <w:rFonts w:ascii="Consolas" w:hAnsi="Consolas"/>
          <w:color w:val="1F4D78"/>
          <w:sz w:val="19"/>
        </w:rPr>
        <w:t>docs/roadmap-volume-iii.md</w:t>
      </w:r>
      <w:r>
        <w:rPr>
          <w:rFonts w:ascii="Calibri" w:hAnsi="Calibri"/>
          <w:color w:val="111827"/>
          <w:sz w:val="22"/>
        </w:rPr>
        <w:t>.</w:t>
      </w:r>
    </w:p>
    <w:p>
      <w:pPr>
        <w:pStyle w:val="Heading1"/>
        <w:keepNext/>
        <w:keepLines/>
      </w:pPr>
      <w:r>
        <w:t>15. Study Exercises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/>
          <w:color w:val="111827"/>
          <w:sz w:val="22"/>
        </w:rPr>
        <w:t>Trace an ECU creation from request validation to database, audit, and outbox rows.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/>
          <w:color w:val="111827"/>
          <w:sz w:val="22"/>
        </w:rPr>
        <w:t>Explain why an exact retry is safe but a different stale state must fail.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/>
          <w:color w:val="111827"/>
          <w:sz w:val="22"/>
        </w:rPr>
        <w:t>Add a schema test for the 257th memory cell and interpret the global validation response.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/>
          <w:color w:val="111827"/>
          <w:sz w:val="22"/>
        </w:rPr>
        <w:t>Design reset behavior for volatile and non-volatile memory without implementing it.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/>
          <w:color w:val="111827"/>
          <w:sz w:val="22"/>
        </w:rPr>
        <w:t>Propose how a BMS ECU fault should later become a UDS DTC without coupling the two modules.</w:t>
      </w:r>
    </w:p>
    <w:p>
      <w:pPr>
        <w:pStyle w:val="Heading1"/>
        <w:keepNext/>
        <w:keepLines/>
      </w:pPr>
      <w:r>
        <w:t>16. Workbook Maintenance Checklist</w:t>
      </w:r>
    </w:p>
    <w:p>
      <w:pPr>
        <w:pStyle w:val="ListBullet"/>
        <w:numPr>
          <w:ilvl w:val="0"/>
          <w:numId w:val="16"/>
        </w:numPr>
      </w:pPr>
      <w:r>
        <w:rPr>
          <w:rFonts w:ascii="Calibri" w:hAnsi="Calibri"/>
          <w:color w:val="111827"/>
          <w:sz w:val="22"/>
        </w:rPr>
        <w:t>Update requirement status and evidence with every increment.</w:t>
      </w:r>
    </w:p>
    <w:p>
      <w:pPr>
        <w:pStyle w:val="ListBullet"/>
        <w:numPr>
          <w:ilvl w:val="0"/>
          <w:numId w:val="16"/>
        </w:numPr>
      </w:pPr>
      <w:r>
        <w:rPr>
          <w:rFonts w:ascii="Calibri" w:hAnsi="Calibri"/>
          <w:color w:val="111827"/>
          <w:sz w:val="22"/>
        </w:rPr>
        <w:t>Add each architecture decision before introducing its implementation dependency.</w:t>
      </w:r>
    </w:p>
    <w:p>
      <w:pPr>
        <w:pStyle w:val="ListBullet"/>
        <w:numPr>
          <w:ilvl w:val="0"/>
          <w:numId w:val="16"/>
        </w:numPr>
      </w:pPr>
      <w:r>
        <w:rPr>
          <w:rFonts w:ascii="Calibri" w:hAnsi="Calibri"/>
          <w:color w:val="111827"/>
          <w:sz w:val="22"/>
        </w:rPr>
        <w:t>Record public event names and stable errors.</w:t>
      </w:r>
    </w:p>
    <w:p>
      <w:pPr>
        <w:pStyle w:val="ListBullet"/>
        <w:numPr>
          <w:ilvl w:val="0"/>
          <w:numId w:val="16"/>
        </w:numPr>
      </w:pPr>
      <w:r>
        <w:rPr>
          <w:rFonts w:ascii="Calibri" w:hAnsi="Calibri"/>
          <w:color w:val="111827"/>
          <w:sz w:val="22"/>
        </w:rPr>
        <w:t>Keep test objectives aligned with automated test names.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after="0"/>
    </w:pPr>
    <w:r>
      <w:rPr>
        <w:rFonts w:ascii="Calibri" w:hAnsi="Calibri"/>
        <w:color w:val="667085"/>
        <w:sz w:val="17"/>
      </w:rPr>
      <w:t>ATEP Volume III Workbook  |  Version 0.1.0</w:t>
    </w:r>
    <w:r>
      <w:rPr>
        <w:rFonts w:ascii="Calibri" w:hAnsi="Calibri"/>
        <w:color w:val="667085"/>
        <w:sz w:val="17"/>
      </w:rPr>
      <w:tab/>
      <w:tab/>
      <w:t xml:space="preserve">Page </w:t>
    </w:r>
    <w:r>
      <w:rPr>
        <w:rFonts w:ascii="Calibri" w:hAnsi="Calibri"/>
        <w:color w:val="66708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/>
        <w:b/>
        <w:color w:val="667085"/>
        <w:sz w:val="17"/>
      </w:rPr>
      <w:t>ATEP  /  VOLUME III  /  ECU SIMULATOR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0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ATEP Volume III - ECU Simulator Engineering Workbook</dc:title>
  <dc:subject>Architecture, implementation, verification, and engineering evidence</dc:subject>
  <dc:creator>ATEP Core Platform Engineering</dc:creator>
  <cp:keywords>ATEP, automotive testing, FastAPI, RBAC, PostgreSQL, RabbitMQ, engineering workbook</cp:keywords>
  <dc:description>Generated from docs/workbook-volume-iii.md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