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ATEP Volume VIII Test Framework Engineering Workbook</w:t>
      </w:r>
    </w:p>
    <w:p>
      <w:pPr>
        <w:jc w:val="center"/>
      </w:pPr>
      <w:r>
        <w:rPr>
          <w:b/>
        </w:rPr>
        <w:t>Version 0.5.0   VIII 6 Mutation and Coverage Implemented</w:t>
      </w:r>
    </w:p>
    <w:p>
      <w:r>
        <w:t>This workbook records the catalog, execution-binding, scheduled-selection, and bounded fault-campaign and mutation-quality baseline for ATEP. Reusable definitions describe test intent, suites preserve reviewed composition, and catalog-backed runs now persist deterministic case results and aggregate outcomes.</w:t>
      </w:r>
    </w:p>
    <w:tbl>
      <w:tblPr>
        <w:tblW w:type="auto" w:w="0"/>
        <w:tblLayout w:type="fixed"/>
        <w:tblLook w:firstColumn="1" w:firstRow="1" w:lastColumn="0" w:lastRow="0" w:noHBand="0" w:noVBand="1" w:val="04A0"/>
      </w:tblPr>
      <w:tblGrid>
        <w:gridCol w:w="4968"/>
        <w:gridCol w:w="4968"/>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Field</w:t>
            </w:r>
          </w:p>
        </w:tc>
        <w:tc>
          <w:tcPr>
            <w:tcW w:type="dxa" w:w="77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Value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Status</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VIII-1, VIII-2, VIII-3, VIII-5, and VIII-6 implemented and verified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Technology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FastAPI, PostgreSQL, SQLAlchemy, Alembic, Pydantic</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Security</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test_catalog:read and test_catalog:manage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Cost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Local first with no paid cloud, AI, or GPU dependency</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Next</w:t>
            </w:r>
          </w:p>
        </w:tc>
        <w:tc>
          <w:tcPr>
            <w:tcW w:type="dxa" w:w="7776"/>
            <w:tcBorders>
              <w:top w:val="single" w:sz="4" w:color="D9D9D9"/>
              <w:left w:val="single" w:sz="4" w:color="D9D9D9"/>
              <w:bottom w:val="single" w:sz="4" w:color="D9D9D9"/>
              <w:right w:val="single" w:sz="4" w:color="D9D9D9"/>
              <w:insideH w:val="single" w:sz="4" w:color="D9D9D9"/>
              <w:insideV w:val="single" w:sz="4" w:color="D9D9D9"/>
            </w:tcBorders>
            <w:vAlign w:val="center"/>
          </w:tcPr>
          <w:p>
            <w:r>
              <w:t>VIII-7 cross-platform automation; VIII-4 deferred</w:t>
            </w:r>
          </w:p>
        </w:tc>
      </w:tr>
    </w:tbl>
    <w:p/>
    <w:p>
      <w:pPr>
        <w:pStyle w:val="Heading1"/>
      </w:pPr>
      <w:r>
        <w:t>1 Scope and Outcome</w:t>
      </w:r>
    </w:p>
    <w:p>
      <w:r>
        <w:t>VIII-1 separates reusable test design from test execution. A definition captures one test's preconditions, actions, inputs, expectations, classification, and resource budget. A suite selects active definitions in an explicit order and freezes their versions. VIII-2 binds that snapshot to a run and records each case outcome. VIII-3 schedules that immutable intent for later smoke, sanity, or regression execution. VIII-5 adds cross-domain fault campaigns with recovery plans and evidence. VIII-6 adds bounded mutation scoring and explicit requirement coverage gaps.</w:t>
      </w:r>
    </w:p>
    <w:p>
      <w:pPr>
        <w:pStyle w:val="ListBullet"/>
      </w:pPr>
      <w:r>
        <w:t>Definitions cover core, vehicle, ECU, CAN, diagnostics, EV, ADAS, and integration domains.</w:t>
      </w:r>
    </w:p>
    <w:p>
      <w:pPr>
        <w:pStyle w:val="ListBullet"/>
      </w:pPr>
      <w:r>
        <w:t>Suites classify smoke, sanity, regression, performance, stress, and safety intent.</w:t>
      </w:r>
    </w:p>
    <w:p>
      <w:pPr>
        <w:pStyle w:val="ListBullet"/>
      </w:pPr>
      <w:r>
        <w:t>Performance and stress remain planned but are deferred until near completion; cross-platform automation is next.</w:t>
      </w:r>
    </w:p>
    <w:p>
      <w:r>
        <w:br w:type="page"/>
      </w:r>
    </w:p>
    <w:p>
      <w:pPr>
        <w:pStyle w:val="Heading1"/>
      </w:pPr>
      <w:r>
        <w:t>2 Architecture</w:t>
      </w:r>
    </w:p>
    <w:tbl>
      <w:tblPr>
        <w:tblW w:type="auto" w:w="0"/>
        <w:tblLayout w:type="fixed"/>
        <w:tblLook w:firstColumn="1" w:firstRow="1" w:lastColumn="0" w:lastRow="0" w:noHBand="0" w:noVBand="1" w:val="04A0"/>
      </w:tblPr>
      <w:tblGrid>
        <w:gridCol w:w="4968"/>
        <w:gridCol w:w="4968"/>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Layer</w:t>
            </w:r>
          </w:p>
        </w:tc>
        <w:tc>
          <w:tcPr>
            <w:tcW w:type="dxa" w:w="77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Responsibility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FastAPI</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Bounded contracts, pagination, status filtering, and RBAC</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service</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Idempotency, lifecycle, snapshots, audit, and outbox</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PostgreSQL</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Definitions, suite composition snapshots, versions, and status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Alembic</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Linear migrations 0051 through 0055 with reversible schema changes</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Run executor</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Materializes and updates ordered cases without rewriting catalog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77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Snapshots bounded injection and recovery intent without arbitrary commands</w:t>
            </w:r>
          </w:p>
        </w:tc>
      </w:tr>
    </w:tbl>
    <w:p/>
    <w:p>
      <w:pPr>
        <w:pStyle w:val="Heading1"/>
      </w:pPr>
      <w:r>
        <w:t>3 Definition Contract</w:t>
      </w:r>
    </w:p>
    <w:tbl>
      <w:tblPr>
        <w:tblW w:type="auto" w:w="0"/>
        <w:tblLayout w:type="fixed"/>
        <w:tblLook w:firstColumn="1" w:firstRow="1" w:lastColumn="0" w:lastRow="0" w:noHBand="0" w:noVBand="1" w:val="04A0"/>
      </w:tblPr>
      <w:tblGrid>
        <w:gridCol w:w="3312"/>
        <w:gridCol w:w="3312"/>
        <w:gridCol w:w="3312"/>
      </w:tblGrid>
      <w:tr>
        <w:trPr>
          <w:tblHeader/>
        </w:trPr>
        <w:tc>
          <w:tcPr>
            <w:tcW w:type="dxa" w:w="18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Concept</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Identity</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Lowercase URL-safe ID</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Stable API and evidence references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Classification</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Domain, level, automation mode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Selection and reporting</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Budget</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Timeout from 1 to 86400 seconds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Bound future executor resources</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Preconditions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twenty statements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setup assumptions explicit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vAlign w:val="center"/>
          </w:tcPr>
          <w:p>
            <w:r>
              <w:t>Steps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One to one hundred unique structured steps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Preserve executable intent</w:t>
            </w:r>
          </w:p>
        </w:tc>
      </w:tr>
      <w:tr>
        <w:tc>
          <w:tcPr>
            <w:tcW w:type="dxa" w:w="18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Inputs</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JSON limited to 8192 bytes per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unbounded payloads</w:t>
            </w:r>
          </w:p>
        </w:tc>
      </w:tr>
    </w:tbl>
    <w:p/>
    <w:p>
      <w:r>
        <w:br w:type="page"/>
      </w:r>
    </w:p>
    <w:p>
      <w:pPr>
        <w:pStyle w:val="Heading1"/>
      </w:pPr>
      <w:r>
        <w:t>4 Suite Composition</w:t>
      </w:r>
    </w:p>
    <w:p>
      <w:r>
        <w:t>A suite contains one to two hundred unique active definitions. Every case has a unique order, required flag, and bounded parameter overrides. The stored composition adds the definition name and version, creating a deterministic snapshot for future execution.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08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Rejected condition</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Known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does not exist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dangling suites</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Active reference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is draft or archived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Use reviewed test intent</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definition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Same definition appears twice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accidental repetition</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Unique order</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Two cases share an order</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Guarantee deterministic sequence</w:t>
            </w:r>
          </w:p>
        </w:tc>
      </w:tr>
      <w:tr>
        <w:tc>
          <w:tcPr>
            <w:tcW w:type="dxa" w:w="2088"/>
            <w:tcBorders>
              <w:top w:val="single" w:sz="4" w:color="D9D9D9"/>
              <w:left w:val="single" w:sz="4" w:color="D9D9D9"/>
              <w:bottom w:val="single" w:sz="4" w:color="D9D9D9"/>
              <w:right w:val="single" w:sz="4" w:color="D9D9D9"/>
              <w:insideH w:val="single" w:sz="4" w:color="D9D9D9"/>
              <w:insideV w:val="single" w:sz="4" w:color="D9D9D9"/>
            </w:tcBorders>
            <w:vAlign w:val="center"/>
          </w:tcPr>
          <w:p>
            <w:r>
              <w:t>Version snapshot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None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intent from later lifecycle changes</w:t>
            </w:r>
          </w:p>
        </w:tc>
      </w:tr>
    </w:tbl>
    <w:p/>
    <w:p>
      <w:pPr>
        <w:pStyle w:val="Heading1"/>
      </w:pPr>
      <w:r>
        <w:t>5 Lifecycle and Concurrency</w:t>
      </w:r>
    </w:p>
    <w:p>
      <w:r>
        <w:t>Definitions and suites move only from draft to active to archived. A client supplies the expected version for every transition. Stale versions and backward transitions return stable HTTP 409 errors before mutation.</w:t>
      </w:r>
    </w:p>
    <w:p>
      <w:pPr>
        <w:pStyle w:val="Heading1"/>
      </w:pPr>
      <w:r>
        <w:t>6 API and Access Control</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Resource</w:t>
            </w:r>
          </w:p>
        </w:tc>
        <w:tc>
          <w:tcPr>
            <w:tcW w:type="dxa" w:w="46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Operations</w:t>
            </w:r>
          </w:p>
        </w:tc>
        <w:tc>
          <w:tcPr>
            <w:tcW w:type="dxa" w:w="288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Permission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definitions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and status change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 suites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and detail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cancel</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 campaigns</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status, execute, update</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test_catalog:manage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6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List, detail, and results</w:t>
            </w:r>
          </w:p>
        </w:tc>
        <w:tc>
          <w:tcPr>
            <w:tcW w:type="dxa" w:w="288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test_catalog:read</w:t>
            </w:r>
          </w:p>
        </w:tc>
      </w:tr>
    </w:tbl>
    <w:p/>
    <w:p>
      <w:r>
        <w:br w:type="page"/>
      </w:r>
    </w:p>
    <w:p>
      <w:pPr>
        <w:pStyle w:val="Heading1"/>
      </w:pPr>
      <w:r>
        <w:t>7 Execution Binding</w:t>
      </w:r>
    </w:p>
    <w:p>
      <w:r>
        <w:t>A run may reference an active catalog suite. Creation freezes the suite identifier, name, type, version, and composition and creates one pending result per ordered case in the same transaction. Existing runs remain reproducible after the source suite is archived.</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Persisted input</w:t>
            </w:r>
          </w:p>
        </w:tc>
        <w:tc>
          <w:tcPr>
            <w:tcW w:type="dxa" w:w="25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511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Purpose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Attempt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0 to 100</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Represent controlled execution attempts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Duration</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0 to 86400000 ms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Record terminal execution time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Observed result</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4000 characters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Explain the measured outcome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20 references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Case page</w:t>
            </w:r>
          </w:p>
        </w:tc>
        <w:tc>
          <w:tcPr>
            <w:tcW w:type="dxa" w:w="2592"/>
            <w:tcBorders>
              <w:top w:val="single" w:sz="4" w:color="D9D9D9"/>
              <w:left w:val="single" w:sz="4" w:color="D9D9D9"/>
              <w:bottom w:val="single" w:sz="4" w:color="D9D9D9"/>
              <w:right w:val="single" w:sz="4" w:color="D9D9D9"/>
              <w:insideH w:val="single" w:sz="4" w:color="D9D9D9"/>
              <w:insideV w:val="single" w:sz="4" w:color="D9D9D9"/>
            </w:tcBorders>
            <w:vAlign w:val="center"/>
          </w:tcPr>
          <w:p>
            <w:r>
              <w:t>200 records</w:t>
            </w:r>
          </w:p>
        </w:tc>
        <w:tc>
          <w:tcPr>
            <w:tcW w:type="dxa" w:w="5112"/>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query and response resources</w:t>
            </w:r>
          </w:p>
        </w:tc>
      </w:tr>
    </w:tbl>
    <w:p/>
    <w:p>
      <w:pPr>
        <w:pStyle w:val="Heading1"/>
      </w:pPr>
      <w:r>
        <w:t>8 Result Aggregation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Condition</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Run outcome</w:t>
            </w:r>
          </w:p>
        </w:tc>
        <w:tc>
          <w:tcPr>
            <w:tcW w:type="dxa" w:w="381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Reason</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Cases remain pending or running</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Running</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Execution is incomplete</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case failed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intent was not satisfied</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case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Failed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evidence is missing</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 required cases passed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Passed</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Reviewed acceptance intent was met</w:t>
            </w:r>
          </w:p>
        </w:tc>
      </w:tr>
      <w:tr>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case failed or skipped</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Passed if required cases pass</w:t>
            </w:r>
          </w:p>
        </w:tc>
        <w:tc>
          <w:tcPr>
            <w:tcW w:type="dxa" w:w="3816"/>
            <w:tcBorders>
              <w:top w:val="single" w:sz="4" w:color="D9D9D9"/>
              <w:left w:val="single" w:sz="4" w:color="D9D9D9"/>
              <w:bottom w:val="single" w:sz="4" w:color="D9D9D9"/>
              <w:right w:val="single" w:sz="4" w:color="D9D9D9"/>
              <w:insideH w:val="single" w:sz="4" w:color="D9D9D9"/>
              <w:insideV w:val="single" w:sz="4" w:color="D9D9D9"/>
            </w:tcBorders>
            <w:vAlign w:val="center"/>
          </w:tcPr>
          <w:p>
            <w:r>
              <w:t>Optional scope is informative</w:t>
            </w:r>
          </w:p>
        </w:tc>
      </w:tr>
    </w:tbl>
    <w:p/>
    <w:p>
      <w:r>
        <w:t>Case results exclusively derive running, passed, and failed states for catalog-backed runs. An authorized operator may still cancel an incomplete run directly.</w:t>
      </w:r>
    </w:p>
    <w:p>
      <w:r>
        <w:br w:type="page"/>
      </w:r>
    </w:p>
    <w:p>
      <w:pPr>
        <w:pStyle w:val="Heading1"/>
      </w:pPr>
      <w:r>
        <w:t>9 Scheduler and Selection</w:t>
      </w:r>
    </w:p>
    <w:p>
      <w:r>
        <w:t>A catalog-backed job requires a suite identifier and matching smoke, sanity, or regression policy. Scheduling freezes suite identity, version, type, tags, and ordered composition. Dispatch later creates the run and pending cases from that stored snapshot without re-reading mutable catalog data. Legacy jobs remain supported.</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Selection rule</w:t>
            </w:r>
          </w:p>
        </w:tc>
        <w:tc>
          <w:tcPr>
            <w:tcW w:type="dxa" w:w="324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Accepted value</w:t>
            </w:r>
          </w:p>
        </w:tc>
        <w:tc>
          <w:tcPr>
            <w:tcW w:type="dxa" w:w="446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Policy</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Smoke, sanity, regression</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VIII-3 scope explicit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Type match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policy, and suite agree</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Prevent misleading execution intent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Active suite at scheduling</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Select reviewed content</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Versioned ordered cases</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Make delayed execution reproducible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w:t>
            </w:r>
          </w:p>
        </w:tc>
        <w:tc>
          <w:tcPr>
            <w:tcW w:type="dxa" w:w="3240"/>
            <w:tcBorders>
              <w:top w:val="single" w:sz="4" w:color="D9D9D9"/>
              <w:left w:val="single" w:sz="4" w:color="D9D9D9"/>
              <w:bottom w:val="single" w:sz="4" w:color="D9D9D9"/>
              <w:right w:val="single" w:sz="4" w:color="D9D9D9"/>
              <w:insideH w:val="single" w:sz="4" w:color="D9D9D9"/>
              <w:insideV w:val="single" w:sz="4" w:color="D9D9D9"/>
            </w:tcBorders>
            <w:vAlign w:val="center"/>
          </w:tcPr>
          <w:p>
            <w:r>
              <w:t>Stored snapshot only</w:t>
            </w:r>
          </w:p>
        </w:tc>
        <w:tc>
          <w:tcPr>
            <w:tcW w:type="dxa" w:w="4464"/>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 later catalog archival</w:t>
            </w:r>
          </w:p>
        </w:tc>
      </w:tr>
    </w:tbl>
    <w:p/>
    <w:p>
      <w:r>
        <w:br w:type="page"/>
      </w:r>
    </w:p>
    <w:p>
      <w:pPr>
        <w:pStyle w:val="Heading1"/>
      </w:pPr>
      <w:r>
        <w:t>10 Fault Campaigns</w:t>
      </w:r>
    </w:p>
    <w:p>
      <w:r>
        <w:t>VIII-5 defines reusable campaigns across Digital Vehicle, ECU, CAN, diagnostics, Electric Vehicle, and ADAS. Each step selects a domain-specific allowlisted action, declares an expected effect, and includes a mandatory recovery plan. The framework owns intent and evidence; native simulators retain ownership of the actual state mutation.</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Safety control</w:t>
            </w:r>
          </w:p>
        </w:tc>
        <w:tc>
          <w:tcPr>
            <w:tcW w:type="dxa" w:w="338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Bound</w:t>
            </w:r>
          </w:p>
        </w:tc>
        <w:tc>
          <w:tcPr>
            <w:tcW w:type="dxa" w:w="439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Blast radius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Component, network, or vehicle</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Exclude fleet-wide impact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Campaign size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1 to 32 steps</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orchestration and persistence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Parameters</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8192 bytes per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Prevent unbounded structured input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Time budget</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30 minutes total</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injection and recovery exposure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Recovery</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for every step</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vAlign w:val="center"/>
          </w:tcPr>
          <w:p>
            <w:r>
              <w:t>Make restoration and proof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Command surface</w:t>
            </w:r>
          </w:p>
        </w:tc>
        <w:tc>
          <w:tcPr>
            <w:tcW w:type="dxa" w:w="338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Allowlisted actions only</w:t>
            </w:r>
          </w:p>
        </w:tc>
        <w:tc>
          <w:tcPr>
            <w:tcW w:type="dxa" w:w="439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command execution</w:t>
            </w:r>
          </w:p>
        </w:tc>
      </w:tr>
    </w:tbl>
    <w:p/>
    <w:p>
      <w:r>
        <w:t>An active campaign creates an immutable execution snapshot and one pending result per ordered step. Results move through injection, observation, recovery, and terminal states using optimistic versions. Required failure or skip fails the completed execution; optional failures remain informative. Exact replay remains valid after campaign archival.</w:t>
      </w:r>
    </w:p>
    <w:p>
      <w:r>
        <w:br w:type="page"/>
      </w:r>
    </w:p>
    <w:p>
      <w:pPr>
        <w:pStyle w:val="Heading1"/>
      </w:pPr>
      <w:r>
        <w:t>11 Mutation Testing and Coverage</w:t>
      </w:r>
    </w:p>
    <w:p>
      <w:r>
        <w:t>VIII-6 binds an active catalog suite to a reviewed mutation campaign. Each campaign preserves the suite snapshot and contains up to five hundred uniquely ordered mutants using seven explicit operators. Execution materializes pending results atomically and never exposes arbitrary source or shell execution through the API.</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Rule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Engineering purpose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Operators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Seven allowlisted values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Keep adapters portable and reviewable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Parameters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8192 bytes per mutant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structured orchestration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Killed result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At least one detecting test</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Make detection evidence explicit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score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Killed divided by killed plus survived</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Avoid distortion by errors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Required outcome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Survived, error, or skip fails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reviewed acceptance intent</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Evidence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 most 20 references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Link artifacts without copying content</w:t>
            </w:r>
          </w:p>
        </w:tc>
      </w:tr>
    </w:tbl>
    <w:p/>
    <w:p>
      <w:r>
        <w:t>Requirement records reference known catalog definitions and external evidence. Both present means covered, only one present means partial, and neither means gap. Collection responses include totals for each state so dashboards and quality gates can expose missing tests or missing evidence directly.</w:t>
      </w:r>
    </w:p>
    <w:p>
      <w:r>
        <w:br w:type="page"/>
      </w:r>
    </w:p>
    <w:p>
      <w:pPr>
        <w:pStyle w:val="Heading1"/>
      </w:pPr>
      <w:r>
        <w:t>12 Events and Audit</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Mutation</w:t>
            </w:r>
          </w:p>
        </w:tc>
        <w:tc>
          <w:tcPr>
            <w:tcW w:type="dxa" w:w="453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Outbox event</w:t>
            </w:r>
          </w:p>
        </w:tc>
        <w:tc>
          <w:tcPr>
            <w:tcW w:type="dxa" w:w="302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Audit action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definition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atep.test_definition.created.v1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test_definition.created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definition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atep.test_definition.status_changed.v1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test_definition.status_changed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suite</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atep.test_suite.created.v1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test_suite.created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Change suite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atep.test_suite.status_changed.v1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test_suite.status_changed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case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atep.test_case.result_recorded.v1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test_case.result_recorded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atep.test_job.scheduled.v1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test_job.scheduled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selection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atep.test_job.dispatched.v1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test_job.dispatched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Change campaign status</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atep.fault_campaign.status_changed.v1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fault_campaign.status_changed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atep.fault_campaign.execution.requested.v1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fault_campaign.execution_requested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fault step</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atep.fault_campaign.step_recorded.v1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fault_campaign.step_recorded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Cancel fault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atep.fault_campaign.execution.cancelled.v1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fault_campaign.execution_cancelled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Create mutation campaign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atep.mutation_campaign.created.v1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mutation_campaign.created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Create mutation execution</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atep.mutation_execution.created.v1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mutation_execution.created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Record mutant result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vAlign w:val="center"/>
          </w:tcPr>
          <w:p>
            <w:r>
              <w:t>atep.mutant_result.recorded.v1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vAlign w:val="center"/>
          </w:tcPr>
          <w:p>
            <w:r>
              <w:t>mutant_result.recorded</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Update requirement</w:t>
            </w:r>
          </w:p>
        </w:tc>
        <w:tc>
          <w:tcPr>
            <w:tcW w:type="dxa" w:w="453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atep.requirement_coverage.updated.v1</w:t>
            </w:r>
          </w:p>
        </w:tc>
        <w:tc>
          <w:tcPr>
            <w:tcW w:type="dxa" w:w="302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requirement_coverage.updated</w:t>
            </w:r>
          </w:p>
        </w:tc>
      </w:tr>
    </w:tbl>
    <w:p/>
    <w:p>
      <w:r>
        <w:t>The resource, audit record, and outbox event share one database transaction. Exact create replays return the original resource without duplicate evidence; changed reuse of the same public identifier returns a stable conflict.</w:t>
      </w:r>
    </w:p>
    <w:p>
      <w:r>
        <w:br w:type="page"/>
      </w:r>
    </w:p>
    <w:p>
      <w:pPr>
        <w:pStyle w:val="Heading1"/>
      </w:pPr>
      <w:r>
        <w:t>13 Engineering Decisions</w:t>
      </w:r>
    </w:p>
    <w:tbl>
      <w:tblPr>
        <w:tblW w:type="auto" w:w="0"/>
        <w:tblLayout w:type="fixed"/>
        <w:tblLook w:firstColumn="1" w:firstRow="1" w:lastColumn="0" w:lastRow="0" w:noHBand="0" w:noVBand="1" w:val="04A0"/>
      </w:tblPr>
      <w:tblGrid>
        <w:gridCol w:w="3312"/>
        <w:gridCol w:w="3312"/>
        <w:gridCol w:w="3312"/>
      </w:tblGrid>
      <w:tr>
        <w:trPr>
          <w:tblHeader/>
        </w:trPr>
        <w:tc>
          <w:tcPr>
            <w:tcW w:type="dxa" w:w="23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Decision</w:t>
            </w:r>
          </w:p>
        </w:tc>
        <w:tc>
          <w:tcPr>
            <w:tcW w:type="dxa" w:w="39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Rationale</w:t>
            </w:r>
          </w:p>
        </w:tc>
        <w:tc>
          <w:tcPr>
            <w:tcW w:type="dxa" w:w="360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Consequence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catalog and runs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Reuse intent across vehicles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Runs bind snapshots later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Snapshot suite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reviewed composition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Definition edits require a new version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Forward-only status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Avoid accidental reuse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Archived content remains auditable</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Bound JSON and lists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Protect shared resources</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Large data belongs in artifacts</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Materialize cases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execution state queryable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Each run owns immutable case identity</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Aggregate in transaction</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progress consistent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Case and run update together</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Snapshot when scheduled</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Protect delayed execution intent</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Dispatch ignores later catalog drift</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Keep native mutation in domains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Preserve simulator ownership</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Automatic adapters remain VIII-7</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Require recovery intent</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safe restoration testable</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Every step has a bounded recovery plan</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Allowlist mutation operators</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Exclude arbitrary execution</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Native adapters remain isolated in VIII-7</w:t>
            </w:r>
          </w:p>
        </w:tc>
      </w:tr>
      <w:tr>
        <w:tc>
          <w:tcPr>
            <w:tcW w:type="dxa" w:w="2376"/>
            <w:tcBorders>
              <w:top w:val="single" w:sz="4" w:color="D9D9D9"/>
              <w:left w:val="single" w:sz="4" w:color="D9D9D9"/>
              <w:bottom w:val="single" w:sz="4" w:color="D9D9D9"/>
              <w:right w:val="single" w:sz="4" w:color="D9D9D9"/>
              <w:insideH w:val="single" w:sz="4" w:color="D9D9D9"/>
              <w:insideV w:val="single" w:sz="4" w:color="D9D9D9"/>
            </w:tcBorders>
            <w:vAlign w:val="center"/>
          </w:tcPr>
          <w:p>
            <w:r>
              <w:t>Derive coverage state</w:t>
            </w:r>
          </w:p>
        </w:tc>
        <w:tc>
          <w:tcPr>
            <w:tcW w:type="dxa" w:w="3960"/>
            <w:tcBorders>
              <w:top w:val="single" w:sz="4" w:color="D9D9D9"/>
              <w:left w:val="single" w:sz="4" w:color="D9D9D9"/>
              <w:bottom w:val="single" w:sz="4" w:color="D9D9D9"/>
              <w:right w:val="single" w:sz="4" w:color="D9D9D9"/>
              <w:insideH w:val="single" w:sz="4" w:color="D9D9D9"/>
              <w:insideV w:val="single" w:sz="4" w:color="D9D9D9"/>
            </w:tcBorders>
            <w:vAlign w:val="center"/>
          </w:tcPr>
          <w:p>
            <w:r>
              <w:t>Make gaps deterministic</w:t>
            </w:r>
          </w:p>
        </w:tc>
        <w:tc>
          <w:tcPr>
            <w:tcW w:type="dxa" w:w="3600"/>
            <w:tcBorders>
              <w:top w:val="single" w:sz="4" w:color="D9D9D9"/>
              <w:left w:val="single" w:sz="4" w:color="D9D9D9"/>
              <w:bottom w:val="single" w:sz="4" w:color="D9D9D9"/>
              <w:right w:val="single" w:sz="4" w:color="D9D9D9"/>
              <w:insideH w:val="single" w:sz="4" w:color="D9D9D9"/>
              <w:insideV w:val="single" w:sz="4" w:color="D9D9D9"/>
            </w:tcBorders>
            <w:vAlign w:val="center"/>
          </w:tcPr>
          <w:p>
            <w:r>
              <w:t>Dashboard consumers use stable totals</w:t>
            </w:r>
          </w:p>
        </w:tc>
      </w:tr>
    </w:tbl>
    <w:p/>
    <w:p>
      <w:r>
        <w:br w:type="page"/>
      </w:r>
    </w:p>
    <w:p>
      <w:pPr>
        <w:pStyle w:val="Heading1"/>
      </w:pPr>
      <w:r>
        <w:t>14 Verification Catalogue</w:t>
      </w:r>
    </w:p>
    <w:tbl>
      <w:tblPr>
        <w:tblW w:type="auto" w:w="0"/>
        <w:tblLayout w:type="fixed"/>
        <w:tblLook w:firstColumn="1" w:firstRow="1" w:lastColumn="0" w:lastRow="0" w:noHBand="0" w:noVBand="1" w:val="04A0"/>
      </w:tblPr>
      <w:tblGrid>
        <w:gridCol w:w="3312"/>
        <w:gridCol w:w="3312"/>
        <w:gridCol w:w="3312"/>
      </w:tblGrid>
      <w:tr>
        <w:trPr>
          <w:tblHeader/>
        </w:trPr>
        <w:tc>
          <w:tcPr>
            <w:tcW w:type="dxa" w:w="223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ID range</w:t>
            </w:r>
          </w:p>
        </w:tc>
        <w:tc>
          <w:tcPr>
            <w:tcW w:type="dxa" w:w="3528"/>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Coverage</w:t>
            </w:r>
          </w:p>
        </w:tc>
        <w:tc>
          <w:tcPr>
            <w:tcW w:type="dxa" w:w="4176"/>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Objective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TF-T-001 to 004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Definition contracts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evidence,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TF-T-005 to 008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composition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references, snapshots, and evidence</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TF-T-009 to 010</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Lifecycle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state and optimistic concurrency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TF-T-011 to 012</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RBAC and API</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permissions and safe pagination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TF-T-013 to 015</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Persistence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migration, uniqueness, and atomicity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TF-T-016 to 019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Execution binding</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snapshots, cases, and replay</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TF-T-020 to 026</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Case results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bounds, aggregation, APIs,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TF-T-027 to 034</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Scheduled selection</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policies, snapshots, dispatch,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vAlign w:val="center"/>
          </w:tcPr>
          <w:p>
            <w:r>
              <w:t>TF-T-035 to 048</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vAlign w:val="center"/>
          </w:tcPr>
          <w:p>
            <w:r>
              <w:t>Fault campaigns</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vAlign w:val="center"/>
          </w:tcPr>
          <w:p>
            <w:r>
              <w:t>Validate safety, lifecycle, aggregation, evidence, API, and migration</w:t>
            </w:r>
          </w:p>
        </w:tc>
      </w:tr>
      <w:tr>
        <w:tc>
          <w:tcPr>
            <w:tcW w:type="dxa" w:w="223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TF-T-049 to 059</w:t>
            </w:r>
          </w:p>
        </w:tc>
        <w:tc>
          <w:tcPr>
            <w:tcW w:type="dxa" w:w="3528"/>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Mutation and coverage</w:t>
            </w:r>
          </w:p>
        </w:tc>
        <w:tc>
          <w:tcPr>
            <w:tcW w:type="dxa" w:w="4176"/>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Validate scoring, traceability, safety, RBAC, integration, and migration</w:t>
            </w:r>
          </w:p>
        </w:tc>
      </w:tr>
    </w:tbl>
    <w:p/>
    <w:p>
      <w:r>
        <w:br w:type="page"/>
      </w:r>
    </w:p>
    <w:p>
      <w:pPr>
        <w:pStyle w:val="Heading1"/>
      </w:pPr>
      <w:r>
        <w:t>15 Risks and Controls</w:t>
      </w:r>
    </w:p>
    <w:tbl>
      <w:tblPr>
        <w:tblW w:type="auto" w:w="0"/>
        <w:tblLayout w:type="fixed"/>
        <w:tblLook w:firstColumn="1" w:firstRow="1" w:lastColumn="0" w:lastRow="0" w:noHBand="0" w:noVBand="1" w:val="04A0"/>
      </w:tblPr>
      <w:tblGrid>
        <w:gridCol w:w="3312"/>
        <w:gridCol w:w="3312"/>
        <w:gridCol w:w="3312"/>
      </w:tblGrid>
      <w:tr>
        <w:trPr>
          <w:tblHeader/>
        </w:trPr>
        <w:tc>
          <w:tcPr>
            <w:tcW w:type="dxa" w:w="2160"/>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Risk</w:t>
            </w:r>
          </w:p>
        </w:tc>
        <w:tc>
          <w:tcPr>
            <w:tcW w:type="dxa" w:w="3672"/>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Control</w:t>
            </w:r>
          </w:p>
        </w:tc>
        <w:tc>
          <w:tcPr>
            <w:tcW w:type="dxa" w:w="4104"/>
            <w:shd w:fill="17365D"/>
            <w:tcBorders>
              <w:top w:val="single" w:sz="4" w:color="D9D9D9"/>
              <w:left w:val="single" w:sz="4" w:color="D9D9D9"/>
              <w:bottom w:val="single" w:sz="4" w:color="D9D9D9"/>
              <w:right w:val="single" w:sz="4" w:color="D9D9D9"/>
              <w:insideH w:val="single" w:sz="4" w:color="D9D9D9"/>
              <w:insideV w:val="single" w:sz="4" w:color="D9D9D9"/>
            </w:tcBorders>
            <w:vAlign w:val="center"/>
          </w:tcPr>
          <w:p>
            <w:r>
              <w:rPr>
                <w:b/>
                <w:color w:val="FFFFFF"/>
              </w:rPr>
              <w:t>Next action</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Ambiguous sequence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Unique explicit case order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Executor follows snapshot order</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drift</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Suite and definition snapshots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Run remains reproducible</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Unbounded results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Duration and collection limits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 stays in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activation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Draft review lifecycle and RBAC</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Add approval policy if required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Large evidence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Metadata bounds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Store binary evidence as artifacts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Catalog changes while waiting</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Immutable job selection snapshot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Dispatch only persisted cases</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Unsafe injection scope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Allowlist, blast radius, and time budget</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Keep fleet scope excluded</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Vehicle state not restored</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Required recovery and verification</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Adapters report recovery evidence in VIII-7</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Resource-heavy early benchmarks</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Defer VIII-4 until stable baselines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Run bounded CPU-only functional tests now</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Unsafe mutation execution</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Structured allowlist and no generic runner</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shd w:fill="EAF0F7"/>
            <w:vAlign w:val="center"/>
          </w:tcPr>
          <w:p>
            <w:r>
              <w:t>Isolate native adapters in VIII-7</w:t>
            </w:r>
          </w:p>
        </w:tc>
      </w:tr>
      <w:tr>
        <w:tc>
          <w:tcPr>
            <w:tcW w:type="dxa" w:w="2160"/>
            <w:tcBorders>
              <w:top w:val="single" w:sz="4" w:color="D9D9D9"/>
              <w:left w:val="single" w:sz="4" w:color="D9D9D9"/>
              <w:bottom w:val="single" w:sz="4" w:color="D9D9D9"/>
              <w:right w:val="single" w:sz="4" w:color="D9D9D9"/>
              <w:insideH w:val="single" w:sz="4" w:color="D9D9D9"/>
              <w:insideV w:val="single" w:sz="4" w:color="D9D9D9"/>
            </w:tcBorders>
            <w:vAlign w:val="center"/>
          </w:tcPr>
          <w:p>
            <w:r>
              <w:t>False coverage confidence</w:t>
            </w:r>
          </w:p>
        </w:tc>
        <w:tc>
          <w:tcPr>
            <w:tcW w:type="dxa" w:w="3672"/>
            <w:tcBorders>
              <w:top w:val="single" w:sz="4" w:color="D9D9D9"/>
              <w:left w:val="single" w:sz="4" w:color="D9D9D9"/>
              <w:bottom w:val="single" w:sz="4" w:color="D9D9D9"/>
              <w:right w:val="single" w:sz="4" w:color="D9D9D9"/>
              <w:insideH w:val="single" w:sz="4" w:color="D9D9D9"/>
              <w:insideV w:val="single" w:sz="4" w:color="D9D9D9"/>
            </w:tcBorders>
            <w:vAlign w:val="center"/>
          </w:tcPr>
          <w:p>
            <w:r>
              <w:t>Separate test links from evidence links</w:t>
            </w:r>
          </w:p>
        </w:tc>
        <w:tc>
          <w:tcPr>
            <w:tcW w:type="dxa" w:w="4104"/>
            <w:tcBorders>
              <w:top w:val="single" w:sz="4" w:color="D9D9D9"/>
              <w:left w:val="single" w:sz="4" w:color="D9D9D9"/>
              <w:bottom w:val="single" w:sz="4" w:color="D9D9D9"/>
              <w:right w:val="single" w:sz="4" w:color="D9D9D9"/>
              <w:insideH w:val="single" w:sz="4" w:color="D9D9D9"/>
              <w:insideV w:val="single" w:sz="4" w:color="D9D9D9"/>
            </w:tcBorders>
            <w:vAlign w:val="center"/>
          </w:tcPr>
          <w:p>
            <w:r>
              <w:t>Track partial and gap totals</w:t>
            </w:r>
          </w:p>
        </w:tc>
      </w:tr>
    </w:tbl>
    <w:p/>
    <w:p>
      <w:pPr>
        <w:pStyle w:val="Heading1"/>
      </w:pPr>
      <w:r>
        <w:t>16 Study Exercises</w:t>
      </w:r>
    </w:p>
    <w:p>
      <w:r>
        <w:t>Create one ADAS definition and identify its invariants. Then run two required cases, explain the aggregate result, and compare an exact retry after suite archival with a new run request for the archived suite. Schedule the same suite, archive it, and explain why the stored job can still dispatch reproducibly. Finally, design one battery-temperature fault with recovery verification and explain why the campaign contract must not expose an arbitrary shell or adapter command. Create two mutants, calculate a fifty percent score, and explain why a requirement with a test but no evidence is only partially covered.</w:t>
      </w:r>
    </w:p>
    <w:p>
      <w:pPr>
        <w:pStyle w:val="Heading1"/>
      </w:pPr>
      <w:r>
        <w:t>17 Next Development</w:t>
      </w:r>
    </w:p>
    <w:p>
      <w:r>
        <w:t>VIII-7 will connect Gateway and CarSystemUI orchestration to the catalog, execution, fault, mutation, and evidence contracts. VIII-4 remains planned near project completion, when stable baselines make performance thresholds and comparable trends meaningful.</w:t>
      </w:r>
    </w:p>
    <w:sectPr w:rsidR="00FC693F" w:rsidRPr="0006063C" w:rsidSect="00034616">
      <w:pgSz w:w="12240" w:h="15840"/>
      <w:pgMar w:top="1037" w:right="1152" w:bottom="79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Display" w:hAnsi="Aptos Display"/>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ATEP Volume VIII Test Framework Engineering Workbook</dc:title>
  <dc:subject>Versioned catalog, execution binding, fault campaigns, mutation testing, and coverage</dc:subject>
  <dc:creator>ATEP Engineering</dc:creator>
  <cp:keywords/>
  <dc:description>generated by python-docx</dc:description>
  <cp:lastModifiedBy/>
  <cp:revision>1</cp:revision>
  <dcterms:created xsi:type="dcterms:W3CDTF">2013-12-23T23:15:00Z</dcterms:created>
  <dcterms:modified xsi:type="dcterms:W3CDTF">2013-12-23T23:15:00Z</dcterms:modified>
  <cp:category/>
</cp:coreProperties>
</file>