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0.16.0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live vehicle-command loop verified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60 fast tests plus one expanded disposable black-box integration scenario, 27 Android tests, Ruff, strict mypy, Android lint/build, and CI workflow</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OpenTelemetry traces and Prometheus metrics;</w:t>
      </w:r>
    </w:p>
    <w:p>
      <w:pPr>
        <w:pStyle w:val="ListBullet"/>
        <w:numPr>
          <w:ilvl w:val="0"/>
          <w:numId w:val="14"/>
        </w:numPr>
      </w:pPr>
      <w:r>
        <w:rPr>
          <w:rFonts w:ascii="Calibri" w:hAnsi="Calibri"/>
          <w:color w:val="111827"/>
          <w:sz w:val="22"/>
        </w:rPr>
        <w:t>Kubernetes deployment and workload identity;</w:t>
      </w:r>
    </w:p>
    <w:p>
      <w:pPr>
        <w:pStyle w:val="ListBullet"/>
        <w:numPr>
          <w:ilvl w:val="0"/>
          <w:numId w:val="14"/>
        </w:numPr>
      </w:pPr>
      <w:r>
        <w:rPr>
          <w:rFonts w:ascii="Calibri" w:hAnsi="Calibri"/>
          <w:color w:val="111827"/>
          <w:sz w:val="22"/>
        </w:rPr>
        <w:t>secret-manager integration and service-to-service mTLS;</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and correlation propagation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Production hardening should replace or reinforce the shared secret with mTLS or managed workload identity, add lease/reconciliation metrics, and define multi-replica scheduling ownership.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current shared module secret and injected development operator token must be protected on the Android side; managed OAuth2 workload tokens or mTLS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50 tests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bl>
    <w:p>
      <w:pPr>
        <w:spacing w:after="60"/>
      </w:pPr>
    </w:p>
    <w:p>
      <w:pPr>
        <w:pStyle w:val="Heading2"/>
        <w:keepNext/>
        <w:keepLines/>
      </w:pPr>
      <w:r>
        <w:t>9.3 Evidence Limitations</w:t>
      </w:r>
    </w:p>
    <w:p>
      <w:r>
        <w:rPr>
          <w:rFonts w:ascii="Calibri" w:hAnsi="Calibri"/>
          <w:color w:val="111827"/>
          <w:sz w:val="22"/>
        </w:rPr>
        <w:t>The automated local run proves clean-database repeatability and the happy-path interaction among PostgreSQL, Redis, RabbitMQ, migrations, API, and publisher worker on one developer workstation. The CI workflow is defined but has not yet produced remote execution evidence. Broker/database outage recovery, sustained retry behavior, multi-replica limiter concurrency, production availability, latency objectives,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logged with safe context and correlation ID,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the repository for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Python dependencies for known vulnerabilities.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unaccepted critical/high vulnerability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static application security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the container image and generate an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findings fail release; SBOM is retained with the artifact.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w:t>
      </w:r>
      <w:r>
        <w:rPr>
          <w:rFonts w:ascii="Calibri" w:hAnsi="Calibri"/>
          <w:color w:val="111827"/>
          <w:sz w:val="22"/>
        </w:rPr>
        <w:t xml:space="preserve"> immutable image, labels, SBOM, vulnerability scan, signature.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Promotion:</w:t>
      </w:r>
      <w:r>
        <w:rPr>
          <w:rFonts w:ascii="Calibri" w:hAnsi="Calibri"/>
          <w:color w:val="111827"/>
          <w:sz w:val="22"/>
        </w:rPr>
        <w:t xml:space="preserve"> manual or policy gate using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and ignored </w:t>
            </w:r>
            <w:r>
              <w:rPr>
                <w:rFonts w:ascii="Calibri" w:hAnsi="Calibri"/>
                <w:b w:val="0"/>
                <w:color w:val="111827"/>
                <w:sz w:val="17"/>
              </w:rPr>
              <w:t>.env</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scanning, rotation runbooks, and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and parameterization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SAST;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 ranges and isolated image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lock file, SBOM, signature verification, and automated advisory scanning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versions use ranges without a committed lock file.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Builds may change over 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Adopt deterministic dependency locking and update automation.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telemetry metrics or distributed traces.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Performance and failure investigation remain log-centric.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OpenTelemetry and Prometheus instrumentation.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formal backup/restore evidence.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recovery capability is unknown.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RPO/RTO, automated backups, restore drills, and evidence retention.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and application-process reconciliation are implemented, but mTLS,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theft could permit module impersonation, and operational behavior under multiple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secret-manager delivery, mTLS or managed workload identity, instance leases, reconciliation metrics, and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scheduler boundary and job lifecycle;</w:t>
      </w:r>
    </w:p>
    <w:p>
      <w:pPr>
        <w:pStyle w:val="ListBullet"/>
        <w:numPr>
          <w:ilvl w:val="0"/>
          <w:numId w:val="30"/>
        </w:numPr>
      </w:pPr>
      <w:r>
        <w:rPr>
          <w:rFonts w:ascii="Calibri" w:hAnsi="Calibri"/>
          <w:color w:val="111827"/>
          <w:sz w:val="22"/>
        </w:rPr>
        <w:t>object-storage abstraction for test artifacts;</w:t>
      </w:r>
    </w:p>
    <w:p>
      <w:pPr>
        <w:pStyle w:val="ListBullet"/>
        <w:numPr>
          <w:ilvl w:val="0"/>
          <w:numId w:val="30"/>
        </w:numPr>
      </w:pPr>
      <w:r>
        <w:rPr>
          <w:rFonts w:ascii="Calibri" w:hAnsi="Calibri"/>
          <w:color w:val="111827"/>
          <w:sz w:val="22"/>
        </w:rPr>
        <w:t>OpenTelemetry traces, Prometheus metrics, alerts, and dashboards.</w:t>
      </w:r>
    </w:p>
    <w:p>
      <w:pPr>
        <w:pStyle w:val="Heading2"/>
        <w:keepNext/>
        <w:keepLines/>
      </w:pPr>
      <w:r>
        <w:t>Increment 4 — Production Hardening</w:t>
      </w:r>
    </w:p>
    <w:p>
      <w:pPr>
        <w:pStyle w:val="ListBullet"/>
        <w:numPr>
          <w:ilvl w:val="0"/>
          <w:numId w:val="31"/>
        </w:numPr>
      </w:pPr>
      <w:r>
        <w:rPr>
          <w:rFonts w:ascii="Calibri" w:hAnsi="Calibri"/>
          <w:color w:val="111827"/>
          <w:sz w:val="22"/>
        </w:rPr>
        <w:t>Kubernetes deployment and workload identity;</w:t>
      </w:r>
    </w:p>
    <w:p>
      <w:pPr>
        <w:pStyle w:val="ListBullet"/>
        <w:numPr>
          <w:ilvl w:val="0"/>
          <w:numId w:val="31"/>
        </w:numPr>
      </w:pPr>
      <w:r>
        <w:rPr>
          <w:rFonts w:ascii="Calibri" w:hAnsi="Calibri"/>
          <w:color w:val="111827"/>
          <w:sz w:val="22"/>
        </w:rPr>
        <w:t>mTLS and secret-manager integration;</w:t>
      </w:r>
    </w:p>
    <w:p>
      <w:pPr>
        <w:pStyle w:val="ListBullet"/>
        <w:numPr>
          <w:ilvl w:val="0"/>
          <w:numId w:val="31"/>
        </w:numPr>
      </w:pPr>
      <w:r>
        <w:rPr>
          <w:rFonts w:ascii="Calibri" w:hAnsi="Calibri"/>
          <w:color w:val="111827"/>
          <w:sz w:val="22"/>
        </w:rPr>
        <w:t>backup, restore, retention, and disaster-recovery exercises;</w:t>
      </w:r>
    </w:p>
    <w:p>
      <w:pPr>
        <w:pStyle w:val="ListBullet"/>
        <w:numPr>
          <w:ilvl w:val="0"/>
          <w:numId w:val="31"/>
        </w:numPr>
      </w:pPr>
      <w:r>
        <w:rPr>
          <w:rFonts w:ascii="Calibri" w:hAnsi="Calibri"/>
          <w:color w:val="111827"/>
          <w:sz w:val="22"/>
        </w:rPr>
        <w:t>performance, resilience, and security baselines;</w:t>
      </w:r>
    </w:p>
    <w:p>
      <w:pPr>
        <w:pStyle w:val="ListBullet"/>
        <w:numPr>
          <w:ilvl w:val="0"/>
          <w:numId w:val="31"/>
        </w:numPr>
      </w:pPr>
      <w:r>
        <w:rPr>
          <w:rFonts w:ascii="Calibri" w:hAnsi="Calibri"/>
          <w:color w:val="111827"/>
          <w:sz w:val="22"/>
        </w:rPr>
        <w:t>signed artifacts and controlled promotion across environments.</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2"/>
        </w:numPr>
      </w:pPr>
      <w:r>
        <w:rPr>
          <w:rFonts w:ascii="Calibri" w:hAnsi="Calibri"/>
          <w:color w:val="111827"/>
          <w:sz w:val="22"/>
        </w:rPr>
        <w:t>Provide environment-specific URLs and secrets.</w:t>
      </w:r>
    </w:p>
    <w:p>
      <w:pPr>
        <w:pStyle w:val="ListNumber"/>
        <w:numPr>
          <w:ilvl w:val="0"/>
          <w:numId w:val="32"/>
        </w:numPr>
      </w:pPr>
      <w:r>
        <w:rPr>
          <w:rFonts w:ascii="Calibri" w:hAnsi="Calibri"/>
          <w:color w:val="111827"/>
          <w:sz w:val="22"/>
        </w:rPr>
        <w:t>Start PostgreSQL, Redis, and RabbitMQ and wait for health.</w:t>
      </w:r>
    </w:p>
    <w:p>
      <w:pPr>
        <w:pStyle w:val="ListNumber"/>
        <w:numPr>
          <w:ilvl w:val="0"/>
          <w:numId w:val="32"/>
        </w:numPr>
      </w:pPr>
      <w:r>
        <w:rPr>
          <w:rFonts w:ascii="Calibri" w:hAnsi="Calibri"/>
          <w:color w:val="111827"/>
          <w:sz w:val="22"/>
        </w:rPr>
        <w:t>Apply Alembic migrations exactly once per release.</w:t>
      </w:r>
    </w:p>
    <w:p>
      <w:pPr>
        <w:pStyle w:val="ListNumber"/>
        <w:numPr>
          <w:ilvl w:val="0"/>
          <w:numId w:val="32"/>
        </w:numPr>
      </w:pPr>
      <w:r>
        <w:rPr>
          <w:rFonts w:ascii="Calibri" w:hAnsi="Calibri"/>
          <w:color w:val="111827"/>
          <w:sz w:val="22"/>
        </w:rPr>
        <w:t>Start the API and outbox worker from the same immutable image.</w:t>
      </w:r>
    </w:p>
    <w:p>
      <w:pPr>
        <w:pStyle w:val="ListNumber"/>
        <w:numPr>
          <w:ilvl w:val="0"/>
          <w:numId w:val="32"/>
        </w:numPr>
      </w:pPr>
      <w:r>
        <w:rPr>
          <w:rFonts w:ascii="Calibri" w:hAnsi="Calibri"/>
          <w:color w:val="111827"/>
          <w:sz w:val="22"/>
        </w:rPr>
        <w:t>Verify liveness and readiness.</w:t>
      </w:r>
    </w:p>
    <w:p>
      <w:pPr>
        <w:pStyle w:val="ListNumber"/>
        <w:numPr>
          <w:ilvl w:val="0"/>
          <w:numId w:val="32"/>
        </w:numPr>
      </w:pPr>
      <w:r>
        <w:rPr>
          <w:rFonts w:ascii="Calibri" w:hAnsi="Calibri"/>
          <w:color w:val="111827"/>
          <w:sz w:val="22"/>
        </w:rPr>
        <w:t>Authenticate a controlled test account and publish one smoke-test event.</w:t>
      </w:r>
    </w:p>
    <w:p>
      <w:pPr>
        <w:pStyle w:val="ListNumber"/>
        <w:numPr>
          <w:ilvl w:val="0"/>
          <w:numId w:val="32"/>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3"/>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3"/>
        </w:numPr>
      </w:pPr>
      <w:r>
        <w:rPr>
          <w:rFonts w:ascii="Calibri" w:hAnsi="Calibri"/>
          <w:color w:val="111827"/>
          <w:sz w:val="22"/>
        </w:rPr>
        <w:t>search structured logs by correlation ID and timestamp;</w:t>
      </w:r>
    </w:p>
    <w:p>
      <w:pPr>
        <w:pStyle w:val="ListBullet"/>
        <w:numPr>
          <w:ilvl w:val="0"/>
          <w:numId w:val="33"/>
        </w:numPr>
      </w:pPr>
      <w:r>
        <w:rPr>
          <w:rFonts w:ascii="Calibri" w:hAnsi="Calibri"/>
          <w:color w:val="111827"/>
          <w:sz w:val="22"/>
        </w:rPr>
        <w:t>inspect database pool, Redis availability, or RabbitMQ connection/channel state;</w:t>
      </w:r>
    </w:p>
    <w:p>
      <w:pPr>
        <w:pStyle w:val="ListBullet"/>
        <w:numPr>
          <w:ilvl w:val="0"/>
          <w:numId w:val="33"/>
        </w:numPr>
      </w:pPr>
      <w:r>
        <w:rPr>
          <w:rFonts w:ascii="Calibri" w:hAnsi="Calibri"/>
          <w:color w:val="111827"/>
          <w:sz w:val="22"/>
        </w:rPr>
        <w:t>avoid deleting outbox rows to resolve a broker outage;</w:t>
      </w:r>
    </w:p>
    <w:p>
      <w:pPr>
        <w:pStyle w:val="ListBullet"/>
        <w:numPr>
          <w:ilvl w:val="0"/>
          <w:numId w:val="33"/>
        </w:numPr>
      </w:pPr>
      <w:r>
        <w:rPr>
          <w:rFonts w:ascii="Calibri" w:hAnsi="Calibri"/>
          <w:color w:val="111827"/>
          <w:sz w:val="22"/>
        </w:rPr>
        <w:t>restore the dependency, verify automatic recovery, and review backlog age;</w:t>
      </w:r>
    </w:p>
    <w:p>
      <w:pPr>
        <w:pStyle w:val="ListBullet"/>
        <w:numPr>
          <w:ilvl w:val="0"/>
          <w:numId w:val="33"/>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0009_test_runs.py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4"/>
        </w:numPr>
      </w:pPr>
      <w:r>
        <w:rPr>
          <w:rFonts w:ascii="Calibri" w:hAnsi="Calibri"/>
          <w:color w:val="111827"/>
          <w:sz w:val="22"/>
        </w:rPr>
        <w:t>update the document version and revision history;</w:t>
      </w:r>
    </w:p>
    <w:p>
      <w:pPr>
        <w:pStyle w:val="ListBullet"/>
        <w:numPr>
          <w:ilvl w:val="0"/>
          <w:numId w:val="34"/>
        </w:numPr>
      </w:pPr>
      <w:r>
        <w:rPr>
          <w:rFonts w:ascii="Calibri" w:hAnsi="Calibri"/>
          <w:color w:val="111827"/>
          <w:sz w:val="22"/>
        </w:rPr>
        <w:t>reconcile capability status against the repository;</w:t>
      </w:r>
    </w:p>
    <w:p>
      <w:pPr>
        <w:pStyle w:val="ListBullet"/>
        <w:numPr>
          <w:ilvl w:val="0"/>
          <w:numId w:val="34"/>
        </w:numPr>
      </w:pPr>
      <w:r>
        <w:rPr>
          <w:rFonts w:ascii="Calibri" w:hAnsi="Calibri"/>
          <w:color w:val="111827"/>
          <w:sz w:val="22"/>
        </w:rPr>
        <w:t>add or revise requirements and acceptance criteria;</w:t>
      </w:r>
    </w:p>
    <w:p>
      <w:pPr>
        <w:pStyle w:val="ListBullet"/>
        <w:numPr>
          <w:ilvl w:val="0"/>
          <w:numId w:val="34"/>
        </w:numPr>
      </w:pPr>
      <w:r>
        <w:rPr>
          <w:rFonts w:ascii="Calibri" w:hAnsi="Calibri"/>
          <w:color w:val="111827"/>
          <w:sz w:val="22"/>
        </w:rPr>
        <w:t>record architecture decisions and superseded decisions;</w:t>
      </w:r>
    </w:p>
    <w:p>
      <w:pPr>
        <w:pStyle w:val="ListBullet"/>
        <w:numPr>
          <w:ilvl w:val="0"/>
          <w:numId w:val="34"/>
        </w:numPr>
      </w:pPr>
      <w:r>
        <w:rPr>
          <w:rFonts w:ascii="Calibri" w:hAnsi="Calibri"/>
          <w:color w:val="111827"/>
          <w:sz w:val="22"/>
        </w:rPr>
        <w:t>update the test catalogue and executed evidence;</w:t>
      </w:r>
    </w:p>
    <w:p>
      <w:pPr>
        <w:pStyle w:val="ListBullet"/>
        <w:numPr>
          <w:ilvl w:val="0"/>
          <w:numId w:val="34"/>
        </w:numPr>
      </w:pPr>
      <w:r>
        <w:rPr>
          <w:rFonts w:ascii="Calibri" w:hAnsi="Calibri"/>
          <w:color w:val="111827"/>
          <w:sz w:val="22"/>
        </w:rPr>
        <w:t>review threat model, risk register, and technical debt;</w:t>
      </w:r>
    </w:p>
    <w:p>
      <w:pPr>
        <w:pStyle w:val="ListBullet"/>
        <w:numPr>
          <w:ilvl w:val="0"/>
          <w:numId w:val="34"/>
        </w:numPr>
      </w:pPr>
      <w:r>
        <w:rPr>
          <w:rFonts w:ascii="Calibri" w:hAnsi="Calibri"/>
          <w:color w:val="111827"/>
          <w:sz w:val="22"/>
        </w:rPr>
        <w:t>confirm roadmap priorities and Volume I exit criteria;</w:t>
      </w:r>
    </w:p>
    <w:p>
      <w:pPr>
        <w:pStyle w:val="ListBullet"/>
        <w:numPr>
          <w:ilvl w:val="0"/>
          <w:numId w:val="34"/>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0.16.0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9"/>
    <w:lvlOverride w:ilvl="0">
      <w:startOverride w:val="1"/>
    </w:lvlOverride>
  </w:num>
  <w:num w:numId="33">
    <w:abstractNumId w:val="10"/>
    <w:lvlOverride w:ilvl="0">
      <w:startOverride w:val="1"/>
    </w:lvlOverride>
  </w:num>
  <w:num w:numId="3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