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0.32.0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signed image provenance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Split protected release approval from an input-free reusable builder, bound the builder to its exact main-branch workflow identity, and updated promotion plus Kubernetes admission to trust that signer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135 fast Python tests, Ruff, strict mypy, workflow YAML parsing, cross-policy signer tests, structural/a11y workbook checks, and resource monitoring; hosted CI and first live release remain the completion gates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portable offline release archive with downloaded attestations, current trusted roots, exact-policy re-verification, SHA-256/size manifest, and a fail-closed evidence-preserving revocation runbook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140 fast Python tests, Ruff, strict mypy, workflow-policy tests, structural/a11y workbook checks, and resource monitoring; live archive export, restore, and revocation exercises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deterministic sealing, a content-addressed archive receipt, bounded traversal-safe restore, a fresh-job download/restore gate, and a vendor-neutral WORM provider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144 fast Python tests, Ruff, strict mypy, workflow-policy tests, structural/a11y workbook checks, and resource monitoring; provider selection, immutable upload, and live scheduled restore remain pending</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reusable-builder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approval, input-free exact-identity builder, immutable commit tag, signed SLSA and CycloneDX attestations, release report, and exact pre-promotion/admission verification; independently governed builder and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evidence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portable archive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Exact-digest attestation bundle, current roots, offline verification, manifest-bound report/SBOM/bundle/root, and evidence-first revocation procedure; immutable provider export and live revocation exercise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Sealed evidence restore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transfer/restore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non-replacing ZIP, content-addressed receipt, bounded safe extraction, fresh-job artifact download, restore verification, and WORM provider contract; real provider upload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144 fast tests plus expanded disposable black-box, alert-delivery, restore-drill, sealed release-archive, and workflow-policy scenarios,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path.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.github/workflows/reusable-release-builder.yml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.github/workflows/reusable-release-builder.yml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2"/>
        <w:keepNext/>
        <w:keepLines/>
      </w:pPr>
      <w:r>
        <w:t>ADR-029 — Isolate Release Construction and Signing behind a Reusable Workflow</w:t>
      </w:r>
    </w:p>
    <w:p>
      <w:r>
        <w:rPr>
          <w:rFonts w:ascii="Calibri" w:hAnsi="Calibri"/>
          <w:b/>
          <w:color w:val="111827"/>
          <w:sz w:val="22"/>
        </w:rPr>
        <w:t>Decision.</w:t>
      </w:r>
      <w:r>
        <w:rPr>
          <w:rFonts w:ascii="Calibri" w:hAnsi="Calibri"/>
          <w:color w:val="111827"/>
          <w:sz w:val="22"/>
        </w:rPr>
        <w:t xml:space="preserve"> Keep environment approval and fail-closed enablement in the manual </w:t>
      </w:r>
      <w:r>
        <w:rPr>
          <w:rFonts w:ascii="Consolas" w:hAnsi="Consolas"/>
          <w:color w:val="1F4D78"/>
          <w:sz w:val="19"/>
        </w:rPr>
        <w:t>release.yml</w:t>
      </w:r>
      <w:r>
        <w:rPr>
          <w:rFonts w:ascii="Calibri" w:hAnsi="Calibri"/>
          <w:color w:val="111827"/>
          <w:sz w:val="22"/>
        </w:rPr>
        <w:t xml:space="preserve"> caller, then delegate construction, publication, SBOM generation, and both attestations to </w:t>
      </w:r>
      <w:r>
        <w:rPr>
          <w:rFonts w:ascii="Consolas" w:hAnsi="Consolas"/>
          <w:color w:val="1F4D78"/>
          <w:sz w:val="19"/>
        </w:rPr>
        <w:t>reusable-release-builder.yml</w:t>
      </w:r>
      <w:r>
        <w:rPr>
          <w:rFonts w:ascii="Calibri" w:hAnsi="Calibri"/>
          <w:color w:val="111827"/>
          <w:sz w:val="22"/>
        </w:rPr>
        <w:t xml:space="preserve">. Expose no workflow inputs or caller secrets. Grant write permissions only on the dependent call and require the called job's exact </w:t>
      </w:r>
      <w:r>
        <w:rPr>
          <w:rFonts w:ascii="Consolas" w:hAnsi="Consolas"/>
          <w:color w:val="1F4D78"/>
          <w:sz w:val="19"/>
        </w:rPr>
        <w:t>job.workflow_ref</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xml:space="preserve"> before registry authentication.</w:t>
      </w:r>
    </w:p>
    <w:p>
      <w:r>
        <w:rPr>
          <w:rFonts w:ascii="Calibri" w:hAnsi="Calibri"/>
          <w:b/>
          <w:color w:val="111827"/>
          <w:sz w:val="22"/>
        </w:rPr>
        <w:t>Rationale.</w:t>
      </w:r>
      <w:r>
        <w:rPr>
          <w:rFonts w:ascii="Calibri" w:hAnsi="Calibri"/>
          <w:color w:val="111827"/>
          <w:sz w:val="22"/>
        </w:rPr>
        <w:t xml:space="preserve"> GitHub identifies the workflow containing </w:t>
      </w:r>
      <w:r>
        <w:rPr>
          <w:rFonts w:ascii="Consolas" w:hAnsi="Consolas"/>
          <w:color w:val="1F4D78"/>
          <w:sz w:val="19"/>
        </w:rPr>
        <w:t>actions/attest</w:t>
      </w:r>
      <w:r>
        <w:rPr>
          <w:rFonts w:ascii="Calibri" w:hAnsi="Calibri"/>
          <w:color w:val="111827"/>
          <w:sz w:val="22"/>
        </w:rPr>
        <w:t xml:space="preserve"> as the signer. Moving build and signing together behind a narrow reusable boundary therefore gives promotion and cluster admission one explicit builder identity while eliminating arbitrary caller-controlled image, ref, registry, command, and credential inputs. The approval job cannot publish and the builder cannot elevate the caller's token permissions.</w:t>
      </w:r>
    </w:p>
    <w:p>
      <w:r>
        <w:rPr>
          <w:rFonts w:ascii="Calibri" w:hAnsi="Calibri"/>
          <w:b/>
          <w:color w:val="111827"/>
          <w:sz w:val="22"/>
        </w:rPr>
        <w:t>Consequences.</w:t>
      </w:r>
      <w:r>
        <w:rPr>
          <w:rFonts w:ascii="Calibri" w:hAnsi="Calibri"/>
          <w:color w:val="111827"/>
          <w:sz w:val="22"/>
        </w:rPr>
        <w:t xml:space="preserve"> Promotion and Sigstore admission must trust the reusable workflow rather than its caller, and signer changes must update both gates atomically. Because caller and builder remain in the same repository and commit, this is not yet independently governed SLSA Build Level 3 isolation. A future builder repository must be protected separately and referenced by reviewed immutable SHA.</w:t>
      </w:r>
    </w:p>
    <w:p>
      <w:pPr>
        <w:pStyle w:val="Heading2"/>
        <w:keepNext/>
        <w:keepLines/>
      </w:pPr>
      <w:r>
        <w:t>ADR-030 — Preserve Portable Evidence before Exact-Digest Revocation</w:t>
      </w:r>
    </w:p>
    <w:p>
      <w:r>
        <w:rPr>
          <w:rFonts w:ascii="Calibri" w:hAnsi="Calibri"/>
          <w:b/>
          <w:color w:val="111827"/>
          <w:sz w:val="22"/>
        </w:rPr>
        <w:t>Decision.</w:t>
      </w:r>
      <w:r>
        <w:rPr>
          <w:rFonts w:ascii="Calibri" w:hAnsi="Calibri"/>
          <w:color w:val="111827"/>
          <w:sz w:val="22"/>
        </w:rPr>
        <w:t xml:space="preserve"> After online attestation creation, download the exact image digest's GitHub bundle and current trusted roots, verify the archived SLSA provenance against the same repository/signer/source/runner policy, and emit a schema </w:t>
      </w:r>
      <w:r>
        <w:rPr>
          <w:rFonts w:ascii="Consolas" w:hAnsi="Consolas"/>
          <w:color w:val="1F4D78"/>
          <w:sz w:val="19"/>
        </w:rPr>
        <w:t>1.0.0</w:t>
      </w:r>
      <w:r>
        <w:rPr>
          <w:rFonts w:ascii="Calibri" w:hAnsi="Calibri"/>
          <w:color w:val="111827"/>
          <w:sz w:val="22"/>
        </w:rPr>
        <w:t xml:space="preserve"> manifest that hashes and sizes the release report, CycloneDX SBOM, bundle, and roots. Treat the 90-day Actions artifact as a transfer package. Require a separate, dual-reviewed runbook to preserve evidence before deleting exact-digest attestations, package versions, or OCI referrers.</w:t>
      </w:r>
    </w:p>
    <w:p>
      <w:r>
        <w:rPr>
          <w:rFonts w:ascii="Calibri" w:hAnsi="Calibri"/>
          <w:b/>
          <w:color w:val="111827"/>
          <w:sz w:val="22"/>
        </w:rPr>
        <w:t>Rationale.</w:t>
      </w:r>
      <w:r>
        <w:rPr>
          <w:rFonts w:ascii="Calibri" w:hAnsi="Calibri"/>
          <w:color w:val="111827"/>
          <w:sz w:val="22"/>
        </w:rPr>
        <w:t xml:space="preserve"> GitHub lifecycle guidance recommends downloading attestations before deletion, and offline verification requires both the bundle and trusted roots. Binding all evidence files detects accidental substitution or truncation and enables later verification without relying on the Actions artifact. Separating archival from revocation prevents a destructive convenience workflow from erasing evidence or withdrawing the wrong digest.</w:t>
      </w:r>
    </w:p>
    <w:p>
      <w:r>
        <w:rPr>
          <w:rFonts w:ascii="Calibri" w:hAnsi="Calibri"/>
          <w:b/>
          <w:color w:val="111827"/>
          <w:sz w:val="22"/>
        </w:rPr>
        <w:t>Consequences.</w:t>
      </w:r>
      <w:r>
        <w:rPr>
          <w:rFonts w:ascii="Calibri" w:hAnsi="Calibri"/>
          <w:color w:val="111827"/>
          <w:sz w:val="22"/>
        </w:rPr>
        <w:t xml:space="preserve"> An archived signature remains historical cryptographic evidence and is not a current authorization decision; offline verifiers must consult current revocation state. GitHub's 90-day retention is not product-lifetime storage. Production still needs immutable provider retention, encryption and ownership controls, restore exercises, an external revocation catalogue, consumer notification, and live negative verification/admission evidence.</w:t>
      </w:r>
    </w:p>
    <w:p>
      <w:pPr>
        <w:pStyle w:val="Heading2"/>
        <w:keepNext/>
        <w:keepLines/>
      </w:pPr>
      <w:r>
        <w:t>ADR-031 — Seal One Deterministic Object and Prove Restore across a Fresh Job</w:t>
      </w:r>
    </w:p>
    <w:p>
      <w:r>
        <w:rPr>
          <w:rFonts w:ascii="Calibri" w:hAnsi="Calibri"/>
          <w:b/>
          <w:color w:val="111827"/>
          <w:sz w:val="22"/>
        </w:rPr>
        <w:t>Decision.</w:t>
      </w:r>
      <w:r>
        <w:rPr>
          <w:rFonts w:ascii="Calibri" w:hAnsi="Calibri"/>
          <w:color w:val="111827"/>
          <w:sz w:val="22"/>
        </w:rPr>
        <w:t xml:space="preserve"> Seal the manifest and its four evidence files into one deterministic, uncompressed ZIP with fixed entry order, timestamp, permissions, names, and bounded sizes. Emit a separate schema </w:t>
      </w:r>
      <w:r>
        <w:rPr>
          <w:rFonts w:ascii="Consolas" w:hAnsi="Consolas"/>
          <w:color w:val="1F4D78"/>
          <w:sz w:val="19"/>
        </w:rPr>
        <w:t>1.0.0</w:t>
      </w:r>
      <w:r>
        <w:rPr>
          <w:rFonts w:ascii="Calibri" w:hAnsi="Calibri"/>
          <w:color w:val="111827"/>
          <w:sz w:val="22"/>
        </w:rPr>
        <w:t xml:space="preserve"> receipt that binds source SHA, image digest, manifest SHA-256, archive SHA-256/size/count, creation time, and deterministic provider object key. Refuse replacement. After upload to the workflow artifact service, require a fresh read-only job to download, validate, and restore into an empty workspace. Define a vendor-neutral WORM provider contract without embedding cloud credentials or selecting a provider prematurely.</w:t>
      </w:r>
    </w:p>
    <w:p>
      <w:r>
        <w:rPr>
          <w:rFonts w:ascii="Calibri" w:hAnsi="Calibri"/>
          <w:b/>
          <w:color w:val="111827"/>
          <w:sz w:val="22"/>
        </w:rPr>
        <w:t>Rationale.</w:t>
      </w:r>
      <w:r>
        <w:rPr>
          <w:rFonts w:ascii="Calibri" w:hAnsi="Calibri"/>
          <w:color w:val="111827"/>
          <w:sz w:val="22"/>
        </w:rPr>
        <w:t xml:space="preserve"> A single deterministic object is easier to content-address, transfer, retain, and restore than five loose files. The separate receipt avoids a circular self-hash and lets an exporter compare a provider read-back with the local seal. A fresh job tests the real workflow transport boundary, while safe-basename, exact-entry, ZIP_STORED, size, hash, and empty-destination checks reduce traversal, zip-bomb, substitution, and partial-restore risks.</w:t>
      </w:r>
    </w:p>
    <w:p>
      <w:r>
        <w:rPr>
          <w:rFonts w:ascii="Calibri" w:hAnsi="Calibri"/>
          <w:b/>
          <w:color w:val="111827"/>
          <w:sz w:val="22"/>
        </w:rPr>
        <w:t>Consequences.</w:t>
      </w:r>
      <w:r>
        <w:rPr>
          <w:rFonts w:ascii="Calibri" w:hAnsi="Calibri"/>
          <w:color w:val="111827"/>
          <w:sz w:val="22"/>
        </w:rPr>
        <w:t xml:space="preserve"> GitHub artifact restoration proves packaging and transport only, not product-lifetime immutability. Production must select and configure locked WORM retention, object version identity, legal/event holds, independent keys/audit, non-deleting short-lived writer identity, strong checksum read-back, provider receipt retention, and scheduled clean-host restore. The deterministic key must never be overwritten even if a provider retains older versions.</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reusable signer workflow,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approval shall delegate build, publication, SBOM, and signing to an input-free reusable workflow with exact identity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Caller/builder workflow boundary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successful release shall verify and manifest-bind its report, CycloneDX SBOM, attestation bundle, and current trusted roots for portable offline 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manifest and reusable builder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revocation shall preserve evidence first and prove withdrawal through online verification, promotion, and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Manifest-bound evidence shall be sealed deterministically with a separate content-addressed receipt and no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tool and receipt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fresh read-only job shall download and restore the sealed workflow artifact before release success.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 workflow restore job</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PROV-024</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Reusable-builder input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inputs or caller secrets; exact reusable workflow ref; reviewed main SHA; no permission elevation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Portable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distinct filenames, structured JSON/JSONL, source/image consistency, regular non-empty files, SHA-256, byte size, and no secrets/layers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digest, preserved evidence, incident authority, independent review, known-good replacement, and negative evidence before re-enablement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restoration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 destination, exact uncompressed entries, safe basenames, bounded sizes, receipt/manifest hashes, atomic output, and rejection of replacement/traversal/tampering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provider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WORM retention, version identity, strong checksum/read-back, deterministic non-replacing key, short-lived separated identities, independent keys/audit, and scheduled restore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PROV-025</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manual release caller and reusable workflow interface.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Approval uses the protected </w:t>
            </w:r>
            <w:r>
              <w:rPr>
                <w:rFonts w:ascii="Calibri" w:hAnsi="Calibri"/>
                <w:b w:val="0"/>
                <w:color w:val="111827"/>
                <w:sz w:val="16"/>
              </w:rPr>
              <w:t>release</w:t>
            </w:r>
            <w:r>
              <w:rPr>
                <w:rFonts w:ascii="Calibri" w:hAnsi="Calibri"/>
                <w:b w:val="0"/>
                <w:color w:val="111827"/>
                <w:sz w:val="16"/>
              </w:rPr>
              <w:t xml:space="preserve"> environment; the builder runs only after approval and declares no workflow inputs or caller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Invoke or alter the builder identity/ref away from the exact workflow on </w:t>
            </w:r>
            <w:r>
              <w:rPr>
                <w:rFonts w:ascii="Calibri" w:hAnsi="Calibri"/>
                <w:b w:val="0"/>
                <w:color w:val="111827"/>
                <w:sz w:val="16"/>
              </w:rPr>
              <w:t>refs/heads/main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builder fails before registry authentication, publication, or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contract; live negative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an image attested by the caller or another workflow while promotion and admission expect the reusable builder.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exact signer gates reject the mismatched provenance; the reusable signer is accepted only with the required source SHA/ref and hosted runner.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cross-policy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a release archive manifest from matching report, CycloneDX SBOM, attestation JSONL, and trusted-root JSONL.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binds source/ref, image digest/reference, signer, timestamp, fixed roles/names, byte sizes, and SHA-256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malformed JSON/JSONL, empty, symlinked, duplicate, renamed, or source/image-mismatched archive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generation fails closed without producing trusted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malformed, empty, mismatch, duplicate, and rename coverage; symlink check implemented with platform-specific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reusable builder's download and verification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bundle and current roots are non-empty; archived SLSA provenance passes exact signer/source/runner policy before upload.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test; live GitHub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Alter one byte in each archived file and restore the package on a clean verifier.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comparison detects every mutation; intact evidence verifies offline with the retained roots.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hashing implemented; live mutation/restore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Revoke a disposable exact digest after preserving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Attestation and package/referrers are withdrawn under dual review; online verification, promotion, and admission reject it while another digest remains 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 implemented; live destructive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the same manifest and evidence twice in clean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ZIP and receipt bytes are identical; fixed object key, entry count, source/image identity, manifest hash, archive hash, and size match.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valid sealed archive and receipt into an empty directory.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exact manifest entry is extracted, re-hashed, re-sized, and bound to the receipt without partial output.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round-trip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with the ZIP or receipt; add traversal, duplicate, extra, compressed, empty, or oversized entries; or target an existing output.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fails closed before trusted output replaces any existing path.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traversal/extra, and existing-output coverage implemented; remaining negative matrix structurally enforced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the seal and receipt, then download them in a fresh read-only job.</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separate job restores successfully before the reusable release workflow completes.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contract implemented; first hosted release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selected immutable provider with existing-key, retention, identity, integrity, read-back, audit, and clean-host restore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non-replacing, checksum-matching object under locked adequate retention is catalogued; negative permissions and policy tests fail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Provider-neutral contract implemented; provider selection/live evidence pending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input-free reusable release builder, signed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independently governed builder hosting,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an input-free exact-identity reusable builder are implemented, but caller and builder remain in the same repository and commit.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workflow code or its hosted execution context could still produce valid provenance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the builder to a separately governed repository, reference a reviewed immutable SHA, enforce independent branch protection, and retain external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deterministic sealed object, restore gate, provider contract, and revocation procedure exist, but Actions retains evidence for only 90 days and no immutable provider or live admission/revocation exercise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Long-lived automotive evidence may still expire or become undiscoverable, and an unconfigured cluster may accept a digest without current trust or revocation enforcement.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independently governed locked-WORM storage, implement short-lived export/read-back receipts, maintain an external revocation catalogue, schedule clean-host restores, install the controller, and retain positive/negative/revocation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input-free reusable builder, signed SLSA/CycloneDX attestations, and exact pre-promotion verification - implemented initial same-repository builder slice;</w:t>
      </w:r>
    </w:p>
    <w:p>
      <w:pPr>
        <w:pStyle w:val="ListBullet"/>
        <w:numPr>
          <w:ilvl w:val="0"/>
          <w:numId w:val="34"/>
        </w:numPr>
      </w:pPr>
      <w:r>
        <w:rPr>
          <w:rFonts w:ascii="Calibri" w:hAnsi="Calibri"/>
          <w:color w:val="111827"/>
          <w:sz w:val="22"/>
        </w:rPr>
        <w:t>independently governed trusted builder, product-lifetime immutable evidence provider, live attestation-admission/revocation evidence, and real provider deployment across protected environments -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evidence lifecycle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tools/build_release_archive_manifest.py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docs/release-evidence-lifecycle.md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Sealed archive and provider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tools/seal_release_archive.py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w:t>
            </w:r>
            <w:r>
              <w:rPr>
                <w:rFonts w:ascii="Calibri" w:hAnsi="Calibri"/>
                <w:b w:val="0"/>
                <w:color w:val="111827"/>
                <w:sz w:val="17"/>
              </w:rPr>
              <w:t>test_release_archive.py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0.32.0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