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12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AWS archive foundation audit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normalized immutable-provider export gate that re-restores the local seal and validates exact object identity, strong read-back integrity, locked retention, encryption, workload identity, audit evidence, and time ordering before emitting a non-replacing receipt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153 fast Python tests, Ruff, strict mypy, structural/a11y workbook checks, and resource monitoring; provider adapter, provisioning, live upload, and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first concrete immutable provider adapter for AWS S3 Object Lock: version-history/delete-marker rejection, atomic conditional upload, full SHA-256, </w:t>
            </w:r>
            <w:r>
              <w:rPr>
                <w:rFonts w:ascii="Calibri" w:hAnsi="Calibri"/>
                <w:b w:val="0"/>
                <w:color w:val="111827"/>
                <w:sz w:val="16"/>
              </w:rPr>
              <w:t>COMPLIANCE</w:t>
            </w:r>
            <w:r>
              <w:rPr>
                <w:rFonts w:ascii="Calibri" w:hAnsi="Calibri"/>
                <w:b w:val="0"/>
                <w:color w:val="111827"/>
                <w:sz w:val="16"/>
              </w:rPr>
              <w:t xml:space="preserve"> retention, exact SSE-KMS key, STS assumed-role identity, immutable version metadata, streamed read-back, and normalized receipts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169 fast Python tests, Ruff, strict mypy, canonical Python 3.14 Linux locks, structural/a11y/visual workbook checks, and bounded resource monitoring; live AWS provisioning, upload, denial, and restore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Terraform AWS archive foundation with a non-destroyable versioned Object Lock bucket, default/minimum </w:t>
            </w:r>
            <w:r>
              <w:rPr>
                <w:rFonts w:ascii="Calibri" w:hAnsi="Calibri"/>
                <w:b w:val="0"/>
                <w:color w:val="111827"/>
                <w:sz w:val="16"/>
              </w:rPr>
              <w:t>COMPLIANCE</w:t>
            </w:r>
            <w:r>
              <w:rPr>
                <w:rFonts w:ascii="Calibri" w:hAnsi="Calibri"/>
                <w:b w:val="0"/>
                <w:color w:val="111827"/>
                <w:sz w:val="16"/>
              </w:rPr>
              <w:t xml:space="preserve"> retention, rotated SSE-KMS key, fixed-prefix bucket denials, exact separate OIDC writer/restore roles, and externally delivered validated CloudTrail</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175 fast Python tests, Terraform 1.15.8 validation, five mocked positive/negative plans, AWS provider 6.58.0 Linux/Windows lock, Ruff, strict mypy, structural/a11y/visual workbook checks, and resource monitoring; live account review, apply, IAM simulation, upload/denial/restore, and CloudTrail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operator-only read-only AWS foundation auditor for exact account, S3 Object Lock/encryption/private ownership/deny policy, KMS state/rotation, separate OIDC IAM roles, and external CloudTrail delivery with bounded non-replacing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185 fast Python tests, ten focused positive/negative/read-only auditor scenarios, Ruff, strict mypy, structural/a11y/visual workbook checks, and resource monitoring; approved apply, effective IAM simulation, retained upload/denial/restore, and CloudTrail event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Initiated Volume II with one versioned digital-vehicle state aggregate covering operational mode, battery, powertrain, brakes, steering, and lighting; added safe defaults, cross-component invariants, independent RBAC, optimistic concurrency,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193 fast Python tests, Ruff, strict mypy, API-contract coverage, migration backfill, structural/a11y/visual workbook checks, and disposable integration delegated to hosted CI</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0013</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Digital vehicle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Volume II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safe, versioned aggregate with component bounds, cross-component invariants, independent RBAC, atomic audit/outbox evidence, and idempotent exact retry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Immutable provider export gate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provider-neutral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bounded provider evidence, local full restore, key/version/checksum/size/retention/encryption/identity/audit/time validation, and normalized non-replacing receipt; live adapter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S3 Object Lock adapter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 adapter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Pre-upload restore, expected account, assumed role, conditional </w:t>
            </w:r>
            <w:r>
              <w:rPr>
                <w:rFonts w:ascii="Calibri" w:hAnsi="Calibri"/>
                <w:b w:val="0"/>
                <w:color w:val="111827"/>
                <w:sz w:val="17"/>
              </w:rPr>
              <w:t>COMPLIANCE</w:t>
            </w:r>
            <w:r>
              <w:rPr>
                <w:rFonts w:ascii="Calibri" w:hAnsi="Calibri"/>
                <w:b w:val="0"/>
                <w:color w:val="111827"/>
                <w:sz w:val="17"/>
              </w:rPr>
              <w:t xml:space="preserve"> write, exact KMS key, version metadata, full read-back, and normalized evidence; live AWS acceptance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infrastructure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declarative foundation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Terraform defines S3 Object Lock, KMS, bucket policy, exact OIDC writer/restore roles, and externally governed CloudTrail delivery; CI cannot apply it and live AWS evidence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foundation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read-only acceptance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Operator-only STS/S3/KMS/IAM/CloudTrail inspection fails closed and emits one bounded non-replacing report; no AWS credentials are available in CI and no live report is claimed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185 fast tests plus expanded disposable black-box, alert-delivery, restore-drill, sealed release-archive/export-gate/AWS-adapter/Terraform/auditor-policy, and workflow scenarios, five mocked Terraform plans,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2"/>
        <w:keepNext/>
        <w:keepLines/>
      </w:pPr>
      <w:r>
        <w:t>ADR-032 — Normalize Provider Evidence before Accepting an Immutable Export</w:t>
      </w:r>
    </w:p>
    <w:p>
      <w:r>
        <w:rPr>
          <w:rFonts w:ascii="Calibri" w:hAnsi="Calibri"/>
          <w:b/>
          <w:color w:val="111827"/>
          <w:sz w:val="22"/>
        </w:rPr>
        <w:t>Decision.</w:t>
      </w:r>
      <w:r>
        <w:rPr>
          <w:rFonts w:ascii="Calibri" w:hAnsi="Calibri"/>
          <w:color w:val="111827"/>
          <w:sz w:val="22"/>
        </w:rPr>
        <w:t xml:space="preserve"> Require each future provider adapter to translate its upload, retention-state, identity, audit, and read-back response into one exact non-sensitive JSON schema. Re-validate and fully restore the local seal, require the provider's exact deterministic key, immutable version, SHA-256 upload/read-back value, byte size, locked retention at or beyond an explicit minimum, approved encryption mode, bounded writer/audit identifiers, and chronological timestamps. Emit a separate normalized receipt that hashes both source evidence files and cannot replace an existing receipt.</w:t>
      </w:r>
    </w:p>
    <w:p>
      <w:r>
        <w:rPr>
          <w:rFonts w:ascii="Calibri" w:hAnsi="Calibri"/>
          <w:b/>
          <w:color w:val="111827"/>
          <w:sz w:val="22"/>
        </w:rPr>
        <w:t>Rationale.</w:t>
      </w:r>
      <w:r>
        <w:rPr>
          <w:rFonts w:ascii="Calibri" w:hAnsi="Calibri"/>
          <w:color w:val="111827"/>
          <w:sz w:val="22"/>
        </w:rPr>
        <w:t xml:space="preserve"> AWS, Azure, Google Cloud, and future providers expose different names and response shapes for equivalent controls. A narrow normalization boundary keeps provider credentials and raw response bodies out of retained evidence, gives policy and tests one stable contract, and prevents a nominal upload-success response from being confused with verified immutable retention and recoverability.</w:t>
      </w:r>
    </w:p>
    <w:p>
      <w:r>
        <w:rPr>
          <w:rFonts w:ascii="Calibri" w:hAnsi="Calibri"/>
          <w:b/>
          <w:color w:val="111827"/>
          <w:sz w:val="22"/>
        </w:rPr>
        <w:t>Consequences.</w:t>
      </w:r>
      <w:r>
        <w:rPr>
          <w:rFonts w:ascii="Calibri" w:hAnsi="Calibri"/>
          <w:color w:val="111827"/>
          <w:sz w:val="22"/>
        </w:rPr>
        <w:t xml:space="preserve"> The gate proves consistency of the evidence supplied by an adapter; it cannot independently prove that a provider API response is truthful or that account policy remains locked. Production still needs an approved adapter using short-lived identity, independently reviewed provisioning, real denial/audit/read-back evidence, retention monitoring, and scheduled clean-host restoration.</w:t>
      </w:r>
    </w:p>
    <w:p>
      <w:pPr>
        <w:pStyle w:val="Heading2"/>
        <w:keepNext/>
        <w:keepLines/>
      </w:pPr>
      <w:r>
        <w:t>ADR-033 — Implement the First Provider Adapter with S3 Object Lock Compliance Mode</w:t>
      </w:r>
    </w:p>
    <w:p>
      <w:r>
        <w:rPr>
          <w:rFonts w:ascii="Calibri" w:hAnsi="Calibri"/>
          <w:b/>
          <w:color w:val="111827"/>
          <w:sz w:val="22"/>
        </w:rPr>
        <w:t>Decision.</w:t>
      </w:r>
      <w:r>
        <w:rPr>
          <w:rFonts w:ascii="Calibri" w:hAnsi="Calibri"/>
          <w:color w:val="111827"/>
          <w:sz w:val="22"/>
        </w:rPr>
        <w:t xml:space="preserve"> Implement one AWS S3 adapter that validates and restores the local seal, requires an STS assumed-role session in the expected archive account, and uses one conditional </w:t>
      </w:r>
      <w:r>
        <w:rPr>
          <w:rFonts w:ascii="Consolas" w:hAnsi="Consolas"/>
          <w:color w:val="1F4D78"/>
          <w:sz w:val="19"/>
        </w:rPr>
        <w:t>PutObject</w:t>
      </w:r>
      <w:r>
        <w:rPr>
          <w:rFonts w:ascii="Calibri" w:hAnsi="Calibri"/>
          <w:color w:val="111827"/>
          <w:sz w:val="22"/>
        </w:rPr>
        <w:t xml:space="preserve"> with full-object SHA-256, </w:t>
      </w:r>
      <w:r>
        <w:rPr>
          <w:rFonts w:ascii="Consolas" w:hAnsi="Consolas"/>
          <w:color w:val="1F4D78"/>
          <w:sz w:val="19"/>
        </w:rPr>
        <w:t>If-None-Match: *</w:t>
      </w:r>
      <w:r>
        <w:rPr>
          <w:rFonts w:ascii="Calibri" w:hAnsi="Calibri"/>
          <w:color w:val="111827"/>
          <w:sz w:val="22"/>
        </w:rPr>
        <w:t xml:space="preserve">, explicit </w:t>
      </w:r>
      <w:r>
        <w:rPr>
          <w:rFonts w:ascii="Consolas" w:hAnsi="Consolas"/>
          <w:color w:val="1F4D78"/>
          <w:sz w:val="19"/>
        </w:rPr>
        <w:t>COMPLIANCE</w:t>
      </w:r>
      <w:r>
        <w:rPr>
          <w:rFonts w:ascii="Calibri" w:hAnsi="Calibri"/>
          <w:color w:val="111827"/>
          <w:sz w:val="22"/>
        </w:rPr>
        <w:t xml:space="preserve"> retention, exact customer-managed KMS key, and S3 Bucket Key. Treat the returned </w:t>
      </w:r>
      <w:r>
        <w:rPr>
          <w:rFonts w:ascii="Consolas" w:hAnsi="Consolas"/>
          <w:color w:val="1F4D78"/>
          <w:sz w:val="19"/>
        </w:rPr>
        <w:t>VersionId</w:t>
      </w:r>
      <w:r>
        <w:rPr>
          <w:rFonts w:ascii="Calibri" w:hAnsi="Calibri"/>
          <w:color w:val="111827"/>
          <w:sz w:val="22"/>
        </w:rPr>
        <w:t xml:space="preserve"> as the immutable provider identity; verify metadata and fully stream that exact version back before emitting provider evidence and the normalized export receipt. Do not provision AWS resources or activate the adapter in release CI in this slice.</w:t>
      </w:r>
    </w:p>
    <w:p>
      <w:r>
        <w:rPr>
          <w:rFonts w:ascii="Calibri" w:hAnsi="Calibri"/>
          <w:b/>
          <w:color w:val="111827"/>
          <w:sz w:val="22"/>
        </w:rPr>
        <w:t>Rationale.</w:t>
      </w:r>
      <w:r>
        <w:rPr>
          <w:rFonts w:ascii="Calibri" w:hAnsi="Calibri"/>
          <w:color w:val="111827"/>
          <w:sz w:val="22"/>
        </w:rPr>
        <w:t xml:space="preserve"> S3 Object Lock protects versions rather than key names, so retention alone does not prevent another version under the deterministic key. The conditional write is the atomic non-replacement boundary. Explicit compliance retention prevents governance bypass, while exact account, temporary role, KMS, version, checksum, and read-back checks make provider assumptions executable rather than documentary.</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COMPLIANCE</w:t>
      </w:r>
      <w:r>
        <w:rPr>
          <w:rFonts w:ascii="Calibri" w:hAnsi="Calibri"/>
          <w:color w:val="111827"/>
          <w:sz w:val="22"/>
        </w:rPr>
        <w:t xml:space="preserve"> retention cannot be shortened, so live testing requires a disposable object and approved duration. The adapter's fake client proves request/response policy, not AWS account truth. Production needs a versioned Object Lock bucket, policy conditions, separate KMS administration, OIDC trust, CloudTrail data events, IAM simulation, denial tests, monitoring, cost/account ownership, catalogue registration, and a clean-host restore.</w:t>
      </w:r>
    </w:p>
    <w:p>
      <w:pPr>
        <w:pStyle w:val="Heading2"/>
        <w:keepNext/>
        <w:keepLines/>
      </w:pPr>
      <w:r>
        <w:t>ADR-034 — Define the AWS Archive Foundation without Granting CI a Deployment Path</w:t>
      </w:r>
    </w:p>
    <w:p>
      <w:r>
        <w:rPr>
          <w:rFonts w:ascii="Calibri" w:hAnsi="Calibri"/>
          <w:b/>
          <w:color w:val="111827"/>
          <w:sz w:val="22"/>
        </w:rPr>
        <w:t>Decision.</w:t>
      </w:r>
      <w:r>
        <w:rPr>
          <w:rFonts w:ascii="Calibri" w:hAnsi="Calibri"/>
          <w:color w:val="111827"/>
          <w:sz w:val="22"/>
        </w:rPr>
        <w:t xml:space="preserve"> Define the archive bucket, customer-managed KMS key, bucket policy, separate writer and restore roles, and CloudTrail as a Terraform root module. Enable Object Lock when creating a non-destroyable versioned bucket; enforce default and minimum </w:t>
      </w:r>
      <w:r>
        <w:rPr>
          <w:rFonts w:ascii="Consolas" w:hAnsi="Consolas"/>
          <w:color w:val="1F4D78"/>
          <w:sz w:val="19"/>
        </w:rPr>
        <w:t>COMPLIANCE</w:t>
      </w:r>
      <w:r>
        <w:rPr>
          <w:rFonts w:ascii="Calibri" w:hAnsi="Calibri"/>
          <w:color w:val="111827"/>
          <w:sz w:val="22"/>
        </w:rPr>
        <w:t xml:space="preserve"> retention, KMS encryption, Bucket Key, private ownership, fixed prefix, TLS, and exact short-lived GitHub OIDC subjects. Deliver validated multi-Region management and archive-object data events to an externally governed bucket/key. Accept the account-wide OIDC provider, KMS administrator roles, audit destination, and remote state as external inputs. Routine CI may format, initialize without a backend, validate, and execute mocked plans only; it receives no AWS credential or </w:t>
      </w:r>
      <w:r>
        <w:rPr>
          <w:rFonts w:ascii="Consolas" w:hAnsi="Consolas"/>
          <w:color w:val="1F4D78"/>
          <w:sz w:val="19"/>
        </w:rPr>
        <w:t>apply</w:t>
      </w:r>
      <w:r>
        <w:rPr>
          <w:rFonts w:ascii="Calibri" w:hAnsi="Calibri"/>
          <w:color w:val="111827"/>
          <w:sz w:val="22"/>
        </w:rPr>
        <w:t xml:space="preserve"> path.</w:t>
      </w:r>
    </w:p>
    <w:p>
      <w:r>
        <w:rPr>
          <w:rFonts w:ascii="Calibri" w:hAnsi="Calibri"/>
          <w:b/>
          <w:color w:val="111827"/>
          <w:sz w:val="22"/>
        </w:rPr>
        <w:t>Rationale.</w:t>
      </w:r>
      <w:r>
        <w:rPr>
          <w:rFonts w:ascii="Calibri" w:hAnsi="Calibri"/>
          <w:color w:val="111827"/>
          <w:sz w:val="22"/>
        </w:rPr>
        <w:t xml:space="preserve"> Provider-adapter correctness cannot compensate for a weak bucket, broad role, mutable audit trail, or accidental destructive IaC. Declaring the controls makes review and drift intent reproducible, while keeping state, audit storage, key administration, and provisioning authority outside the data-plane roles reduces circular trust. Mocked positive and negative plans verify structure without creating retained objects or billable infrastructure.</w:t>
      </w:r>
    </w:p>
    <w:p>
      <w:r>
        <w:rPr>
          <w:rFonts w:ascii="Calibri" w:hAnsi="Calibri"/>
          <w:b/>
          <w:color w:val="111827"/>
          <w:sz w:val="22"/>
        </w:rPr>
        <w:t>Consequences.</w:t>
      </w:r>
      <w:r>
        <w:rPr>
          <w:rFonts w:ascii="Calibri" w:hAnsi="Calibri"/>
          <w:color w:val="111827"/>
          <w:sz w:val="22"/>
        </w:rPr>
        <w:t xml:space="preserve"> A mock provider cannot prove AWS account ownership, provider API behavior, external audit policies, actual OIDC claims, environment protection, IAM effective permissions, cost, or recoverability. The explicit root delegation in the KMS policy preserves account recovery and IAM authorization, so organizational root/IAM governance remains a trusted control. Live use still requires a protected two-reviewer plan/apply, exact-claim capture, IAM simulation, CloudTrail delivery proof, disposable retained upload, denial matrix, and clean-host restore.</w:t>
      </w:r>
    </w:p>
    <w:p>
      <w:pPr>
        <w:pStyle w:val="Heading2"/>
        <w:keepNext/>
        <w:keepLines/>
      </w:pPr>
      <w:r>
        <w:t>ADR-035 — Separate Read-Only Foundation Conformance from Destructive Acceptance</w:t>
      </w:r>
    </w:p>
    <w:p>
      <w:r>
        <w:rPr>
          <w:rFonts w:ascii="Calibri" w:hAnsi="Calibri"/>
          <w:b/>
          <w:color w:val="111827"/>
          <w:sz w:val="22"/>
        </w:rPr>
        <w:t>Decision.</w:t>
      </w:r>
      <w:r>
        <w:rPr>
          <w:rFonts w:ascii="Calibri" w:hAnsi="Calibri"/>
          <w:color w:val="111827"/>
          <w:sz w:val="22"/>
        </w:rPr>
        <w:t xml:space="preserve"> Add an operator-invoked Python auditor that receives only explicit expected resource identities and uses read operations against STS, S3, KMS, IAM, and CloudTrail. Verify the observed account, versioning/Object Lock retention, exact default KMS encryption, private ownership, named bucket-policy denials, customer-key state and rotation, exact separate GitHub OIDC role trust/actions, and external validated CloudTrail delivery. Emit one schema-versioned non-replacing JSON report only after every check passes. Exclude caller session identity, full policies, credentials, tokens, and raw AWS responses. Do not make the auditor a credentialed routine CI job.</w:t>
      </w:r>
    </w:p>
    <w:p>
      <w:r>
        <w:rPr>
          <w:rFonts w:ascii="Calibri" w:hAnsi="Calibri"/>
          <w:b/>
          <w:color w:val="111827"/>
          <w:sz w:val="22"/>
        </w:rPr>
        <w:t>Rationale.</w:t>
      </w:r>
      <w:r>
        <w:rPr>
          <w:rFonts w:ascii="Calibri" w:hAnsi="Calibri"/>
          <w:color w:val="111827"/>
          <w:sz w:val="22"/>
        </w:rPr>
        <w:t xml:space="preserve"> Terraform mock plans prove declared intent but not deployed state. A read-only conformance phase closes part of that evidence gap without combining observation with provisioning or irreversible retained-object tests. Exact operator-supplied account/resource identity prevents discovery from silently selecting an unintended environment, while fail-closed output prevents a partial result from appearing successful.</w:t>
      </w:r>
    </w:p>
    <w:p>
      <w:r>
        <w:rPr>
          <w:rFonts w:ascii="Calibri" w:hAnsi="Calibri"/>
          <w:b/>
          <w:color w:val="111827"/>
          <w:sz w:val="22"/>
        </w:rPr>
        <w:t>Consequences.</w:t>
      </w:r>
      <w:r>
        <w:rPr>
          <w:rFonts w:ascii="Calibri" w:hAnsi="Calibri"/>
          <w:color w:val="111827"/>
          <w:sz w:val="22"/>
        </w:rPr>
        <w:t xml:space="preserve"> The auditor needs a separately governed read-only identity and its result is a point-in-time observation. Named bucket-policy statements and exact role actions intentionally reject undocumented customization. It cannot prove effective permissions, environment reviewer protection, retained-object semantics, write/delete/retention denials, CloudTrail event arrival, cost, or recoverability; those remain independent controlled acceptance exercises.</w:t>
      </w:r>
    </w:p>
    <w:p>
      <w:pPr>
        <w:pStyle w:val="Heading2"/>
        <w:keepNext/>
        <w:keepLines/>
      </w:pPr>
      <w:r>
        <w:t>ADR-036 — Establish a Versioned Digital-Vehicle State Aggregate before Physics Simulation</w:t>
      </w:r>
    </w:p>
    <w:p>
      <w:r>
        <w:rPr>
          <w:rFonts w:ascii="Calibri" w:hAnsi="Calibri"/>
          <w:b/>
          <w:color w:val="111827"/>
          <w:sz w:val="22"/>
        </w:rPr>
        <w:t>Decision.</w:t>
      </w:r>
      <w:r>
        <w:rPr>
          <w:rFonts w:ascii="Calibri" w:hAnsi="Calibri"/>
          <w:color w:val="111827"/>
          <w:sz w:val="22"/>
        </w:rPr>
        <w:t xml:space="preserve"> Give every vehicle exactly one complete state aggregate containing operational mode, battery, powertrain, brake, steering, and lighting components. Validate all components together, replace state using an expected version and row lock, treat an exact immediate retry as idempotent, and atomically emit audit plus </w:t>
      </w:r>
      <w:r>
        <w:rPr>
          <w:rFonts w:ascii="Consolas" w:hAnsi="Consolas"/>
          <w:color w:val="1F4D78"/>
          <w:sz w:val="19"/>
        </w:rPr>
        <w:t>atep.digital_vehicle.state.updated.v1</w:t>
      </w:r>
      <w:r>
        <w:rPr>
          <w:rFonts w:ascii="Calibri" w:hAnsi="Calibri"/>
          <w:color w:val="111827"/>
          <w:sz w:val="22"/>
        </w:rPr>
        <w:t xml:space="preserve"> outbox evidence.</w:t>
      </w:r>
    </w:p>
    <w:p>
      <w:r>
        <w:rPr>
          <w:rFonts w:ascii="Calibri" w:hAnsi="Calibri"/>
          <w:b/>
          <w:color w:val="111827"/>
          <w:sz w:val="22"/>
        </w:rPr>
        <w:t>Rationale.</w:t>
      </w:r>
      <w:r>
        <w:rPr>
          <w:rFonts w:ascii="Calibri" w:hAnsi="Calibri"/>
          <w:color w:val="111827"/>
          <w:sz w:val="22"/>
        </w:rPr>
        <w:t xml:space="preserve"> A deterministic domain contract is required before physics engines, ECUs, CAN, diagnostics, or Android adapters can interoperate safely. Complete replacement keeps invariants visible and prevents partial component writes from creating contradictory vehicle snapshots.</w:t>
      </w:r>
    </w:p>
    <w:p>
      <w:r>
        <w:rPr>
          <w:rFonts w:ascii="Calibri" w:hAnsi="Calibri"/>
          <w:b/>
          <w:color w:val="111827"/>
          <w:sz w:val="22"/>
        </w:rPr>
        <w:t>Consequences.</w:t>
      </w:r>
      <w:r>
        <w:rPr>
          <w:rFonts w:ascii="Calibri" w:hAnsi="Calibri"/>
          <w:color w:val="111827"/>
          <w:sz w:val="22"/>
        </w:rPr>
        <w:t xml:space="preserve"> The current model is an authoritative snapshot rather than a time-stepped simulation. Clients must handle version conflicts. Future engines and gateways must translate through this public contract instead of accessing persistence directly.</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Boto3</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provider adapter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S3 Object Lock, checksum, retention, KMS, and STS APIs through the standard short-lived credential chain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Hash-locked dependency; live use requires an independently reviewed AWS foundation and never accepts command-line access keys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Terraform 1.15 / AWS provider 6.58</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archive infrastructure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Reviewable S3 Object Lock, KMS, IAM/OIDC, bucket-policy, and CloudTrail intent with native mocked plan tests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provider lock covers Linux/Windows; state and apply authority remain external, and CI has no cloud credential or apply path</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exact bounded provider evidence shall bind an immutable version, key, checksum/read-back, size, retention, encryption, writer identity, audit event, and timestamps to the local seal.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acceptance shall fully restore the local seal and emit a normalized non-replacing receipt hashing both source evidence 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and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adapter shall pre-restore the seal and atomically upload the deterministic key with full SHA-256, </w:t>
            </w:r>
            <w:r>
              <w:rPr>
                <w:rFonts w:ascii="Calibri" w:hAnsi="Calibri"/>
                <w:b w:val="0"/>
                <w:color w:val="111827"/>
                <w:sz w:val="16"/>
              </w:rPr>
              <w:t>COMPLIANCE</w:t>
            </w:r>
            <w:r>
              <w:rPr>
                <w:rFonts w:ascii="Calibri" w:hAnsi="Calibri"/>
                <w:b w:val="0"/>
                <w:color w:val="111827"/>
                <w:sz w:val="16"/>
              </w:rPr>
              <w:t xml:space="preserve"> retention, exact KMS key, and expected account.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adapter shall verify retention-aware metadata and fully read back the exact returned version before normalized receipt emission.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an STS assumed-role session in the expected archive account may act as the AWS writer.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foundation shall declare a new non-destroyable private versioned bucket with Object Lock at creation, default </w:t>
            </w:r>
            <w:r>
              <w:rPr>
                <w:rFonts w:ascii="Calibri" w:hAnsi="Calibri"/>
                <w:b w:val="0"/>
                <w:color w:val="111827"/>
                <w:sz w:val="16"/>
              </w:rPr>
              <w:t>COMPLIANCE</w:t>
            </w:r>
            <w:r>
              <w:rPr>
                <w:rFonts w:ascii="Calibri" w:hAnsi="Calibri"/>
                <w:b w:val="0"/>
                <w:color w:val="111827"/>
                <w:sz w:val="16"/>
              </w:rPr>
              <w:t xml:space="preserve"> retention, exact SSE-KMS, Bucket Key, and fixed archive prefix.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short-lived writer and restore roles shall trust exact wildcard-free GitHub OIDC subjects and grant only required S3/KMS data-plane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PROV-038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Validated multi-Region CloudTrail shall record management and archive-object data events into externally governed audit storage and encryption.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Routine CI shall validate only backend-free mocked Terraform plans without AWS credentials, OIDC token issuance, or apply.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operator-only read-only auditor shall verify the expected account, archive S3 controls, archive KMS key, exact writer/restore IAM trust/actions, and external CloudTrail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foundation auditor shall emit one bounded non-replacing JSON report only after every check passes and retain no caller session identity, raw policy, credential, token, or response body.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PROV-043</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bounded identifiers only; unknown fields, credentials, URLs with queries, and raw provider bodies are rejected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 local restore, exact provider binding, adequate locked retention, ordered UTC times, and no receipt replacement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Exact-prefix history rejects versions/delete markers; mandatory </w:t>
            </w:r>
            <w:r>
              <w:rPr>
                <w:rFonts w:ascii="Calibri" w:hAnsi="Calibri"/>
                <w:b w:val="0"/>
                <w:color w:val="111827"/>
                <w:sz w:val="16"/>
              </w:rPr>
              <w:t>If-None-Match: *</w:t>
            </w:r>
            <w:r>
              <w:rPr>
                <w:rFonts w:ascii="Calibri" w:hAnsi="Calibri"/>
                <w:b w:val="0"/>
                <w:color w:val="111827"/>
                <w:sz w:val="16"/>
              </w:rPr>
              <w:t xml:space="preserve"> rejects races without alternate key/version retry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Short-lived writer without delete, bypass, hold, lifecycle, bucket/KMS/IAM/audit administration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 and live IAM simulation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bounded verification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Streaming size-bounded local restore and exact-version read-back with no credential/raw-response retention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IaC destruction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prevent_destroy</w:t>
            </w:r>
            <w:r>
              <w:rPr>
                <w:rFonts w:ascii="Calibri" w:hAnsi="Calibri"/>
                <w:b w:val="0"/>
                <w:color w:val="111827"/>
                <w:sz w:val="16"/>
              </w:rPr>
              <w:t xml:space="preserve"> on bucket/key, no </w:t>
            </w:r>
            <w:r>
              <w:rPr>
                <w:rFonts w:ascii="Calibri" w:hAnsi="Calibri"/>
                <w:b w:val="0"/>
                <w:color w:val="111827"/>
                <w:sz w:val="16"/>
              </w:rPr>
              <w:t>force_destroy</w:t>
            </w:r>
            <w:r>
              <w:rPr>
                <w:rFonts w:ascii="Calibri" w:hAnsi="Calibri"/>
                <w:b w:val="0"/>
                <w:color w:val="111827"/>
                <w:sz w:val="16"/>
              </w:rPr>
              <w:t>, Object Lock at creation, and no routine apply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PROV-036,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administrative separation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Writer, restore, key administration, audit storage/encryption, state, and provisioning remain separate; data roles have no destructive or administrative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through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Terraform/provider, Linux/Windows provider checksums, formatting, validation, and mocked positive/negative plans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independence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Log-file validation plus management/object coverage, with audit destination and key outside the archive stack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non-mutation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STS/S3/KMS/IAM/CloudTrail read APIs are allowed; no plan/apply, role assumption, cryptographic operation, object/retention write, or logging mutation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Wrong/shared/weak/ambiguous/truncated configuration or pre-existing output prevents evidence emission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PROV-042, PROV-043</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 complete normalized provider response against a valid local seal and approved minimum retention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archive fully restores and one receipt binds the exact source/image, key/version, checksums, size, locked retention, encryption, identity, audit event, and ordered times.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object key, upload checksum, read-back checksum, size, retention mode, encryption mode, or immutable-until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fails closed and emits no trusted receipt.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negative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an unknown credential-like field or provide unsafe, unbounded, non-canonical provider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exact schema and identifier policy reject the response before evidence retention.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schema/identifier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Reverse upload/read-back/validation chronology or target an existing export receipt.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time reversal and never replaces retained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chronology/replacement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 valid seal through the S3 fake client and inspect every upload, metadata, read-back, provider-evidence, and normalized-receipt field.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Conditional full-SHA-256 upload uses </w:t>
            </w:r>
            <w:r>
              <w:rPr>
                <w:rFonts w:ascii="Calibri" w:hAnsi="Calibri"/>
                <w:b w:val="0"/>
                <w:color w:val="111827"/>
                <w:sz w:val="16"/>
              </w:rPr>
              <w:t>COMPLIANCE</w:t>
            </w:r>
            <w:r>
              <w:rPr>
                <w:rFonts w:ascii="Calibri" w:hAnsi="Calibri"/>
                <w:b w:val="0"/>
                <w:color w:val="111827"/>
                <w:sz w:val="16"/>
              </w:rPr>
              <w:t>, exact KMS/account/key, one immutable version, complete matching read-back, and both receipts.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Make the key/version or delete marker exist before upload, or introduce a concurrent </w:t>
            </w:r>
            <w:r>
              <w:rPr>
                <w:rFonts w:ascii="Calibri" w:hAnsi="Calibri"/>
                <w:b w:val="0"/>
                <w:color w:val="111827"/>
                <w:sz w:val="16"/>
              </w:rPr>
              <w:t>412 PreconditionFailed</w:t>
            </w:r>
            <w:r>
              <w:rPr>
                <w:rFonts w:ascii="Calibri" w:hAnsi="Calibri"/>
                <w:b w:val="0"/>
                <w:color w:val="111827"/>
                <w:sz w:val="16"/>
              </w:rPr>
              <w:t xml:space="preserve"> at the conditional 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replacement or alternate version/key is attempted; export fails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history/delete-marker/concurrency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retention mode/date, provider checksum/version, encryption algorithm/key, or Bucket Key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Metadata validation rejects every weak or inconsistent provider response before trusted receipt emission.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seven-case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Return different bytes for the exact versioned read-back.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Streamed SHA-256/size comparison rejects the object and closes the response body.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tamper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permanent IAM-user ARN or ambiguous bucket/account/KMS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Identity/configuration validation fails before upload; only an assumed role in the exact archive account is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identity/configuration evidence; live OIDC/IAM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Format and validate the root module, initialize without a backend, and run the mock-provider test suite.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1.15.8 accepts the AWS provider 6.58.0 schema and all five plan-only runs pass without AWS credentials or resources.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Terraform validation/mocked-plan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planned bucket, versioning, retention, encryption, public-access, and lifecycle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Object Lock is enabled at creation, versioning and </w:t>
            </w:r>
            <w:r>
              <w:rPr>
                <w:rFonts w:ascii="Calibri" w:hAnsi="Calibri"/>
                <w:b w:val="0"/>
                <w:color w:val="111827"/>
                <w:sz w:val="16"/>
              </w:rPr>
              <w:t>COMPLIANCE</w:t>
            </w:r>
            <w:r>
              <w:rPr>
                <w:rFonts w:ascii="Calibri" w:hAnsi="Calibri"/>
                <w:b w:val="0"/>
                <w:color w:val="111827"/>
                <w:sz w:val="16"/>
              </w:rPr>
              <w:t xml:space="preserve"> are enabled, KMS/Bucket Key are exact, destruction is prevented, and </w:t>
            </w:r>
            <w:r>
              <w:rPr>
                <w:rFonts w:ascii="Calibri" w:hAnsi="Calibri"/>
                <w:b w:val="0"/>
                <w:color w:val="111827"/>
                <w:sz w:val="16"/>
              </w:rPr>
              <w:t>force_destroy</w:t>
            </w:r>
            <w:r>
              <w:rPr>
                <w:rFonts w:ascii="Calibri" w:hAnsi="Calibri"/>
                <w:b w:val="0"/>
                <w:color w:val="111827"/>
                <w:sz w:val="16"/>
              </w:rPr>
              <w:t xml:space="preserve"> is false.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mocked plan and static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writer/restore trust and identity policies for session duration, audience, subjects, prefix, data actions, and forbidden authorities.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distinct short-lived roles have only required S3/KMS data-plane actions; delete, bypass, hold, IAM, KMS administration, and audit administration are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least-privilege evidence; live 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wildcard writer subject or reuse the writer subject for 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Variable validation rejects ambiguous or shared OIDC trust before a plan can succeed.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the archive bucket as the audit destination or inspect CloudTrail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separation check rejects circular audit storage; the valid plan enables log-file validation, global/multi-Region management events, and archive-object data events to an external bucket/key.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positive/negative mocked-plan evidence; live delivery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routine IaC CI for backend, credential, OIDC, and execution authority.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job has read-only repository access, no AWS credential or </w:t>
            </w:r>
            <w:r>
              <w:rPr>
                <w:rFonts w:ascii="Calibri" w:hAnsi="Calibri"/>
                <w:b w:val="0"/>
                <w:color w:val="111827"/>
                <w:sz w:val="16"/>
              </w:rPr>
              <w:t>id-token</w:t>
            </w:r>
            <w:r>
              <w:rPr>
                <w:rFonts w:ascii="Calibri" w:hAnsi="Calibri"/>
                <w:b w:val="0"/>
                <w:color w:val="111827"/>
                <w:sz w:val="16"/>
              </w:rPr>
              <w:t xml:space="preserve">, uses the locked provider, and runs only format/init-without-backend/validate/test with no </w:t>
            </w:r>
            <w:r>
              <w:rPr>
                <w:rFonts w:ascii="Calibri" w:hAnsi="Calibri"/>
                <w:b w:val="0"/>
                <w:color w:val="111827"/>
                <w:sz w:val="16"/>
              </w:rPr>
              <w:t>apply</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a fully conforming foundation through simulated STS, S3, KMS, IAM, and CloudTrail clients.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Eleven exact checks pass and one schema-versioned report is atomically emitted without caller/session identity, raw policies, credentials, tokens, or response bodies.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read-only audit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account, retention, KMS binding/rotation, IAM actions, or CloudTrail logging; share audit/archive storage or writer/restore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auditor fails closed at the violated boundary and writes no report.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six provider-control negatives plus boundary negatives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auditor when its output already exists or inspect its code/API calls.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evidence is never replaced; only documented read methods are invoked and no partial temporary report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non-replacement and static review evidence / P0</w:t>
            </w:r>
          </w:p>
        </w:tc>
      </w:tr>
    </w:tbl>
    <w:p>
      <w:pPr>
        <w:spacing w:after="60"/>
      </w:pPr>
    </w:p>
    <w:p>
      <w:pPr>
        <w:pStyle w:val="Heading2"/>
        <w:keepNext/>
        <w:keepLines/>
      </w:pPr>
      <w:r>
        <w:t>11.18 Digital Vehicle State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vehicle and inspect its initial aggregate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Safe parked baseline, version 1, no traction or charging activity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values outside the component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invalid SOC, SOH, temperature, speed, torque, steering, or brake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contradictory moving and operational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Moving requires driving mode, valid gear, enabled motor, closed contactors, and released parking brake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contradictory charging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requires charging mode, park gear, zero speed, disabled motor, and closed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a valid aggregate using its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persists and version increments exactly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transaction evidence after a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bounded audit record, and versioned outbox event are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the exact immediately preceding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state is returned without duplicate transition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from a stale version with different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HTTP 409 </w:t>
            </w:r>
            <w:r>
              <w:rPr>
                <w:rFonts w:ascii="Calibri" w:hAnsi="Calibri"/>
                <w:b w:val="0"/>
                <w:color w:val="111827"/>
                <w:sz w:val="16"/>
              </w:rPr>
              <w:t>vehicle_state_version_conflict</w:t>
            </w:r>
            <w:r>
              <w:rPr>
                <w:rFonts w:ascii="Calibri" w:hAnsi="Calibri"/>
                <w:b w:val="0"/>
                <w:color w:val="111827"/>
                <w:sz w:val="16"/>
              </w:rPr>
              <w:t xml:space="preserve"> reports only the current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read and write with separately scoped roles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permission grants only its intended operation;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Apply migration </w:t>
            </w:r>
            <w:r>
              <w:rPr>
                <w:rFonts w:ascii="Calibri" w:hAnsi="Calibri"/>
                <w:b w:val="0"/>
                <w:color w:val="111827"/>
                <w:sz w:val="16"/>
              </w:rPr>
              <w:t>0013</w:t>
            </w:r>
            <w:r>
              <w:rPr>
                <w:rFonts w:ascii="Calibri" w:hAnsi="Calibri"/>
                <w:b w:val="0"/>
                <w:color w:val="111827"/>
                <w:sz w:val="16"/>
              </w:rPr>
              <w:t xml:space="preserve"> over an existing vehicle catalogue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existing vehicle receives one safe state aggregate and the schema reaches the expected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integration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 restore gate, normalized receipt, AWS adapter, Terraform foundation, and read-only conformance auditor exist, but Actions retains evidence for only 90 days and no protected AWS apply, live report, archive acceptance, or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Simulated audit evidence cannot prove real account ownership, effective IAM/KMS controls, retained-object behavior, CloudTrail event arrival, cost, or clean-host recovery.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review the account/external controls, protect two-reviewer plan/apply, run the read-only audit, simulate IAM denials, then retain live upload/repeat-write/delete/shorten/bypass/CloudTrail/restore evidence before production use.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 vehicle state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 </w:t>
            </w:r>
            <w:r>
              <w:rPr>
                <w:rFonts w:ascii="Calibri" w:hAnsi="Calibri"/>
                <w:b w:val="0"/>
                <w:color w:val="111827"/>
                <w:sz w:val="17"/>
              </w:rPr>
              <w:t>0013_digital_vehicle_state.py</w:t>
            </w:r>
            <w:r>
              <w:rPr>
                <w:rFonts w:ascii="Calibri" w:hAnsi="Calibri"/>
                <w:b w:val="0"/>
                <w:color w:val="111827"/>
                <w:sz w:val="17"/>
              </w:rPr>
              <w:t xml:space="preserve">, </w:t>
            </w:r>
            <w:r>
              <w:rPr>
                <w:rFonts w:ascii="Calibri" w:hAnsi="Calibri"/>
                <w:b w:val="0"/>
                <w:color w:val="111827"/>
                <w:sz w:val="17"/>
              </w:rPr>
              <w:t>tests/test_digital_vehicle_state.py</w:t>
            </w:r>
            <w:r>
              <w:rPr>
                <w:rFonts w:ascii="Calibri" w:hAnsi="Calibri"/>
                <w:b w:val="0"/>
                <w:color w:val="111827"/>
                <w:sz w:val="17"/>
              </w:rPr>
              <w:t xml:space="preserve">, API/integration contracts, and </w:t>
            </w:r>
            <w:r>
              <w:rPr>
                <w:rFonts w:ascii="Calibri" w:hAnsi="Calibri"/>
                <w:b w:val="0"/>
                <w:color w:val="111827"/>
                <w:sz w:val="17"/>
              </w:rPr>
              <w:t>docs/digital-vehicle-state.md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0013_digital_vehicle_state.py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provider export gate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tools/validate_archive_export.py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S3 Object Lock adapter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tools/export_archive_to_s3.py</w:t>
            </w:r>
            <w:r>
              <w:rPr>
                <w:rFonts w:ascii="Calibri" w:hAnsi="Calibri"/>
                <w:b w:val="0"/>
                <w:color w:val="111827"/>
                <w:sz w:val="17"/>
              </w:rPr>
              <w:t xml:space="preserve">, </w:t>
            </w:r>
            <w:r>
              <w:rPr>
                <w:rFonts w:ascii="Calibri" w:hAnsi="Calibri"/>
                <w:b w:val="0"/>
                <w:color w:val="111827"/>
                <w:sz w:val="17"/>
              </w:rPr>
              <w:t>tests/test_s3_archive_export.py</w:t>
            </w:r>
            <w:r>
              <w:rPr>
                <w:rFonts w:ascii="Calibri" w:hAnsi="Calibri"/>
                <w:b w:val="0"/>
                <w:color w:val="111827"/>
                <w:sz w:val="17"/>
              </w:rPr>
              <w:t xml:space="preserve">, </w:t>
            </w:r>
            <w:r>
              <w:rPr>
                <w:rFonts w:ascii="Calibri" w:hAnsi="Calibri"/>
                <w:b w:val="0"/>
                <w:color w:val="111827"/>
                <w:sz w:val="17"/>
              </w:rPr>
              <w:t>docs/aws-s3-object-lock-adapter.md</w:t>
            </w:r>
            <w:r>
              <w:rPr>
                <w:rFonts w:ascii="Calibri" w:hAnsi="Calibri"/>
                <w:b w:val="0"/>
                <w:color w:val="111827"/>
                <w:sz w:val="17"/>
              </w:rPr>
              <w:t>, and the hash-locked Boto3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Terraform foundation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deploy/terraform/aws-archive-foundation/</w:t>
            </w:r>
            <w:r>
              <w:rPr>
                <w:rFonts w:ascii="Calibri" w:hAnsi="Calibri"/>
                <w:b w:val="0"/>
                <w:color w:val="111827"/>
                <w:sz w:val="17"/>
              </w:rPr>
              <w:t xml:space="preserve">, </w:t>
            </w:r>
            <w:r>
              <w:rPr>
                <w:rFonts w:ascii="Calibri" w:hAnsi="Calibri"/>
                <w:b w:val="0"/>
                <w:color w:val="111827"/>
                <w:sz w:val="17"/>
              </w:rPr>
              <w:t>.terraform.lock.hcl</w:t>
            </w:r>
            <w:r>
              <w:rPr>
                <w:rFonts w:ascii="Calibri" w:hAnsi="Calibri"/>
                <w:b w:val="0"/>
                <w:color w:val="111827"/>
                <w:sz w:val="17"/>
              </w:rPr>
              <w:t xml:space="preserve">, </w:t>
            </w:r>
            <w:r>
              <w:rPr>
                <w:rFonts w:ascii="Calibri" w:hAnsi="Calibri"/>
                <w:b w:val="0"/>
                <w:color w:val="111827"/>
                <w:sz w:val="17"/>
              </w:rPr>
              <w:t>tests/test_terraform_archive_foundation.py</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and </w:t>
            </w:r>
            <w:r>
              <w:rPr>
                <w:rFonts w:ascii="Calibri" w:hAnsi="Calibri"/>
                <w:b w:val="0"/>
                <w:color w:val="111827"/>
                <w:sz w:val="17"/>
              </w:rPr>
              <w:t>.github/dependabot.yml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foundation 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tools/audit_aws_archive_foundation.py</w:t>
            </w:r>
            <w:r>
              <w:rPr>
                <w:rFonts w:ascii="Calibri" w:hAnsi="Calibri"/>
                <w:b w:val="0"/>
                <w:color w:val="111827"/>
                <w:sz w:val="17"/>
              </w:rPr>
              <w:t xml:space="preserve">, </w:t>
            </w:r>
            <w:r>
              <w:rPr>
                <w:rFonts w:ascii="Calibri" w:hAnsi="Calibri"/>
                <w:b w:val="0"/>
                <w:color w:val="111827"/>
                <w:sz w:val="17"/>
              </w:rPr>
              <w:t>tests/test_aws_archive_foundation_audit.py</w:t>
            </w:r>
            <w:r>
              <w:rPr>
                <w:rFonts w:ascii="Calibri" w:hAnsi="Calibri"/>
                <w:b w:val="0"/>
                <w:color w:val="111827"/>
                <w:sz w:val="17"/>
              </w:rPr>
              <w:t xml:space="preserve">, and </w:t>
            </w:r>
            <w:r>
              <w:rPr>
                <w:rFonts w:ascii="Calibri" w:hAnsi="Calibri"/>
                <w:b w:val="0"/>
                <w:color w:val="111827"/>
                <w:sz w:val="17"/>
              </w:rPr>
              <w:t>docs/aws-archive-foundation-audit.md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w:t>
            </w:r>
            <w:r>
              <w:rPr>
                <w:rFonts w:ascii="Calibri" w:hAnsi="Calibri"/>
                <w:b w:val="0"/>
                <w:color w:val="111827"/>
                <w:sz w:val="17"/>
              </w:rPr>
              <w:t>test_s3_archive_export.py</w:t>
            </w:r>
            <w:r>
              <w:rPr>
                <w:rFonts w:ascii="Calibri" w:hAnsi="Calibri"/>
                <w:b w:val="0"/>
                <w:color w:val="111827"/>
                <w:sz w:val="17"/>
              </w:rPr>
              <w:t xml:space="preserve">, </w:t>
            </w:r>
            <w:r>
              <w:rPr>
                <w:rFonts w:ascii="Calibri" w:hAnsi="Calibri"/>
                <w:b w:val="0"/>
                <w:color w:val="111827"/>
                <w:sz w:val="17"/>
              </w:rPr>
              <w:t>test_terraform_archive_foundation.py</w:t>
            </w:r>
            <w:r>
              <w:rPr>
                <w:rFonts w:ascii="Calibri" w:hAnsi="Calibri"/>
                <w:b w:val="0"/>
                <w:color w:val="111827"/>
                <w:sz w:val="17"/>
              </w:rPr>
              <w:t xml:space="preserve">, </w:t>
            </w:r>
            <w:r>
              <w:rPr>
                <w:rFonts w:ascii="Calibri" w:hAnsi="Calibri"/>
                <w:b w:val="0"/>
                <w:color w:val="111827"/>
                <w:sz w:val="17"/>
              </w:rPr>
              <w:t>test_aws_archive_foundation_audit.py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0.42.0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