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Paula Jesica Vergara De Castro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Basabe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Villa Rosa, Pilar</w:t>
        <w:br w:type="textWrapping"/>
        <w:t xml:space="preserve">Buenos Aires, Argentina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Aplicación para Gestión de CAPA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(Corrective and Preventive Actions Management Application)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4 de abril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1. 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aplicación gestiona </w:t>
      </w: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Corrective and Preventive Actions</w:t>
      </w:r>
      <w:r w:rsidDel="00000000" w:rsidR="00000000" w:rsidRPr="00000000">
        <w:rPr>
          <w:rtl w:val="0"/>
        </w:rPr>
        <w:t xml:space="preserve">) con metodología de resolución de problemas. La misma está orientada al sector de Manufactura, tanto para  proceso como producto. La gestión del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Corrective Action Report</w:t>
      </w:r>
      <w:r w:rsidDel="00000000" w:rsidR="00000000" w:rsidRPr="00000000">
        <w:rPr>
          <w:rtl w:val="0"/>
        </w:rPr>
        <w:t xml:space="preserve">) consta de 5 etapas: 1) Creación, 2) Contención, 3) Análisis de Causa Raíz y No Detección, 4) Acciones Correctivas y Preventivas a ser implementadas, 5) Prevención de la Recurrencia y Transversalidad.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Agilizar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uno de los principales objetivos de la aplicación es agilizar la emisión y notificación de los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Seguir:</w:t>
      </w:r>
      <w:r w:rsidDel="00000000" w:rsidR="00000000" w:rsidRPr="00000000">
        <w:rPr>
          <w:rtl w:val="0"/>
        </w:rPr>
        <w:t xml:space="preserve"> la aplicación, a través de su base de datos, permite realizar el seguimiento de sus fechas de vencimiento, así como también trazar qué acciones fueron o serán tomadas y los equipos de trabajo involucrados.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Medir:</w:t>
      </w:r>
      <w:r w:rsidDel="00000000" w:rsidR="00000000" w:rsidRPr="00000000">
        <w:rPr>
          <w:rtl w:val="0"/>
        </w:rPr>
        <w:t xml:space="preserve"> la posibilidad de obtener indicadores de la aplicación, permite medir la performance del equipo de trabajo y prevenir futuras ocurrencias de desvíos, así como también, obtener un indicador de servicio de los activos de la empresa.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3. Especificaciones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aplicación permite emitir un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describiendo el desvío, la fecha, el área involucrada y el equipo de responsables para su resolución, quienes son notificados automáticamente por email cuando el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ha sido guardado.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presente aplicación es genérica pero puede adaptarse según los requisitos de la compañía que lo requiera.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ds7tffgp1z1" w:id="5"/>
      <w:bookmarkEnd w:id="5"/>
      <w:r w:rsidDel="00000000" w:rsidR="00000000" w:rsidRPr="00000000">
        <w:rPr>
          <w:rtl w:val="0"/>
        </w:rPr>
        <w:t xml:space="preserve">4. Etapa conceptual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módulo 1 se definió conceptualmente como se observa a continuación (ver Imagen 1):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50006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1223" l="0" r="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Imagen 1</w:t>
      </w:r>
      <w:r w:rsidDel="00000000" w:rsidR="00000000" w:rsidRPr="00000000">
        <w:rPr>
          <w:rtl w:val="0"/>
        </w:rPr>
        <w:t xml:space="preserve">: Módulo 1 “Crear” modelo conceptual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pw1ma28yzdz" w:id="6"/>
      <w:bookmarkEnd w:id="6"/>
      <w:r w:rsidDel="00000000" w:rsidR="00000000" w:rsidRPr="00000000">
        <w:rPr>
          <w:rtl w:val="0"/>
        </w:rPr>
        <w:t xml:space="preserve">5. Hitos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rPr>
          <w:color w:val="000000"/>
          <w:sz w:val="24"/>
          <w:szCs w:val="24"/>
        </w:rPr>
      </w:pPr>
      <w:bookmarkStart w:colFirst="0" w:colLast="0" w:name="_buwz1tcz7y35" w:id="7"/>
      <w:bookmarkEnd w:id="7"/>
      <w:r w:rsidDel="00000000" w:rsidR="00000000" w:rsidRPr="00000000">
        <w:rPr>
          <w:rtl w:val="0"/>
        </w:rPr>
        <w:t xml:space="preserve">Etapa 1: Módulo “CREAR”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El formato de este módulo es del tipo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Create, Read, Update, Delete</w:t>
      </w:r>
      <w:r w:rsidDel="00000000" w:rsidR="00000000" w:rsidRPr="00000000">
        <w:rPr>
          <w:rtl w:val="0"/>
        </w:rPr>
        <w:t xml:space="preserve">). Dentro de este entorno, el usuario puede iniciar un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especificando: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Título del desvío.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Datos de emisor y receptor, área involucrada.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Integrantes del equipo que debe resolver el desvío.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Fechas de ocurrencia, contención y vencimiento.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Descripción del desvío.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Al tratarse de un tipo CRUD, no sólo se pueden crear nuevos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sino que los datos de los mismos se almacenan en una base de datos y pueden ser leídos, actualizados o eliminados.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i5zvcmayuilz" w:id="8"/>
      <w:bookmarkEnd w:id="8"/>
      <w:r w:rsidDel="00000000" w:rsidR="00000000" w:rsidRPr="00000000">
        <w:rPr>
          <w:rtl w:val="0"/>
        </w:rPr>
        <w:t xml:space="preserve">6. Desarrollo y modo de uso del Módulo 1 de la aplicación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 mismo se desarrolló en Python 310 y Tkinter. Posee las siguientes características de diseño (ver Imagen 2):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91150" cy="337026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150" cy="337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2</w:t>
      </w:r>
      <w:r w:rsidDel="00000000" w:rsidR="00000000" w:rsidRPr="00000000">
        <w:rPr>
          <w:rtl w:val="0"/>
        </w:rPr>
        <w:t xml:space="preserve">: Vista preliminar del Módulo 1 desarrollado en Python 310 y Tkinter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colFirst="0" w:colLast="0" w:name="_dhxgwtauiw37" w:id="9"/>
      <w:bookmarkEnd w:id="9"/>
      <w:r w:rsidDel="00000000" w:rsidR="00000000" w:rsidRPr="00000000">
        <w:rPr>
          <w:rtl w:val="0"/>
        </w:rPr>
        <w:t xml:space="preserve">Campos de carga de datos</w:t>
      </w:r>
    </w:p>
    <w:p w:rsidR="00000000" w:rsidDel="00000000" w:rsidP="00000000" w:rsidRDefault="00000000" w:rsidRPr="00000000" w14:paraId="00000020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  <w:t xml:space="preserve">Los siguientes campos resaltados en rojo (Imagen 3) son obligatorios, aceptan caracteres y deben completarse por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566738</wp:posOffset>
            </wp:positionH>
            <wp:positionV relativeFrom="page">
              <wp:posOffset>1562100</wp:posOffset>
            </wp:positionV>
            <wp:extent cx="6472716" cy="2582863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716" cy="258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122439</wp:posOffset>
                </wp:positionV>
                <wp:extent cx="3548063" cy="34061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8925" y="432725"/>
                          <a:ext cx="2360400" cy="206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122439</wp:posOffset>
                </wp:positionV>
                <wp:extent cx="3548063" cy="340614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8063" cy="340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-347662</wp:posOffset>
                </wp:positionH>
                <wp:positionV relativeFrom="paragraph">
                  <wp:posOffset>161925</wp:posOffset>
                </wp:positionV>
                <wp:extent cx="3281363" cy="107628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8925" y="432725"/>
                          <a:ext cx="2360400" cy="762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-347662</wp:posOffset>
                </wp:positionH>
                <wp:positionV relativeFrom="paragraph">
                  <wp:posOffset>161925</wp:posOffset>
                </wp:positionV>
                <wp:extent cx="3281363" cy="1076287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1363" cy="1076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1228725</wp:posOffset>
                </wp:positionV>
                <wp:extent cx="3281363" cy="76127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8925" y="432725"/>
                          <a:ext cx="2360400" cy="531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1228725</wp:posOffset>
                </wp:positionV>
                <wp:extent cx="3281363" cy="761276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1363" cy="761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1276350</wp:posOffset>
                </wp:positionV>
                <wp:extent cx="2824163" cy="65520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8925" y="432725"/>
                          <a:ext cx="2360400" cy="531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1276350</wp:posOffset>
                </wp:positionV>
                <wp:extent cx="2824163" cy="655206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4163" cy="65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3</w:t>
      </w:r>
      <w:r w:rsidDel="00000000" w:rsidR="00000000" w:rsidRPr="00000000">
        <w:rPr>
          <w:rtl w:val="0"/>
        </w:rPr>
        <w:t xml:space="preserve">: Campos de datos obligatorios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El campo de Fechas también es obligatorio, es una ventana del tipo DatePicker de la cual debe seleccionarse la fecha correspondiente mediante un click (ver Imagen 4):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1800225</wp:posOffset>
            </wp:positionH>
            <wp:positionV relativeFrom="page">
              <wp:posOffset>5205413</wp:posOffset>
            </wp:positionV>
            <wp:extent cx="4171950" cy="2606675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142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128588</wp:posOffset>
                </wp:positionV>
                <wp:extent cx="3005138" cy="23319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8925" y="432725"/>
                          <a:ext cx="2360400" cy="182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128588</wp:posOffset>
                </wp:positionV>
                <wp:extent cx="3005138" cy="2331987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5138" cy="2331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4</w:t>
      </w:r>
      <w:r w:rsidDel="00000000" w:rsidR="00000000" w:rsidRPr="00000000">
        <w:rPr>
          <w:rtl w:val="0"/>
        </w:rPr>
        <w:t xml:space="preserve">: Campo obligatorio de selección de fechas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colFirst="0" w:colLast="0" w:name="_3uf826628c33" w:id="10"/>
      <w:bookmarkEnd w:id="10"/>
      <w:r w:rsidDel="00000000" w:rsidR="00000000" w:rsidRPr="00000000">
        <w:rPr>
          <w:rtl w:val="0"/>
        </w:rPr>
        <w:t xml:space="preserve">Menú de CRUD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El siguiente panel presenta el panel de CRUD con sus botones de Crear, Leer, Actualizar, Borrar y Salir: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31051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5</w:t>
      </w:r>
      <w:r w:rsidDel="00000000" w:rsidR="00000000" w:rsidRPr="00000000">
        <w:rPr>
          <w:rtl w:val="0"/>
        </w:rPr>
        <w:t xml:space="preserve">: Botones del menú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colFirst="0" w:colLast="0" w:name="_wlu1yqjznp1w" w:id="11"/>
      <w:bookmarkEnd w:id="11"/>
      <w:r w:rsidDel="00000000" w:rsidR="00000000" w:rsidRPr="00000000">
        <w:rPr>
          <w:rtl w:val="0"/>
        </w:rPr>
        <w:t xml:space="preserve">Lista de base de datos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 la posición inferior de la aplicación y habiendo dado click en el botón “Leer” del Menú, se pueden visualizar todos los elementos guardados en la base de datos durante la creación de los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identificados por número y con sus datos de ingreso ordenados en columnas. Un</w:t>
      </w:r>
      <w:r w:rsidDel="00000000" w:rsidR="00000000" w:rsidRPr="00000000">
        <w:rPr>
          <w:rtl w:val="0"/>
        </w:rPr>
        <w:t xml:space="preserve"> menú de navegación del tipo scroll de abajo-arriba e izquierda-derecha permite leer todos los elementos guardados: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6</w:t>
      </w:r>
      <w:r w:rsidDel="00000000" w:rsidR="00000000" w:rsidRPr="00000000">
        <w:rPr>
          <w:rtl w:val="0"/>
        </w:rPr>
        <w:t xml:space="preserve">: Extracto de la lista de CAR guardados por la aplicación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colFirst="0" w:colLast="0" w:name="_kijk86l6spel" w:id="12"/>
      <w:bookmarkEnd w:id="12"/>
      <w:r w:rsidDel="00000000" w:rsidR="00000000" w:rsidRPr="00000000">
        <w:rPr>
          <w:rtl w:val="0"/>
        </w:rPr>
        <w:t xml:space="preserve">Modificación sobre elementos de CAR guardados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En el caso de requerir una modificación sobre uno de los CAR almacenados, el usuario debe seleccionar la fila de la lista presentada en el ítem anterior haciendo “</w:t>
      </w:r>
      <w:r w:rsidDel="00000000" w:rsidR="00000000" w:rsidRPr="00000000">
        <w:rPr>
          <w:b w:val="1"/>
          <w:rtl w:val="0"/>
        </w:rPr>
        <w:t xml:space="preserve">doble click</w:t>
      </w:r>
      <w:r w:rsidDel="00000000" w:rsidR="00000000" w:rsidRPr="00000000">
        <w:rPr>
          <w:rtl w:val="0"/>
        </w:rPr>
        <w:t xml:space="preserve">” sobre el mismo. Sólo así se habilitará la opción de “Actualizar” y la misma quedará indicada en negrita sobre su botón correspondiente.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5200650</wp:posOffset>
                </wp:positionH>
                <wp:positionV relativeFrom="paragraph">
                  <wp:posOffset>752475</wp:posOffset>
                </wp:positionV>
                <wp:extent cx="1243013" cy="60882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75375" y="427775"/>
                          <a:ext cx="444000" cy="211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5200650</wp:posOffset>
                </wp:positionH>
                <wp:positionV relativeFrom="paragraph">
                  <wp:posOffset>752475</wp:posOffset>
                </wp:positionV>
                <wp:extent cx="1243013" cy="608822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088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7</w:t>
      </w:r>
      <w:r w:rsidDel="00000000" w:rsidR="00000000" w:rsidRPr="00000000">
        <w:rPr>
          <w:rtl w:val="0"/>
        </w:rPr>
        <w:t xml:space="preserve">: Opción de modificar datos a través de “Actualizar”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Sólo en esta instancia podrán modificarse los campos de datos y fechas y luego ser modificados y guardados al hacer click en “Actualizar”.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colFirst="0" w:colLast="0" w:name="_beee2f8lpyio" w:id="13"/>
      <w:bookmarkEnd w:id="13"/>
      <w:r w:rsidDel="00000000" w:rsidR="00000000" w:rsidRPr="00000000">
        <w:rPr>
          <w:rtl w:val="0"/>
        </w:rPr>
        <w:t xml:space="preserve">Salir de la aplicación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Para salir de la aplicación ir al Menú y hacer Click en “Salir”. La aplicación le preguntará si quiere salir de la misma.</w:t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14192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Imagen 8</w:t>
      </w:r>
      <w:r w:rsidDel="00000000" w:rsidR="00000000" w:rsidRPr="00000000">
        <w:rPr>
          <w:rtl w:val="0"/>
        </w:rPr>
        <w:t xml:space="preserve">: Ventana de confirmación de “Salir”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rfeh1jge2fpr" w:id="14"/>
      <w:bookmarkEnd w:id="14"/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El Módulo 1 es un ejemplo preliminar del tipo CRUD y en una instancia posterior pretende introducir una función de carga de imágenes, una lista desplegable que permite elegir entre emisores, receptores, áreas y equipos de trabajo ya predeterminados, reporte de salida automático en pdf y envío del mismo por e-mail a los referidos de las listas desplegables. Al mismo tiempo, permitirá dar aviso de alerta a los destinatarios del reporte teniendo en cuenta la fecha de vencimiento próxima ya estipulada durante la carga del desvío.</w:t>
      </w:r>
      <w:r w:rsidDel="00000000" w:rsidR="00000000" w:rsidRPr="00000000">
        <w:rPr>
          <w:rtl w:val="0"/>
        </w:rPr>
      </w:r>
    </w:p>
    <w:sectPr>
      <w:headerReference r:id="rId20" w:type="first"/>
      <w:headerReference r:id="rId21" w:type="default"/>
      <w:footerReference r:id="rId22" w:type="first"/>
      <w:footerReference r:id="rId2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14" name="image11.png"/>
          <a:graphic>
            <a:graphicData uri="http://schemas.openxmlformats.org/drawingml/2006/picture">
              <pic:pic>
                <pic:nvPicPr>
                  <pic:cNvPr descr="gráfico del pie de página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8" name="image15.png"/>
          <a:graphic>
            <a:graphicData uri="http://schemas.openxmlformats.org/drawingml/2006/picture">
              <pic:pic>
                <pic:nvPicPr>
                  <pic:cNvPr descr="gráfico del pie de página"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12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7" name="image3.png"/>
          <a:graphic>
            <a:graphicData uri="http://schemas.openxmlformats.org/drawingml/2006/picture">
              <pic:pic>
                <pic:nvPicPr>
                  <pic:cNvPr descr="gráfico de la esquina 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8.png"/><Relationship Id="rId22" Type="http://schemas.openxmlformats.org/officeDocument/2006/relationships/footer" Target="footer2.xml"/><Relationship Id="rId10" Type="http://schemas.openxmlformats.org/officeDocument/2006/relationships/image" Target="media/image17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