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5392" w:rsidRPr="00975392" w:rsidRDefault="00975392" w:rsidP="00975392">
      <w:pPr>
        <w:pStyle w:val="Ttulo1"/>
        <w:rPr>
          <w:lang w:val="en-US"/>
        </w:rPr>
      </w:pPr>
      <w:r w:rsidRPr="00975392">
        <w:rPr>
          <w:lang w:val="en-US"/>
        </w:rPr>
        <w:t>Handbook and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Different 'general comments' have led to the conclusion that distinguishing clearly between the goals, targeted audience and content of the '</w:t>
      </w:r>
      <w:r w:rsidRPr="00975392">
        <w:rPr>
          <w:rFonts w:ascii="Arial" w:hAnsi="Arial" w:cs="Arial"/>
          <w:b/>
          <w:bCs/>
          <w:color w:val="000000" w:themeColor="text1"/>
          <w:sz w:val="20"/>
          <w:szCs w:val="20"/>
          <w:lang w:val="en-US"/>
        </w:rPr>
        <w:t>eGovernment Core Vocabularies Handbook</w:t>
      </w:r>
      <w:r w:rsidRPr="00975392">
        <w:rPr>
          <w:rFonts w:ascii="Arial" w:hAnsi="Arial" w:cs="Arial"/>
          <w:color w:val="000000" w:themeColor="text1"/>
          <w:sz w:val="20"/>
          <w:szCs w:val="20"/>
          <w:lang w:val="en-US"/>
        </w:rPr>
        <w:t>' and the '</w:t>
      </w:r>
      <w:r w:rsidRPr="00975392">
        <w:rPr>
          <w:rFonts w:ascii="Arial" w:hAnsi="Arial" w:cs="Arial"/>
          <w:b/>
          <w:bCs/>
          <w:color w:val="000000" w:themeColor="text1"/>
          <w:sz w:val="20"/>
          <w:szCs w:val="20"/>
          <w:lang w:val="en-US"/>
        </w:rPr>
        <w:t>eGovernment Core Vocabularies Style Guides</w:t>
      </w:r>
      <w:r w:rsidRPr="00975392">
        <w:rPr>
          <w:rFonts w:ascii="Arial" w:hAnsi="Arial" w:cs="Arial"/>
          <w:color w:val="000000" w:themeColor="text1"/>
          <w:sz w:val="20"/>
          <w:szCs w:val="20"/>
          <w:lang w:val="en-US"/>
        </w:rPr>
        <w:t>' is urgently needed.</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pStyle w:val="Ttulo2"/>
        <w:rPr>
          <w:lang w:val="en-US"/>
        </w:rPr>
      </w:pPr>
      <w:r w:rsidRPr="00975392">
        <w:rPr>
          <w:lang w:val="en-US"/>
        </w:rPr>
        <w:t>Handbook</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pStyle w:val="Ttulo3"/>
        <w:rPr>
          <w:lang w:val="en-US"/>
        </w:rPr>
      </w:pPr>
      <w:r w:rsidRPr="00975392">
        <w:rPr>
          <w:lang w:val="en-US"/>
        </w:rPr>
        <w:t>Audience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Policy makers, CIO, business owners and project leaders. Rationale for these targets is provided in farther sections below.</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pStyle w:val="Ttulo3"/>
        <w:rPr>
          <w:lang w:val="en-US"/>
        </w:rPr>
      </w:pPr>
      <w:r w:rsidRPr="00975392">
        <w:rPr>
          <w:lang w:val="en-US"/>
        </w:rPr>
        <w:t>Goals and content (TOP-DOWN approach)</w:t>
      </w:r>
    </w:p>
    <w:p w:rsidR="00975392" w:rsidRP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Provide General Context:</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Alignment with the EU general principles and policy;</w:t>
      </w:r>
    </w:p>
    <w:p w:rsidR="00975392" w:rsidRP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Alignment with the European Commission principles and strategy;</w:t>
      </w:r>
    </w:p>
    <w:p w:rsidR="00975392" w:rsidRP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proofErr w:type="spellStart"/>
      <w:r w:rsidRPr="00975392">
        <w:rPr>
          <w:rFonts w:ascii="Arial" w:hAnsi="Arial" w:cs="Arial"/>
          <w:color w:val="000000" w:themeColor="text1"/>
          <w:sz w:val="20"/>
          <w:szCs w:val="20"/>
          <w:lang w:val="en-US"/>
        </w:rPr>
        <w:t>Alignement</w:t>
      </w:r>
      <w:proofErr w:type="spellEnd"/>
      <w:r w:rsidRPr="00975392">
        <w:rPr>
          <w:rFonts w:ascii="Arial" w:hAnsi="Arial" w:cs="Arial"/>
          <w:color w:val="000000" w:themeColor="text1"/>
          <w:sz w:val="20"/>
          <w:szCs w:val="20"/>
          <w:lang w:val="en-US"/>
        </w:rPr>
        <w:t xml:space="preserve"> with the COM Interoperability strategy and principles, more concretely:</w:t>
      </w:r>
    </w:p>
    <w:p w:rsidR="00975392" w:rsidRDefault="00975392" w:rsidP="00975392">
      <w:pPr>
        <w:pStyle w:val="Prrafodelista"/>
        <w:numPr>
          <w:ilvl w:val="2"/>
          <w:numId w:val="6"/>
        </w:numPr>
        <w:autoSpaceDE w:val="0"/>
        <w:autoSpaceDN w:val="0"/>
        <w:adjustRightInd w:val="0"/>
        <w:spacing w:line="360" w:lineRule="atLeast"/>
        <w:ind w:left="1560"/>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References to the legal framework related to interoperability, </w:t>
      </w:r>
      <w:proofErr w:type="spellStart"/>
      <w:r w:rsidRPr="00975392">
        <w:rPr>
          <w:rFonts w:ascii="Arial" w:hAnsi="Arial" w:cs="Arial"/>
          <w:color w:val="000000" w:themeColor="text1"/>
          <w:sz w:val="20"/>
          <w:szCs w:val="20"/>
          <w:lang w:val="en-US"/>
        </w:rPr>
        <w:t>standardisation</w:t>
      </w:r>
      <w:proofErr w:type="spellEnd"/>
      <w:r w:rsidRPr="00975392">
        <w:rPr>
          <w:rFonts w:ascii="Arial" w:hAnsi="Arial" w:cs="Arial"/>
          <w:color w:val="000000" w:themeColor="text1"/>
          <w:sz w:val="20"/>
          <w:szCs w:val="20"/>
          <w:lang w:val="en-US"/>
        </w:rPr>
        <w:t xml:space="preserve"> and reusability (</w:t>
      </w:r>
      <w:proofErr w:type="spellStart"/>
      <w:r w:rsidRPr="00975392">
        <w:rPr>
          <w:rFonts w:ascii="Arial" w:hAnsi="Arial" w:cs="Arial"/>
          <w:color w:val="000000" w:themeColor="text1"/>
          <w:sz w:val="20"/>
          <w:szCs w:val="20"/>
          <w:lang w:val="en-US"/>
        </w:rPr>
        <w:t>cfr</w:t>
      </w:r>
      <w:proofErr w:type="spellEnd"/>
      <w:r w:rsidRPr="00975392">
        <w:rPr>
          <w:rFonts w:ascii="Arial" w:hAnsi="Arial" w:cs="Arial"/>
          <w:color w:val="000000" w:themeColor="text1"/>
          <w:sz w:val="20"/>
          <w:szCs w:val="20"/>
          <w:lang w:val="en-US"/>
        </w:rPr>
        <w:t xml:space="preserve">. EIF Decision, Regulation 2015/2012, </w:t>
      </w:r>
      <w:proofErr w:type="spellStart"/>
      <w:r w:rsidRPr="00975392">
        <w:rPr>
          <w:rFonts w:ascii="Arial" w:hAnsi="Arial" w:cs="Arial"/>
          <w:color w:val="000000" w:themeColor="text1"/>
          <w:sz w:val="20"/>
          <w:szCs w:val="20"/>
          <w:lang w:val="en-US"/>
        </w:rPr>
        <w:t>eur</w:t>
      </w:r>
      <w:proofErr w:type="spellEnd"/>
      <w:r w:rsidRPr="00975392">
        <w:rPr>
          <w:rFonts w:ascii="Arial" w:hAnsi="Arial" w:cs="Arial"/>
          <w:color w:val="000000" w:themeColor="text1"/>
          <w:sz w:val="20"/>
          <w:szCs w:val="20"/>
          <w:lang w:val="en-US"/>
        </w:rPr>
        <w:t>-lex texts on reusability, etc.);</w:t>
      </w:r>
    </w:p>
    <w:p w:rsidR="00975392" w:rsidRDefault="00975392" w:rsidP="00975392">
      <w:pPr>
        <w:pStyle w:val="Prrafodelista"/>
        <w:numPr>
          <w:ilvl w:val="2"/>
          <w:numId w:val="6"/>
        </w:numPr>
        <w:autoSpaceDE w:val="0"/>
        <w:autoSpaceDN w:val="0"/>
        <w:adjustRightInd w:val="0"/>
        <w:spacing w:line="360" w:lineRule="atLeast"/>
        <w:ind w:left="1560"/>
        <w:rPr>
          <w:rFonts w:ascii="Arial" w:hAnsi="Arial" w:cs="Arial"/>
          <w:color w:val="000000" w:themeColor="text1"/>
          <w:sz w:val="20"/>
          <w:szCs w:val="20"/>
          <w:lang w:val="en-US"/>
        </w:rPr>
      </w:pPr>
      <w:r w:rsidRPr="00975392">
        <w:rPr>
          <w:rFonts w:ascii="Arial" w:hAnsi="Arial" w:cs="Arial"/>
          <w:color w:val="000000" w:themeColor="text1"/>
          <w:sz w:val="20"/>
          <w:szCs w:val="20"/>
          <w:lang w:val="en-US"/>
        </w:rPr>
        <w:t>Summary of ISA2 goals, actions and initiatives;</w:t>
      </w:r>
    </w:p>
    <w:p w:rsidR="00975392" w:rsidRDefault="00975392" w:rsidP="00975392">
      <w:pPr>
        <w:pStyle w:val="Prrafodelista"/>
        <w:numPr>
          <w:ilvl w:val="2"/>
          <w:numId w:val="6"/>
        </w:numPr>
        <w:autoSpaceDE w:val="0"/>
        <w:autoSpaceDN w:val="0"/>
        <w:adjustRightInd w:val="0"/>
        <w:spacing w:line="360" w:lineRule="atLeast"/>
        <w:ind w:left="1560"/>
        <w:rPr>
          <w:rFonts w:ascii="Arial" w:hAnsi="Arial" w:cs="Arial"/>
          <w:color w:val="000000" w:themeColor="text1"/>
          <w:sz w:val="20"/>
          <w:szCs w:val="20"/>
          <w:lang w:val="en-US"/>
        </w:rPr>
      </w:pPr>
      <w:r w:rsidRPr="00975392">
        <w:rPr>
          <w:rFonts w:ascii="Arial" w:hAnsi="Arial" w:cs="Arial"/>
          <w:color w:val="000000" w:themeColor="text1"/>
          <w:sz w:val="20"/>
          <w:szCs w:val="20"/>
          <w:lang w:val="en-US"/>
        </w:rPr>
        <w:t>Summary of the SEMIC goals, works and road-map.</w:t>
      </w:r>
    </w:p>
    <w:p w:rsid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Provide Public </w:t>
      </w:r>
      <w:proofErr w:type="spellStart"/>
      <w:r w:rsidRPr="00975392">
        <w:rPr>
          <w:rFonts w:ascii="Arial" w:hAnsi="Arial" w:cs="Arial"/>
          <w:color w:val="000000" w:themeColor="text1"/>
          <w:sz w:val="20"/>
          <w:szCs w:val="20"/>
          <w:lang w:val="en-US"/>
        </w:rPr>
        <w:t>Administation</w:t>
      </w:r>
      <w:proofErr w:type="spellEnd"/>
      <w:r w:rsidRPr="00975392">
        <w:rPr>
          <w:rFonts w:ascii="Arial" w:hAnsi="Arial" w:cs="Arial"/>
          <w:color w:val="000000" w:themeColor="text1"/>
          <w:sz w:val="20"/>
          <w:szCs w:val="20"/>
          <w:lang w:val="en-US"/>
        </w:rPr>
        <w:t xml:space="preserve"> Interoperability-specific Context</w:t>
      </w:r>
    </w:p>
    <w:p w:rsid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The saliency of interoperability in the EU Digital Public Service Value Chain;</w:t>
      </w:r>
    </w:p>
    <w:p w:rsid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The role of the semantic interoperability;</w:t>
      </w:r>
    </w:p>
    <w:p w:rsidR="00975392" w:rsidRP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The importance of sharing and reuse.</w:t>
      </w:r>
    </w:p>
    <w:p w:rsidR="00975392" w:rsidRP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The need of </w:t>
      </w:r>
      <w:proofErr w:type="gramStart"/>
      <w:r w:rsidRPr="00975392">
        <w:rPr>
          <w:rFonts w:ascii="Arial" w:hAnsi="Arial" w:cs="Arial"/>
          <w:color w:val="000000" w:themeColor="text1"/>
          <w:sz w:val="20"/>
          <w:szCs w:val="20"/>
          <w:lang w:val="en-US"/>
        </w:rPr>
        <w:t>a</w:t>
      </w:r>
      <w:proofErr w:type="gramEnd"/>
      <w:r w:rsidRPr="00975392">
        <w:rPr>
          <w:rFonts w:ascii="Arial" w:hAnsi="Arial" w:cs="Arial"/>
          <w:color w:val="000000" w:themeColor="text1"/>
          <w:sz w:val="20"/>
          <w:szCs w:val="20"/>
          <w:lang w:val="en-US"/>
        </w:rPr>
        <w:t xml:space="preserve"> EU Catalogue of Reusable eGovernment Core Vocabularies: </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Explain and justify the need</w:t>
      </w:r>
      <w:r>
        <w:rPr>
          <w:rFonts w:ascii="Arial" w:hAnsi="Arial" w:cs="Arial"/>
          <w:color w:val="000000" w:themeColor="text1"/>
          <w:sz w:val="20"/>
          <w:szCs w:val="20"/>
          <w:lang w:val="en-US"/>
        </w:rPr>
        <w:t xml:space="preserve">; </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lastRenderedPageBreak/>
        <w:t>Set the principles and recommendations for the identification and selection of reusable resources (</w:t>
      </w:r>
      <w:proofErr w:type="spellStart"/>
      <w:r w:rsidRPr="00975392">
        <w:rPr>
          <w:rFonts w:ascii="Arial" w:hAnsi="Arial" w:cs="Arial"/>
          <w:color w:val="000000" w:themeColor="text1"/>
          <w:sz w:val="20"/>
          <w:szCs w:val="20"/>
          <w:lang w:val="en-US"/>
        </w:rPr>
        <w:t>cfr</w:t>
      </w:r>
      <w:proofErr w:type="spellEnd"/>
      <w:r w:rsidRPr="00975392">
        <w:rPr>
          <w:rFonts w:ascii="Arial" w:hAnsi="Arial" w:cs="Arial"/>
          <w:color w:val="000000" w:themeColor="text1"/>
          <w:sz w:val="20"/>
          <w:szCs w:val="20"/>
          <w:lang w:val="en-US"/>
        </w:rPr>
        <w:t>. the pros-and-cons comment, below);</w:t>
      </w:r>
    </w:p>
    <w:p w:rsidR="00975392" w:rsidRP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Illustrate with examples.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Pr>
          <w:rFonts w:ascii="Arial" w:hAnsi="Arial" w:cs="Arial"/>
          <w:color w:val="000000" w:themeColor="text1"/>
          <w:sz w:val="20"/>
          <w:szCs w:val="20"/>
          <w:lang w:val="en-US"/>
        </w:rPr>
        <w:t xml:space="preserve">eGovernment </w:t>
      </w:r>
      <w:r w:rsidRPr="00975392">
        <w:rPr>
          <w:rFonts w:ascii="Arial" w:hAnsi="Arial" w:cs="Arial"/>
          <w:color w:val="000000" w:themeColor="text1"/>
          <w:sz w:val="20"/>
          <w:szCs w:val="20"/>
          <w:lang w:val="en-US"/>
        </w:rPr>
        <w:t xml:space="preserve">Core Vocabularies: </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Pr>
          <w:rFonts w:ascii="Arial" w:hAnsi="Arial" w:cs="Arial"/>
          <w:color w:val="000000" w:themeColor="text1"/>
          <w:sz w:val="20"/>
          <w:szCs w:val="20"/>
          <w:lang w:val="en-US"/>
        </w:rPr>
        <w:t xml:space="preserve">Definition, </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Pr>
          <w:rFonts w:ascii="Arial" w:hAnsi="Arial" w:cs="Arial"/>
          <w:color w:val="000000" w:themeColor="text1"/>
          <w:sz w:val="20"/>
          <w:szCs w:val="20"/>
          <w:lang w:val="en-US"/>
        </w:rPr>
        <w:t>What’s in ‘core’,</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Who</w:t>
      </w:r>
      <w:r>
        <w:rPr>
          <w:rFonts w:ascii="Arial" w:hAnsi="Arial" w:cs="Arial"/>
          <w:color w:val="000000" w:themeColor="text1"/>
          <w:sz w:val="20"/>
          <w:szCs w:val="20"/>
          <w:lang w:val="en-US"/>
        </w:rPr>
        <w:t xml:space="preserve"> are they for?</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Pr>
          <w:rFonts w:ascii="Arial" w:hAnsi="Arial" w:cs="Arial"/>
          <w:color w:val="000000" w:themeColor="text1"/>
          <w:sz w:val="20"/>
          <w:szCs w:val="20"/>
          <w:lang w:val="en-US"/>
        </w:rPr>
        <w:t>W</w:t>
      </w:r>
      <w:r w:rsidRPr="00975392">
        <w:rPr>
          <w:rFonts w:ascii="Arial" w:hAnsi="Arial" w:cs="Arial"/>
          <w:color w:val="000000" w:themeColor="text1"/>
          <w:sz w:val="20"/>
          <w:szCs w:val="20"/>
          <w:lang w:val="en-US"/>
        </w:rPr>
        <w:t>hen and how to develop a new eGovernment Core Vocabulary:</w:t>
      </w:r>
      <w:r>
        <w:rPr>
          <w:rFonts w:ascii="Arial" w:hAnsi="Arial" w:cs="Arial"/>
          <w:color w:val="000000" w:themeColor="text1"/>
          <w:sz w:val="20"/>
          <w:szCs w:val="20"/>
          <w:lang w:val="en-US"/>
        </w:rPr>
        <w:t xml:space="preserve"> </w:t>
      </w:r>
    </w:p>
    <w:p w:rsidR="00975392" w:rsidRDefault="00975392" w:rsidP="00975392">
      <w:pPr>
        <w:pStyle w:val="Prrafodelista"/>
        <w:numPr>
          <w:ilvl w:val="0"/>
          <w:numId w:val="3"/>
        </w:numPr>
        <w:autoSpaceDE w:val="0"/>
        <w:autoSpaceDN w:val="0"/>
        <w:adjustRightInd w:val="0"/>
        <w:spacing w:line="360" w:lineRule="atLeast"/>
        <w:rPr>
          <w:rFonts w:ascii="Arial" w:hAnsi="Arial" w:cs="Arial"/>
          <w:color w:val="000000" w:themeColor="text1"/>
          <w:sz w:val="20"/>
          <w:szCs w:val="20"/>
          <w:lang w:val="en-US"/>
        </w:rPr>
      </w:pPr>
      <w:r>
        <w:rPr>
          <w:rFonts w:ascii="Arial" w:hAnsi="Arial" w:cs="Arial"/>
          <w:color w:val="000000" w:themeColor="text1"/>
          <w:sz w:val="20"/>
          <w:szCs w:val="20"/>
          <w:lang w:val="en-US"/>
        </w:rPr>
        <w:t>Recap: ‘the s</w:t>
      </w:r>
      <w:r w:rsidRPr="00975392">
        <w:rPr>
          <w:rFonts w:ascii="Arial" w:hAnsi="Arial" w:cs="Arial"/>
          <w:color w:val="000000" w:themeColor="text1"/>
          <w:sz w:val="20"/>
          <w:szCs w:val="20"/>
          <w:lang w:val="en-US"/>
        </w:rPr>
        <w:t>tory-line</w:t>
      </w:r>
      <w:r>
        <w:rPr>
          <w:rFonts w:ascii="Arial" w:hAnsi="Arial" w:cs="Arial"/>
          <w:color w:val="000000" w:themeColor="text1"/>
          <w:sz w:val="20"/>
          <w:szCs w:val="20"/>
          <w:lang w:val="en-US"/>
        </w:rPr>
        <w:t>’ (illustrate the end-to-end process, including the identification of the need, roles, actions, groups and flows of tasks, etc.)</w:t>
      </w:r>
      <w:r w:rsidRPr="00975392">
        <w:rPr>
          <w:rFonts w:ascii="Arial" w:hAnsi="Arial" w:cs="Arial"/>
          <w:color w:val="000000" w:themeColor="text1"/>
          <w:sz w:val="20"/>
          <w:szCs w:val="20"/>
          <w:lang w:val="en-US"/>
        </w:rPr>
        <w:t>.</w:t>
      </w:r>
    </w:p>
    <w:p w:rsidR="00975392" w:rsidRPr="00975392" w:rsidRDefault="00975392" w:rsidP="00363D20">
      <w:pPr>
        <w:pStyle w:val="Prrafodelista"/>
        <w:numPr>
          <w:ilvl w:val="0"/>
          <w:numId w:val="1"/>
        </w:num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The need</w:t>
      </w:r>
      <w:r w:rsidRPr="00975392">
        <w:rPr>
          <w:rFonts w:ascii="Arial" w:hAnsi="Arial" w:cs="Arial"/>
          <w:color w:val="000000" w:themeColor="text1"/>
          <w:sz w:val="20"/>
          <w:szCs w:val="20"/>
          <w:lang w:val="en-US"/>
        </w:rPr>
        <w:t xml:space="preserve"> </w:t>
      </w:r>
      <w:proofErr w:type="spellStart"/>
      <w:r w:rsidRPr="00975392">
        <w:rPr>
          <w:rFonts w:ascii="Arial" w:hAnsi="Arial" w:cs="Arial"/>
          <w:color w:val="000000" w:themeColor="text1"/>
          <w:sz w:val="20"/>
          <w:szCs w:val="20"/>
          <w:lang w:val="en-US"/>
        </w:rPr>
        <w:t>to</w:t>
      </w:r>
      <w:proofErr w:type="spellEnd"/>
      <w:r w:rsidRPr="00975392">
        <w:rPr>
          <w:rFonts w:ascii="Arial" w:hAnsi="Arial" w:cs="Arial"/>
          <w:color w:val="000000" w:themeColor="text1"/>
          <w:sz w:val="20"/>
          <w:szCs w:val="20"/>
          <w:lang w:val="en-US"/>
        </w:rPr>
        <w:t xml:space="preserve"> share a new eGovernment Core Vocabulary (Sharing-by-desig</w:t>
      </w:r>
      <w:r w:rsidRPr="00975392">
        <w:rPr>
          <w:rFonts w:ascii="Arial" w:hAnsi="Arial" w:cs="Arial"/>
          <w:color w:val="000000" w:themeColor="text1"/>
          <w:sz w:val="20"/>
          <w:szCs w:val="20"/>
          <w:lang w:val="en-US"/>
        </w:rPr>
        <w:t>n</w:t>
      </w:r>
      <w:r>
        <w:rPr>
          <w:rStyle w:val="Refdenotaalpie"/>
          <w:rFonts w:ascii="Arial" w:hAnsi="Arial" w:cs="Arial"/>
          <w:color w:val="000000" w:themeColor="text1"/>
          <w:sz w:val="20"/>
          <w:szCs w:val="20"/>
          <w:lang w:val="en-US"/>
        </w:rPr>
        <w:footnoteReference w:id="1"/>
      </w:r>
      <w:r w:rsidRPr="00975392">
        <w:rPr>
          <w:rFonts w:ascii="Arial" w:hAnsi="Arial" w:cs="Arial"/>
          <w:color w:val="000000" w:themeColor="text1"/>
          <w:sz w:val="20"/>
          <w:szCs w:val="20"/>
          <w:lang w:val="en-US"/>
        </w:rPr>
        <w:t>)</w:t>
      </w:r>
      <w:r w:rsidRPr="00975392">
        <w:rPr>
          <w:rFonts w:ascii="Arial" w:hAnsi="Arial" w:cs="Arial"/>
          <w:color w:val="000000" w:themeColor="text1"/>
          <w:sz w:val="20"/>
          <w:szCs w:val="20"/>
          <w:lang w:val="en-US"/>
        </w:rPr>
        <w:t xml:space="preserve">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Principles and recommendations for the governance of eGovernment Core Vocabularies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Introduce the Style Guides as an enabler of the semantic interoperability:</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What are the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How the Style Guides enable semantic interoperability;</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Why they should be systematically applied, by whom, under what circumstances (what for, etc.)</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Application Profiles: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Who, when and how to develop Application Profiles: story-line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Are APs shareable and reusable? When, how?</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Principles and recommendations for the governance of APs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Introduce the Style Guides as an enabler of the semantic interoperability:</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What are the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How the Style Guides enable semantic interoperability;</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lastRenderedPageBreak/>
        <w:t xml:space="preserve">    ** Why they should be systematically applied, by whom, under what circumstances (what for, etc.)</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Audience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Project leaders and technical implementers. Rationale for these targets is provided in farther sections below.</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Goals and content</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The revision of the current content of the eGovernment Core Vocabularies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COMMENT 1: Pros and Cons about the reuse of vocabularies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General considerations: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Sharing and reuse do not affect only vocabularies, but any potentially reusable 'semantic interoperability solution' (i.e. ontological and non-ontological resources, including core vocabularies, controlled vocabularies, validations artefacts, etc.). This argument should be clearly stated and illustrated both in the handbook and the guides.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xml:space="preserve">=== Pros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Based on abundant literature on this </w:t>
      </w:r>
      <w:proofErr w:type="spellStart"/>
      <w:proofErr w:type="gramStart"/>
      <w:r w:rsidRPr="00975392">
        <w:rPr>
          <w:rFonts w:ascii="Arial" w:hAnsi="Arial" w:cs="Arial"/>
          <w:color w:val="000000" w:themeColor="text1"/>
          <w:sz w:val="20"/>
          <w:szCs w:val="20"/>
          <w:lang w:val="en-US"/>
        </w:rPr>
        <w:t>topicfootnote</w:t>
      </w:r>
      <w:proofErr w:type="spellEnd"/>
      <w:r w:rsidRPr="00975392">
        <w:rPr>
          <w:rFonts w:ascii="Arial" w:hAnsi="Arial" w:cs="Arial"/>
          <w:color w:val="000000" w:themeColor="text1"/>
          <w:sz w:val="20"/>
          <w:szCs w:val="20"/>
          <w:lang w:val="en-US"/>
        </w:rPr>
        <w:t>:[</w:t>
      </w:r>
      <w:proofErr w:type="gramEnd"/>
      <w:r w:rsidRPr="00975392">
        <w:rPr>
          <w:rFonts w:ascii="Arial" w:hAnsi="Arial" w:cs="Arial"/>
          <w:color w:val="000000" w:themeColor="text1"/>
          <w:sz w:val="20"/>
          <w:szCs w:val="20"/>
          <w:lang w:val="en-US"/>
        </w:rPr>
        <w:t>See http://www.heppnetz.de/files/dke2008.pdf and https://papers.ssrn.com/sol3/papers.cfm?abstract_id=3315457, as well as ISA2 Actions such as Sharing and Reuse, CAMSS, SEMIC governance, etc.]:</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*Semantic interoperability*</w:t>
      </w:r>
      <w:r w:rsidRPr="00975392">
        <w:rPr>
          <w:rFonts w:ascii="Arial" w:hAnsi="Arial" w:cs="Arial"/>
          <w:color w:val="000000" w:themeColor="text1"/>
          <w:sz w:val="20"/>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*Modularity*</w:t>
      </w:r>
      <w:r w:rsidRPr="00975392">
        <w:rPr>
          <w:rFonts w:ascii="Arial" w:hAnsi="Arial" w:cs="Arial"/>
          <w:color w:val="000000" w:themeColor="text1"/>
          <w:sz w:val="20"/>
          <w:szCs w:val="20"/>
          <w:lang w:val="en-US"/>
        </w:rPr>
        <w:t>: modularity is promoted in front of monolithic solutions.  Modularity is the architectural approach making possible the Structural Interoperability. The more modular the more reusable;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w:t>
      </w:r>
      <w:proofErr w:type="spellStart"/>
      <w:r w:rsidRPr="00975392">
        <w:rPr>
          <w:rFonts w:ascii="Arial" w:hAnsi="Arial" w:cs="Arial"/>
          <w:b/>
          <w:bCs/>
          <w:color w:val="000000" w:themeColor="text1"/>
          <w:sz w:val="20"/>
          <w:szCs w:val="20"/>
          <w:lang w:val="en-US"/>
        </w:rPr>
        <w:t>Standardisation</w:t>
      </w:r>
      <w:proofErr w:type="spellEnd"/>
      <w:r w:rsidRPr="00975392">
        <w:rPr>
          <w:rFonts w:ascii="Arial" w:hAnsi="Arial" w:cs="Arial"/>
          <w:b/>
          <w:bCs/>
          <w:color w:val="000000" w:themeColor="text1"/>
          <w:sz w:val="20"/>
          <w:szCs w:val="20"/>
          <w:lang w:val="en-US"/>
        </w:rPr>
        <w:t>*</w:t>
      </w:r>
      <w:r w:rsidRPr="00975392">
        <w:rPr>
          <w:rFonts w:ascii="Arial" w:hAnsi="Arial" w:cs="Arial"/>
          <w:color w:val="000000" w:themeColor="text1"/>
          <w:sz w:val="20"/>
          <w:szCs w:val="20"/>
          <w:lang w:val="en-US"/>
        </w:rPr>
        <w:t xml:space="preserve">: openly sharing modular components promotes the </w:t>
      </w:r>
      <w:proofErr w:type="spellStart"/>
      <w:r w:rsidRPr="00975392">
        <w:rPr>
          <w:rFonts w:ascii="Arial" w:hAnsi="Arial" w:cs="Arial"/>
          <w:color w:val="000000" w:themeColor="text1"/>
          <w:sz w:val="20"/>
          <w:szCs w:val="20"/>
          <w:lang w:val="en-US"/>
        </w:rPr>
        <w:t>standardisation</w:t>
      </w:r>
      <w:proofErr w:type="spellEnd"/>
      <w:r w:rsidRPr="00975392">
        <w:rPr>
          <w:rFonts w:ascii="Arial" w:hAnsi="Arial" w:cs="Arial"/>
          <w:color w:val="000000" w:themeColor="text1"/>
          <w:sz w:val="20"/>
          <w:szCs w:val="20"/>
          <w:lang w:val="en-US"/>
        </w:rPr>
        <w:t xml:space="preserve"> of semantic artefacts. The (re)use of open standards is one important recommendation in the EIF and a critical factor for the enablement of interoperability. One major benefit of open standards is the proliferation of compatible solutions that are Vendor-independent;</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*Data are the assets*</w:t>
      </w:r>
      <w:r w:rsidRPr="00975392">
        <w:rPr>
          <w:rFonts w:ascii="Arial" w:hAnsi="Arial" w:cs="Arial"/>
          <w:color w:val="000000" w:themeColor="text1"/>
          <w:sz w:val="20"/>
          <w:szCs w:val="20"/>
          <w:lang w:val="en-US"/>
        </w:rPr>
        <w:t>: the reuse of standard vocabularies and ontologies provide the opportunity to consume existing and up-to-the-date datasets. These data are invaluable assets for the implementation of the Public Service Policy and the Digital Public Service Delivery.</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*Focus and time-to-market*</w:t>
      </w:r>
      <w:r w:rsidRPr="00975392">
        <w:rPr>
          <w:rFonts w:ascii="Arial" w:hAnsi="Arial" w:cs="Arial"/>
          <w:color w:val="000000" w:themeColor="text1"/>
          <w:sz w:val="20"/>
          <w:szCs w:val="20"/>
          <w:lang w:val="en-US"/>
        </w:rPr>
        <w:t>: the reuse of open standard domain-agnostic semantic artefacts, e.g. ontological and linguistic resources, allows policy, business and technical implementers to focus on the domain problems to be solved. This also reduces the cost of maintenance and evolution and boosts the time-to-market;</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 xml:space="preserve">*Stability and </w:t>
      </w:r>
      <w:proofErr w:type="spellStart"/>
      <w:r w:rsidRPr="00975392">
        <w:rPr>
          <w:rFonts w:ascii="Arial" w:hAnsi="Arial" w:cs="Arial"/>
          <w:b/>
          <w:bCs/>
          <w:color w:val="000000" w:themeColor="text1"/>
          <w:sz w:val="20"/>
          <w:szCs w:val="20"/>
          <w:lang w:val="en-US"/>
        </w:rPr>
        <w:t>sustainabililty</w:t>
      </w:r>
      <w:proofErr w:type="spellEnd"/>
      <w:r w:rsidRPr="00975392">
        <w:rPr>
          <w:rFonts w:ascii="Arial" w:hAnsi="Arial" w:cs="Arial"/>
          <w:b/>
          <w:bCs/>
          <w:color w:val="000000" w:themeColor="text1"/>
          <w:sz w:val="20"/>
          <w:szCs w:val="20"/>
          <w:lang w:val="en-US"/>
        </w:rPr>
        <w:t>*</w:t>
      </w:r>
      <w:r w:rsidRPr="00975392">
        <w:rPr>
          <w:rFonts w:ascii="Arial" w:hAnsi="Arial" w:cs="Arial"/>
          <w:color w:val="000000" w:themeColor="text1"/>
          <w:sz w:val="20"/>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975392">
        <w:rPr>
          <w:rFonts w:ascii="Arial" w:hAnsi="Arial" w:cs="Arial"/>
          <w:color w:val="000000" w:themeColor="text1"/>
          <w:sz w:val="20"/>
          <w:szCs w:val="20"/>
          <w:lang w:val="en-US"/>
        </w:rPr>
        <w:t>SDO  or</w:t>
      </w:r>
      <w:proofErr w:type="gramEnd"/>
      <w:r w:rsidRPr="00975392">
        <w:rPr>
          <w:rFonts w:ascii="Arial" w:hAnsi="Arial" w:cs="Arial"/>
          <w:color w:val="000000" w:themeColor="text1"/>
          <w:sz w:val="20"/>
          <w:szCs w:val="20"/>
          <w:lang w:val="en-US"/>
        </w:rPr>
        <w:t xml:space="preserve"> Community ensuring the open access to their governance processes and developments. Also, these </w:t>
      </w:r>
      <w:proofErr w:type="spellStart"/>
      <w:r w:rsidRPr="00975392">
        <w:rPr>
          <w:rFonts w:ascii="Arial" w:hAnsi="Arial" w:cs="Arial"/>
          <w:color w:val="000000" w:themeColor="text1"/>
          <w:sz w:val="20"/>
          <w:szCs w:val="20"/>
          <w:lang w:val="en-US"/>
        </w:rPr>
        <w:t>organisations</w:t>
      </w:r>
      <w:proofErr w:type="spellEnd"/>
      <w:r w:rsidRPr="00975392">
        <w:rPr>
          <w:rFonts w:ascii="Arial" w:hAnsi="Arial" w:cs="Arial"/>
          <w:color w:val="000000" w:themeColor="text1"/>
          <w:sz w:val="20"/>
          <w:szCs w:val="20"/>
          <w:lang w:val="en-US"/>
        </w:rPr>
        <w:t xml:space="preserve"> have special interest </w:t>
      </w:r>
      <w:proofErr w:type="gramStart"/>
      <w:r w:rsidRPr="00975392">
        <w:rPr>
          <w:rFonts w:ascii="Arial" w:hAnsi="Arial" w:cs="Arial"/>
          <w:color w:val="000000" w:themeColor="text1"/>
          <w:sz w:val="20"/>
          <w:szCs w:val="20"/>
          <w:lang w:val="en-US"/>
        </w:rPr>
        <w:t>in  1</w:t>
      </w:r>
      <w:proofErr w:type="gramEnd"/>
      <w:r w:rsidRPr="00975392">
        <w:rPr>
          <w:rFonts w:ascii="Arial" w:hAnsi="Arial" w:cs="Arial"/>
          <w:color w:val="000000" w:themeColor="text1"/>
          <w:sz w:val="20"/>
          <w:szCs w:val="20"/>
          <w:lang w:val="en-US"/>
        </w:rPr>
        <w:t xml:space="preserve">) releasing stable developments (i.e. provenly usable), and 2) ensuring backwards compatibility. This benefits directly the business and digital continuity, which are critical for the </w:t>
      </w:r>
      <w:proofErr w:type="spellStart"/>
      <w:r w:rsidRPr="00975392">
        <w:rPr>
          <w:rFonts w:ascii="Arial" w:hAnsi="Arial" w:cs="Arial"/>
          <w:color w:val="000000" w:themeColor="text1"/>
          <w:sz w:val="20"/>
          <w:szCs w:val="20"/>
          <w:lang w:val="en-US"/>
        </w:rPr>
        <w:t>the</w:t>
      </w:r>
      <w:proofErr w:type="spellEnd"/>
      <w:r w:rsidRPr="00975392">
        <w:rPr>
          <w:rFonts w:ascii="Arial" w:hAnsi="Arial" w:cs="Arial"/>
          <w:color w:val="000000" w:themeColor="text1"/>
          <w:sz w:val="20"/>
          <w:szCs w:val="20"/>
          <w:lang w:val="en-US"/>
        </w:rPr>
        <w:t xml:space="preserve"> long-term sustainability of the Public Services and the justification of the investment in their development and maintenance.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xml:space="preserve">=== Cons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*Etiquette Compatibility*</w:t>
      </w:r>
      <w:r w:rsidRPr="00975392">
        <w:rPr>
          <w:rFonts w:ascii="Arial" w:hAnsi="Arial" w:cs="Arial"/>
          <w:color w:val="000000" w:themeColor="text1"/>
          <w:sz w:val="20"/>
          <w:szCs w:val="20"/>
          <w:lang w:val="en-US"/>
        </w:rPr>
        <w:t xml:space="preserve"> </w:t>
      </w:r>
      <w:proofErr w:type="gramStart"/>
      <w:r w:rsidRPr="00975392">
        <w:rPr>
          <w:rFonts w:ascii="Arial" w:hAnsi="Arial" w:cs="Arial"/>
          <w:color w:val="000000" w:themeColor="text1"/>
          <w:sz w:val="20"/>
          <w:szCs w:val="20"/>
          <w:lang w:val="en-US"/>
        </w:rPr>
        <w:t>footnote:[</w:t>
      </w:r>
      <w:proofErr w:type="gramEnd"/>
      <w:r w:rsidRPr="00975392">
        <w:rPr>
          <w:rFonts w:ascii="Arial" w:hAnsi="Arial" w:cs="Arial"/>
          <w:color w:val="000000" w:themeColor="text1"/>
          <w:sz w:val="20"/>
          <w:szCs w:val="20"/>
          <w:lang w:val="en-US"/>
        </w:rPr>
        <w:t>The term '</w:t>
      </w:r>
      <w:proofErr w:type="spellStart"/>
      <w:r w:rsidRPr="00975392">
        <w:rPr>
          <w:rFonts w:ascii="Arial" w:hAnsi="Arial" w:cs="Arial"/>
          <w:color w:val="000000" w:themeColor="text1"/>
          <w:sz w:val="20"/>
          <w:szCs w:val="20"/>
          <w:lang w:val="en-US"/>
        </w:rPr>
        <w:t>ettiquette</w:t>
      </w:r>
      <w:proofErr w:type="spellEnd"/>
      <w:r w:rsidRPr="00975392">
        <w:rPr>
          <w:rFonts w:ascii="Arial" w:hAnsi="Arial" w:cs="Arial"/>
          <w:color w:val="000000" w:themeColor="text1"/>
          <w:sz w:val="20"/>
          <w:szCs w:val="20"/>
          <w:lang w:val="en-US"/>
        </w:rPr>
        <w:t xml:space="preserve">' is used in some scientific literature about interoperability. It has been applied related to the ICT communications fields to refer to 'protocols of protocols', to 'content-negotiation' and to 'syntax-bridging'. </w:t>
      </w:r>
      <w:proofErr w:type="spellStart"/>
      <w:r w:rsidRPr="00975392">
        <w:rPr>
          <w:rFonts w:ascii="Arial" w:hAnsi="Arial" w:cs="Arial"/>
          <w:color w:val="000000" w:themeColor="text1"/>
          <w:sz w:val="20"/>
          <w:szCs w:val="20"/>
          <w:lang w:val="en-US"/>
        </w:rPr>
        <w:t>Cfr</w:t>
      </w:r>
      <w:proofErr w:type="spellEnd"/>
      <w:r w:rsidRPr="00975392">
        <w:rPr>
          <w:rFonts w:ascii="Arial" w:hAnsi="Arial" w:cs="Arial"/>
          <w:color w:val="000000" w:themeColor="text1"/>
          <w:sz w:val="20"/>
          <w:szCs w:val="20"/>
          <w:lang w:val="en-US"/>
        </w:rPr>
        <w:t xml:space="preserve">. XXXXX-REFERENCE]: A frequent situation is that SDO and Communities developing vocabularies couple their conceptual models to specific design and implementation paradigms. Thus, many vocabularies that are of the interest of SEMIC are only available as RDF models (some of them are not even represented graphically). </w:t>
      </w:r>
      <w:r w:rsidRPr="00975392">
        <w:rPr>
          <w:rFonts w:ascii="Arial" w:hAnsi="Arial" w:cs="Arial"/>
          <w:color w:val="000000" w:themeColor="text1"/>
          <w:sz w:val="20"/>
          <w:szCs w:val="20"/>
          <w:lang w:val="en-US"/>
        </w:rPr>
        <w:lastRenderedPageBreak/>
        <w:t xml:space="preserve">Some SDO Technical Committees and vocabulary publishers (e.g. </w:t>
      </w:r>
      <w:proofErr w:type="spellStart"/>
      <w:proofErr w:type="gramStart"/>
      <w:r w:rsidRPr="00975392">
        <w:rPr>
          <w:rFonts w:ascii="Arial" w:hAnsi="Arial" w:cs="Arial"/>
          <w:color w:val="000000" w:themeColor="text1"/>
          <w:sz w:val="20"/>
          <w:szCs w:val="20"/>
          <w:lang w:val="en-US"/>
        </w:rPr>
        <w:t>link:https</w:t>
      </w:r>
      <w:proofErr w:type="spellEnd"/>
      <w:r w:rsidRPr="00975392">
        <w:rPr>
          <w:rFonts w:ascii="Arial" w:hAnsi="Arial" w:cs="Arial"/>
          <w:color w:val="000000" w:themeColor="text1"/>
          <w:sz w:val="20"/>
          <w:szCs w:val="20"/>
          <w:lang w:val="en-US"/>
        </w:rPr>
        <w:t>://docs.oasis-open.org/</w:t>
      </w:r>
      <w:proofErr w:type="spellStart"/>
      <w:r w:rsidRPr="00975392">
        <w:rPr>
          <w:rFonts w:ascii="Arial" w:hAnsi="Arial" w:cs="Arial"/>
          <w:color w:val="000000" w:themeColor="text1"/>
          <w:sz w:val="20"/>
          <w:szCs w:val="20"/>
          <w:lang w:val="en-US"/>
        </w:rPr>
        <w:t>ubl</w:t>
      </w:r>
      <w:proofErr w:type="spellEnd"/>
      <w:r w:rsidRPr="00975392">
        <w:rPr>
          <w:rFonts w:ascii="Arial" w:hAnsi="Arial" w:cs="Arial"/>
          <w:color w:val="000000" w:themeColor="text1"/>
          <w:sz w:val="20"/>
          <w:szCs w:val="20"/>
          <w:lang w:val="en-US"/>
        </w:rPr>
        <w:t>/UBL-2.3.html</w:t>
      </w:r>
      <w:proofErr w:type="gramEnd"/>
      <w:r w:rsidRPr="00975392">
        <w:rPr>
          <w:rFonts w:ascii="Arial" w:hAnsi="Arial" w:cs="Arial"/>
          <w:color w:val="000000" w:themeColor="text1"/>
          <w:sz w:val="20"/>
          <w:szCs w:val="20"/>
          <w:lang w:val="en-US"/>
        </w:rPr>
        <w:t>[OASIS UBL], the Publications Office of the European Union footnote:[</w:t>
      </w:r>
      <w:proofErr w:type="spellStart"/>
      <w:r w:rsidRPr="00975392">
        <w:rPr>
          <w:rFonts w:ascii="Arial" w:hAnsi="Arial" w:cs="Arial"/>
          <w:color w:val="000000" w:themeColor="text1"/>
          <w:sz w:val="20"/>
          <w:szCs w:val="20"/>
          <w:lang w:val="en-US"/>
        </w:rPr>
        <w:t>link:https</w:t>
      </w:r>
      <w:proofErr w:type="spellEnd"/>
      <w:r w:rsidRPr="00975392">
        <w:rPr>
          <w:rFonts w:ascii="Arial" w:hAnsi="Arial" w:cs="Arial"/>
          <w:color w:val="000000" w:themeColor="text1"/>
          <w:sz w:val="20"/>
          <w:szCs w:val="20"/>
          <w:lang w:val="en-US"/>
        </w:rPr>
        <w:t>://docs.oasis-open.org/</w:t>
      </w:r>
      <w:proofErr w:type="spellStart"/>
      <w:r w:rsidRPr="00975392">
        <w:rPr>
          <w:rFonts w:ascii="Arial" w:hAnsi="Arial" w:cs="Arial"/>
          <w:color w:val="000000" w:themeColor="text1"/>
          <w:sz w:val="20"/>
          <w:szCs w:val="20"/>
          <w:lang w:val="en-US"/>
        </w:rPr>
        <w:t>ubl</w:t>
      </w:r>
      <w:proofErr w:type="spellEnd"/>
      <w:r w:rsidRPr="00975392">
        <w:rPr>
          <w:rFonts w:ascii="Arial" w:hAnsi="Arial" w:cs="Arial"/>
          <w:color w:val="000000" w:themeColor="text1"/>
          <w:sz w:val="20"/>
          <w:szCs w:val="20"/>
          <w:lang w:val="en-US"/>
        </w:rPr>
        <w:t xml:space="preserve">/UBL-2.3.html[UBL] produces W3C XSD and JSON Schemas. OP's https://op.europa.eu/en/web/eu-vocabularies[EU Vocabularies] publishes all the authority tables in different formats, XML, HTML, SKOS, </w:t>
      </w:r>
      <w:proofErr w:type="spellStart"/>
      <w:r w:rsidRPr="00975392">
        <w:rPr>
          <w:rFonts w:ascii="Arial" w:hAnsi="Arial" w:cs="Arial"/>
          <w:color w:val="000000" w:themeColor="text1"/>
          <w:sz w:val="20"/>
          <w:szCs w:val="20"/>
          <w:lang w:val="en-US"/>
        </w:rPr>
        <w:t>Genericode</w:t>
      </w:r>
      <w:proofErr w:type="spellEnd"/>
      <w:r w:rsidRPr="00975392">
        <w:rPr>
          <w:rFonts w:ascii="Arial" w:hAnsi="Arial" w:cs="Arial"/>
          <w:color w:val="000000" w:themeColor="text1"/>
          <w:sz w:val="20"/>
          <w:szCs w:val="20"/>
          <w:lang w:val="en-US"/>
        </w:rPr>
        <w:t xml:space="preserv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w:t>
      </w:r>
      <w:proofErr w:type="spellStart"/>
      <w:r w:rsidRPr="00975392">
        <w:rPr>
          <w:rFonts w:ascii="Arial" w:hAnsi="Arial" w:cs="Arial"/>
          <w:color w:val="000000" w:themeColor="text1"/>
          <w:sz w:val="20"/>
          <w:szCs w:val="20"/>
          <w:lang w:val="en-US"/>
        </w:rPr>
        <w:t>rdf:resource</w:t>
      </w:r>
      <w:proofErr w:type="spellEnd"/>
      <w:r w:rsidRPr="00975392">
        <w:rPr>
          <w:rFonts w:ascii="Arial" w:hAnsi="Arial" w:cs="Arial"/>
          <w:color w:val="000000" w:themeColor="text1"/>
          <w:sz w:val="20"/>
          <w:szCs w:val="20"/>
          <w:lang w:val="en-US"/>
        </w:rPr>
        <w:t xml:space="preserve"> to either </w:t>
      </w:r>
      <w:proofErr w:type="spellStart"/>
      <w:proofErr w:type="gramStart"/>
      <w:r w:rsidRPr="00975392">
        <w:rPr>
          <w:rFonts w:ascii="Arial" w:hAnsi="Arial" w:cs="Arial"/>
          <w:color w:val="000000" w:themeColor="text1"/>
          <w:sz w:val="20"/>
          <w:szCs w:val="20"/>
          <w:lang w:val="en-US"/>
        </w:rPr>
        <w:t>xsd:anyURI</w:t>
      </w:r>
      <w:proofErr w:type="spellEnd"/>
      <w:proofErr w:type="gramEnd"/>
      <w:r w:rsidRPr="00975392">
        <w:rPr>
          <w:rFonts w:ascii="Arial" w:hAnsi="Arial" w:cs="Arial"/>
          <w:color w:val="000000" w:themeColor="text1"/>
          <w:sz w:val="20"/>
          <w:szCs w:val="20"/>
          <w:lang w:val="en-US"/>
        </w:rPr>
        <w:t xml:space="preserve"> or </w:t>
      </w:r>
      <w:proofErr w:type="spellStart"/>
      <w:r w:rsidRPr="00975392">
        <w:rPr>
          <w:rFonts w:ascii="Arial" w:hAnsi="Arial" w:cs="Arial"/>
          <w:color w:val="000000" w:themeColor="text1"/>
          <w:sz w:val="20"/>
          <w:szCs w:val="20"/>
          <w:lang w:val="en-US"/>
        </w:rPr>
        <w:t>xsd:anyType</w:t>
      </w:r>
      <w:proofErr w:type="spellEnd"/>
      <w:r w:rsidRPr="00975392">
        <w:rPr>
          <w:rFonts w:ascii="Arial" w:hAnsi="Arial" w:cs="Arial"/>
          <w:color w:val="000000" w:themeColor="text1"/>
          <w:sz w:val="20"/>
          <w:szCs w:val="20"/>
          <w:lang w:val="en-US"/>
        </w:rPr>
        <w:t>). These actions should to be reported back to the SDO maintaining the specification, as well as the need of decoupling the model from the technological aspects (and producing alternative syntax-bindings). In the meantime, the situation described imposes: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The need of constantly watch the evolution of the SDO's works;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The need of maintaining the inner developments that depend on the SDO's works evolution;</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The need of re-adapting tools and solutions;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The need of well communicating and disseminating the evolution of the inner works originated by this evolution imposed from the outside;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w:t>
      </w:r>
      <w:proofErr w:type="spellStart"/>
      <w:r w:rsidRPr="00975392">
        <w:rPr>
          <w:rFonts w:ascii="Arial" w:hAnsi="Arial" w:cs="Arial"/>
          <w:b/>
          <w:bCs/>
          <w:color w:val="000000" w:themeColor="text1"/>
          <w:sz w:val="20"/>
          <w:szCs w:val="20"/>
          <w:lang w:val="en-US"/>
        </w:rPr>
        <w:t>Adaptibility</w:t>
      </w:r>
      <w:proofErr w:type="spellEnd"/>
      <w:r w:rsidRPr="00975392">
        <w:rPr>
          <w:rFonts w:ascii="Arial" w:hAnsi="Arial" w:cs="Arial"/>
          <w:b/>
          <w:bCs/>
          <w:color w:val="000000" w:themeColor="text1"/>
          <w:sz w:val="20"/>
          <w:szCs w:val="20"/>
          <w:lang w:val="en-US"/>
        </w:rPr>
        <w:t>*</w:t>
      </w:r>
      <w:r w:rsidRPr="00975392">
        <w:rPr>
          <w:rFonts w:ascii="Arial" w:hAnsi="Arial" w:cs="Arial"/>
          <w:color w:val="000000" w:themeColor="text1"/>
          <w:sz w:val="20"/>
          <w:szCs w:val="20"/>
          <w:lang w:val="en-US"/>
        </w:rPr>
        <w:t xml:space="preserve">: One of the problems of reusing externally governed resources is that requirements that should fall within the compass of one resource, e.g. one vocabulary, are not covered sufficiently or at all. When this happens, the alternatives are not always viable and need to be dealt with internally. At least three situations can be identified related to this problem: pace, </w:t>
      </w:r>
      <w:proofErr w:type="spellStart"/>
      <w:r w:rsidRPr="00975392">
        <w:rPr>
          <w:rFonts w:ascii="Arial" w:hAnsi="Arial" w:cs="Arial"/>
          <w:color w:val="000000" w:themeColor="text1"/>
          <w:sz w:val="20"/>
          <w:szCs w:val="20"/>
          <w:lang w:val="en-US"/>
        </w:rPr>
        <w:t>customisation</w:t>
      </w:r>
      <w:proofErr w:type="spellEnd"/>
      <w:r w:rsidRPr="00975392">
        <w:rPr>
          <w:rFonts w:ascii="Arial" w:hAnsi="Arial" w:cs="Arial"/>
          <w:color w:val="000000" w:themeColor="text1"/>
          <w:sz w:val="20"/>
          <w:szCs w:val="20"/>
          <w:lang w:val="en-US"/>
        </w:rPr>
        <w:t xml:space="preserve"> and extensibility. The identification of these situations is a relevant task when building the catalogue of reusable ontological and linguistic resources.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t>
      </w:r>
      <w:r w:rsidRPr="00975392">
        <w:rPr>
          <w:rFonts w:ascii="Arial" w:hAnsi="Arial" w:cs="Arial"/>
          <w:i/>
          <w:iCs/>
          <w:color w:val="000000" w:themeColor="text1"/>
          <w:sz w:val="20"/>
          <w:szCs w:val="20"/>
          <w:lang w:val="en-US"/>
        </w:rPr>
        <w:t>_Pace_</w:t>
      </w:r>
      <w:r w:rsidRPr="00975392">
        <w:rPr>
          <w:rFonts w:ascii="Arial" w:hAnsi="Arial" w:cs="Arial"/>
          <w:color w:val="000000" w:themeColor="text1"/>
          <w:sz w:val="20"/>
          <w:szCs w:val="20"/>
          <w:lang w:val="en-US"/>
        </w:rPr>
        <w:t xml:space="preserve">: new legal and business requirements need to be introduced timely in the vocabularies. If the SDO responsible for the maintenance of the vocabulary is not reactive and adapts the pace of its developments to the [re]user needs, the user will need to either look for 1) adapting the vocabulary to its needs, 2) to come up with its own </w:t>
      </w:r>
      <w:r w:rsidRPr="00975392">
        <w:rPr>
          <w:rFonts w:ascii="Arial" w:hAnsi="Arial" w:cs="Arial"/>
          <w:i/>
          <w:iCs/>
          <w:color w:val="000000" w:themeColor="text1"/>
          <w:sz w:val="20"/>
          <w:szCs w:val="20"/>
          <w:lang w:val="en-US"/>
        </w:rPr>
        <w:t>_ad hoc_</w:t>
      </w:r>
      <w:r w:rsidRPr="00975392">
        <w:rPr>
          <w:rFonts w:ascii="Arial" w:hAnsi="Arial" w:cs="Arial"/>
          <w:color w:val="000000" w:themeColor="text1"/>
          <w:sz w:val="20"/>
          <w:szCs w:val="20"/>
          <w:lang w:val="en-US"/>
        </w:rPr>
        <w:t xml:space="preserve"> solution, or 3) look for combinations of alternative vocabularies that partially meet the user requirements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lastRenderedPageBreak/>
        <w:t xml:space="preserve">    footnote:[There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w:t>
      </w:r>
      <w:proofErr w:type="gramStart"/>
      <w:r w:rsidRPr="00975392">
        <w:rPr>
          <w:rFonts w:ascii="Arial" w:hAnsi="Arial" w:cs="Arial"/>
          <w:color w:val="000000" w:themeColor="text1"/>
          <w:sz w:val="20"/>
          <w:szCs w:val="20"/>
          <w:lang w:val="en-US"/>
        </w:rPr>
        <w:t>are</w:t>
      </w:r>
      <w:proofErr w:type="gramEnd"/>
      <w:r w:rsidRPr="00975392">
        <w:rPr>
          <w:rFonts w:ascii="Arial" w:hAnsi="Arial" w:cs="Arial"/>
          <w:color w:val="000000" w:themeColor="text1"/>
          <w:sz w:val="20"/>
          <w:szCs w:val="20"/>
          <w:lang w:val="en-US"/>
        </w:rPr>
        <w:t xml:space="preserve"> OASIS business-oriented TC, e.g. UBL, </w:t>
      </w:r>
      <w:proofErr w:type="spellStart"/>
      <w:r w:rsidRPr="00975392">
        <w:rPr>
          <w:rFonts w:ascii="Arial" w:hAnsi="Arial" w:cs="Arial"/>
          <w:color w:val="000000" w:themeColor="text1"/>
          <w:sz w:val="20"/>
          <w:szCs w:val="20"/>
          <w:lang w:val="en-US"/>
        </w:rPr>
        <w:t>LegalDocML</w:t>
      </w:r>
      <w:proofErr w:type="spellEnd"/>
      <w:r w:rsidRPr="00975392">
        <w:rPr>
          <w:rFonts w:ascii="Arial" w:hAnsi="Arial" w:cs="Arial"/>
          <w:color w:val="000000" w:themeColor="text1"/>
          <w:sz w:val="20"/>
          <w:szCs w:val="20"/>
          <w:lang w:val="en-US"/>
        </w:rPr>
        <w:t xml:space="preserve">, other.]. The optimal option would be the first one, that the </w:t>
      </w:r>
      <w:proofErr w:type="spellStart"/>
      <w:r w:rsidRPr="00975392">
        <w:rPr>
          <w:rFonts w:ascii="Arial" w:hAnsi="Arial" w:cs="Arial"/>
          <w:color w:val="000000" w:themeColor="text1"/>
          <w:sz w:val="20"/>
          <w:szCs w:val="20"/>
          <w:lang w:val="en-US"/>
        </w:rPr>
        <w:t>vocabuary</w:t>
      </w:r>
      <w:proofErr w:type="spellEnd"/>
      <w:r w:rsidRPr="00975392">
        <w:rPr>
          <w:rFonts w:ascii="Arial" w:hAnsi="Arial" w:cs="Arial"/>
          <w:color w:val="000000" w:themeColor="text1"/>
          <w:sz w:val="20"/>
          <w:szCs w:val="20"/>
          <w:lang w:val="en-US"/>
        </w:rPr>
        <w:t xml:space="preserve"> is adaptable. One indicator that the vocabulary is adaptable is that it can be </w:t>
      </w:r>
      <w:proofErr w:type="spellStart"/>
      <w:r w:rsidRPr="00975392">
        <w:rPr>
          <w:rFonts w:ascii="Arial" w:hAnsi="Arial" w:cs="Arial"/>
          <w:color w:val="000000" w:themeColor="text1"/>
          <w:sz w:val="20"/>
          <w:szCs w:val="20"/>
          <w:lang w:val="en-US"/>
        </w:rPr>
        <w:t>customised</w:t>
      </w:r>
      <w:proofErr w:type="spellEnd"/>
      <w:r w:rsidRPr="00975392">
        <w:rPr>
          <w:rFonts w:ascii="Arial" w:hAnsi="Arial" w:cs="Arial"/>
          <w:color w:val="000000" w:themeColor="text1"/>
          <w:sz w:val="20"/>
          <w:szCs w:val="20"/>
          <w:lang w:val="en-US"/>
        </w:rPr>
        <w:t xml:space="preserve"> and extended.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t>
      </w:r>
      <w:r w:rsidRPr="00975392">
        <w:rPr>
          <w:rFonts w:ascii="Arial" w:hAnsi="Arial" w:cs="Arial"/>
          <w:i/>
          <w:iCs/>
          <w:color w:val="000000" w:themeColor="text1"/>
          <w:sz w:val="20"/>
          <w:szCs w:val="20"/>
          <w:lang w:val="en-US"/>
        </w:rPr>
        <w:t>_</w:t>
      </w:r>
      <w:proofErr w:type="spellStart"/>
      <w:r w:rsidRPr="00975392">
        <w:rPr>
          <w:rFonts w:ascii="Arial" w:hAnsi="Arial" w:cs="Arial"/>
          <w:i/>
          <w:iCs/>
          <w:color w:val="000000" w:themeColor="text1"/>
          <w:sz w:val="20"/>
          <w:szCs w:val="20"/>
          <w:lang w:val="en-US"/>
        </w:rPr>
        <w:t>Customisation</w:t>
      </w:r>
      <w:proofErr w:type="spellEnd"/>
      <w:r w:rsidRPr="00975392">
        <w:rPr>
          <w:rFonts w:ascii="Arial" w:hAnsi="Arial" w:cs="Arial"/>
          <w:i/>
          <w:iCs/>
          <w:color w:val="000000" w:themeColor="text1"/>
          <w:sz w:val="20"/>
          <w:szCs w:val="20"/>
          <w:lang w:val="en-US"/>
        </w:rPr>
        <w:t xml:space="preserve"> and extensibility_</w:t>
      </w:r>
      <w:r w:rsidRPr="00975392">
        <w:rPr>
          <w:rFonts w:ascii="Arial" w:hAnsi="Arial" w:cs="Arial"/>
          <w:color w:val="000000" w:themeColor="text1"/>
          <w:sz w:val="20"/>
          <w:szCs w:val="20"/>
          <w:lang w:val="en-US"/>
        </w:rPr>
        <w:t xml:space="preserve">: vocabularies are not truly reusable if they set very strict conditions or constraints. As a matter of fact, constraints and particular business entities cannot be fully identified until the vocabulary is 'applied' to a context and, more specifically, to a business domain. Hence, a relevant factor (i.e., a </w:t>
      </w:r>
      <w:r w:rsidRPr="00975392">
        <w:rPr>
          <w:rFonts w:ascii="Arial" w:hAnsi="Arial" w:cs="Arial"/>
          <w:i/>
          <w:iCs/>
          <w:color w:val="000000" w:themeColor="text1"/>
          <w:sz w:val="20"/>
          <w:szCs w:val="20"/>
          <w:lang w:val="en-US"/>
        </w:rPr>
        <w:t>_sematic interoperability enabler_</w:t>
      </w:r>
      <w:r w:rsidRPr="00975392">
        <w:rPr>
          <w:rFonts w:ascii="Arial" w:hAnsi="Arial" w:cs="Arial"/>
          <w:color w:val="000000" w:themeColor="text1"/>
          <w:sz w:val="20"/>
          <w:szCs w:val="20"/>
          <w:lang w:val="en-US"/>
        </w:rPr>
        <w:t xml:space="preserve">, </w:t>
      </w:r>
      <w:proofErr w:type="spellStart"/>
      <w:r w:rsidRPr="00975392">
        <w:rPr>
          <w:rFonts w:ascii="Arial" w:hAnsi="Arial" w:cs="Arial"/>
          <w:color w:val="000000" w:themeColor="text1"/>
          <w:sz w:val="20"/>
          <w:szCs w:val="20"/>
          <w:lang w:val="en-US"/>
        </w:rPr>
        <w:t>cfr</w:t>
      </w:r>
      <w:proofErr w:type="spellEnd"/>
      <w:r w:rsidRPr="00975392">
        <w:rPr>
          <w:rFonts w:ascii="Arial" w:hAnsi="Arial" w:cs="Arial"/>
          <w:color w:val="000000" w:themeColor="text1"/>
          <w:sz w:val="20"/>
          <w:szCs w:val="20"/>
          <w:lang w:val="en-US"/>
        </w:rPr>
        <w:t>. EIRA Key Interoperability Enablers) when identifying and selecting reusable candidate vocabularies is whether they are flexible enough so they can be, later on, be 'profiled'. The ISA2 Core Standard and Specification Vocabulary (</w:t>
      </w:r>
      <w:proofErr w:type="gramStart"/>
      <w:r w:rsidRPr="00975392">
        <w:rPr>
          <w:rFonts w:ascii="Arial" w:hAnsi="Arial" w:cs="Arial"/>
          <w:color w:val="000000" w:themeColor="text1"/>
          <w:sz w:val="20"/>
          <w:szCs w:val="20"/>
          <w:lang w:val="en-US"/>
        </w:rPr>
        <w:t>https://joinup.ec.europa.eu/solution/core-standards-and-specifications-vocabulary-cssv[</w:t>
      </w:r>
      <w:proofErr w:type="gramEnd"/>
      <w:r w:rsidRPr="00975392">
        <w:rPr>
          <w:rFonts w:ascii="Arial" w:hAnsi="Arial" w:cs="Arial"/>
          <w:color w:val="000000" w:themeColor="text1"/>
          <w:sz w:val="20"/>
          <w:szCs w:val="20"/>
          <w:lang w:val="en-US"/>
        </w:rPr>
        <w:t xml:space="preserve">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w:t>
      </w:r>
      <w:r w:rsidRPr="00975392">
        <w:rPr>
          <w:rFonts w:ascii="Arial" w:hAnsi="Arial" w:cs="Arial"/>
          <w:b/>
          <w:bCs/>
          <w:color w:val="000000" w:themeColor="text1"/>
          <w:sz w:val="20"/>
          <w:szCs w:val="20"/>
          <w:lang w:val="en-US"/>
        </w:rPr>
        <w:t>*Accessibility*</w:t>
      </w:r>
      <w:r w:rsidRPr="00975392">
        <w:rPr>
          <w:rFonts w:ascii="Arial" w:hAnsi="Arial" w:cs="Arial"/>
          <w:color w:val="000000" w:themeColor="text1"/>
          <w:sz w:val="20"/>
          <w:szCs w:val="20"/>
          <w:lang w:val="en-US"/>
        </w:rPr>
        <w:t>: a relevant criterion for the 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COMMENT 2: Target audience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The target audience would vary depending on whether we are referring to the Handbook or to the Style Guides.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In our opinion, Cecile's suggestion of documenting the process of developing a Core Vocabulary is convenient and should go in the handbook, since it is of the interest of 'everyone'. The handbook should be the first reference document that ends up leading to the Style Guides. Implementers, </w:t>
      </w:r>
      <w:r w:rsidRPr="00975392">
        <w:rPr>
          <w:rFonts w:ascii="Arial" w:hAnsi="Arial" w:cs="Arial"/>
          <w:color w:val="000000" w:themeColor="text1"/>
          <w:sz w:val="20"/>
          <w:szCs w:val="20"/>
          <w:lang w:val="en-US"/>
        </w:rPr>
        <w:lastRenderedPageBreak/>
        <w:t>therefore, could also have a look into them to grasp the context and the 'story' of how a Core Vocabulary is expected to be developed, maintained, evolved, etc.</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Based on Cecile's comment and our opinion above, we suggest to add the following sections to the handbook:</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The need of </w:t>
      </w:r>
      <w:proofErr w:type="gramStart"/>
      <w:r w:rsidRPr="00975392">
        <w:rPr>
          <w:rFonts w:ascii="Arial" w:hAnsi="Arial" w:cs="Arial"/>
          <w:color w:val="000000" w:themeColor="text1"/>
          <w:sz w:val="20"/>
          <w:szCs w:val="20"/>
          <w:lang w:val="en-US"/>
        </w:rPr>
        <w:t>a</w:t>
      </w:r>
      <w:proofErr w:type="gramEnd"/>
      <w:r w:rsidRPr="00975392">
        <w:rPr>
          <w:rFonts w:ascii="Arial" w:hAnsi="Arial" w:cs="Arial"/>
          <w:color w:val="000000" w:themeColor="text1"/>
          <w:sz w:val="20"/>
          <w:szCs w:val="20"/>
          <w:lang w:val="en-US"/>
        </w:rPr>
        <w:t xml:space="preserve"> EU Catalogue of Reusable eGovernment Core Vocabularies: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Explain and justify the need;</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Set the principles and recommendations for the identification and selection of reusable resources (</w:t>
      </w:r>
      <w:proofErr w:type="spellStart"/>
      <w:r w:rsidRPr="00975392">
        <w:rPr>
          <w:rFonts w:ascii="Arial" w:hAnsi="Arial" w:cs="Arial"/>
          <w:color w:val="000000" w:themeColor="text1"/>
          <w:sz w:val="20"/>
          <w:szCs w:val="20"/>
          <w:lang w:val="en-US"/>
        </w:rPr>
        <w:t>cfr</w:t>
      </w:r>
      <w:proofErr w:type="spellEnd"/>
      <w:r w:rsidRPr="00975392">
        <w:rPr>
          <w:rFonts w:ascii="Arial" w:hAnsi="Arial" w:cs="Arial"/>
          <w:color w:val="000000" w:themeColor="text1"/>
          <w:sz w:val="20"/>
          <w:szCs w:val="20"/>
          <w:lang w:val="en-US"/>
        </w:rPr>
        <w:t>. the pros-and-cons comment, below);</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Illustrate with examples.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When and how to develop a new eGovernment Core Vocabulary: Story-line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How to share a new eGovernment Core Vocabulary (Sharing-by-</w:t>
      </w:r>
      <w:proofErr w:type="spellStart"/>
      <w:r w:rsidRPr="00975392">
        <w:rPr>
          <w:rFonts w:ascii="Arial" w:hAnsi="Arial" w:cs="Arial"/>
          <w:color w:val="000000" w:themeColor="text1"/>
          <w:sz w:val="20"/>
          <w:szCs w:val="20"/>
          <w:lang w:val="en-US"/>
        </w:rPr>
        <w:t>desing</w:t>
      </w:r>
      <w:proofErr w:type="spellEnd"/>
      <w:r w:rsidRPr="00975392">
        <w:rPr>
          <w:rFonts w:ascii="Arial" w:hAnsi="Arial" w:cs="Arial"/>
          <w:color w:val="000000" w:themeColor="text1"/>
          <w:sz w:val="20"/>
          <w:szCs w:val="20"/>
          <w:lang w:val="en-US"/>
        </w:rPr>
        <w:t xml:space="preserve"> </w:t>
      </w:r>
      <w:proofErr w:type="gramStart"/>
      <w:r w:rsidRPr="00975392">
        <w:rPr>
          <w:rFonts w:ascii="Arial" w:hAnsi="Arial" w:cs="Arial"/>
          <w:color w:val="000000" w:themeColor="text1"/>
          <w:sz w:val="20"/>
          <w:szCs w:val="20"/>
          <w:lang w:val="en-US"/>
        </w:rPr>
        <w:t>footnote:[</w:t>
      </w:r>
      <w:proofErr w:type="gramEnd"/>
      <w:r w:rsidRPr="00975392">
        <w:rPr>
          <w:rFonts w:ascii="Arial" w:hAnsi="Arial" w:cs="Arial"/>
          <w:color w:val="000000" w:themeColor="text1"/>
          <w:sz w:val="20"/>
          <w:szCs w:val="20"/>
          <w:lang w:val="en-US"/>
        </w:rPr>
        <w:t>Reusing is not activated if the Sharing-by-design principle is not applied.]!)</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xml:space="preserve">== COMMENT 3: target audience, what's an </w:t>
      </w:r>
      <w:proofErr w:type="spellStart"/>
      <w:r w:rsidRPr="00975392">
        <w:rPr>
          <w:rFonts w:ascii="Arial" w:hAnsi="Arial" w:cs="Arial"/>
          <w:b/>
          <w:bCs/>
          <w:color w:val="000000" w:themeColor="text1"/>
          <w:sz w:val="20"/>
          <w:szCs w:val="20"/>
          <w:lang w:val="en-US"/>
        </w:rPr>
        <w:t>eGCV</w:t>
      </w:r>
      <w:proofErr w:type="spellEnd"/>
      <w:r w:rsidRPr="00975392">
        <w:rPr>
          <w:rFonts w:ascii="Arial" w:hAnsi="Arial" w:cs="Arial"/>
          <w:b/>
          <w:bCs/>
          <w:color w:val="000000" w:themeColor="text1"/>
          <w:sz w:val="20"/>
          <w:szCs w:val="20"/>
          <w:lang w:val="en-US"/>
        </w:rPr>
        <w:t xml:space="preserve"> (definition and justification), just Core Vocabularies? and what about APs?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About the target audience see comments in sections above.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About the definition of what is an eGovernment Vocabulary and the justification of their existence: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Both should go in the handbook;</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The Style Guides should </w:t>
      </w:r>
      <w:proofErr w:type="spellStart"/>
      <w:r w:rsidRPr="00975392">
        <w:rPr>
          <w:rFonts w:ascii="Arial" w:hAnsi="Arial" w:cs="Arial"/>
          <w:color w:val="000000" w:themeColor="text1"/>
          <w:sz w:val="20"/>
          <w:szCs w:val="20"/>
          <w:lang w:val="en-US"/>
        </w:rPr>
        <w:t>summarise</w:t>
      </w:r>
      <w:proofErr w:type="spellEnd"/>
      <w:r w:rsidRPr="00975392">
        <w:rPr>
          <w:rFonts w:ascii="Arial" w:hAnsi="Arial" w:cs="Arial"/>
          <w:color w:val="000000" w:themeColor="text1"/>
          <w:sz w:val="20"/>
          <w:szCs w:val="20"/>
          <w:lang w:val="en-US"/>
        </w:rPr>
        <w:t xml:space="preserve"> them and refer to the handbook for more details.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This would be consistent with the audience, goals and content of both documents.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About the scope of the Handbook and Guides: only </w:t>
      </w:r>
      <w:proofErr w:type="spellStart"/>
      <w:r w:rsidRPr="00975392">
        <w:rPr>
          <w:rFonts w:ascii="Arial" w:hAnsi="Arial" w:cs="Arial"/>
          <w:color w:val="000000" w:themeColor="text1"/>
          <w:sz w:val="20"/>
          <w:szCs w:val="20"/>
          <w:lang w:val="en-US"/>
        </w:rPr>
        <w:t>eGCV</w:t>
      </w:r>
      <w:proofErr w:type="spellEnd"/>
      <w:r w:rsidRPr="00975392">
        <w:rPr>
          <w:rFonts w:ascii="Arial" w:hAnsi="Arial" w:cs="Arial"/>
          <w:color w:val="000000" w:themeColor="text1"/>
          <w:sz w:val="20"/>
          <w:szCs w:val="20"/>
          <w:lang w:val="en-US"/>
        </w:rPr>
        <w:t>? Our opinion is that the scope should encompass: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w:t>
      </w:r>
      <w:r w:rsidRPr="00975392">
        <w:rPr>
          <w:rFonts w:ascii="Arial" w:hAnsi="Arial" w:cs="Arial"/>
          <w:i/>
          <w:iCs/>
          <w:color w:val="000000" w:themeColor="text1"/>
          <w:sz w:val="20"/>
          <w:szCs w:val="20"/>
          <w:lang w:val="en-US"/>
        </w:rPr>
        <w:t>_Handbook_</w:t>
      </w:r>
      <w:r w:rsidRPr="00975392">
        <w:rPr>
          <w:rFonts w:ascii="Arial" w:hAnsi="Arial" w:cs="Arial"/>
          <w:color w:val="000000" w:themeColor="text1"/>
          <w:sz w:val="20"/>
          <w:szCs w:val="20"/>
          <w:lang w:val="en-US"/>
        </w:rPr>
        <w:t>: principles, recommendations and how-</w:t>
      </w:r>
      <w:proofErr w:type="spellStart"/>
      <w:r w:rsidRPr="00975392">
        <w:rPr>
          <w:rFonts w:ascii="Arial" w:hAnsi="Arial" w:cs="Arial"/>
          <w:color w:val="000000" w:themeColor="text1"/>
          <w:sz w:val="20"/>
          <w:szCs w:val="20"/>
          <w:lang w:val="en-US"/>
        </w:rPr>
        <w:t>tos</w:t>
      </w:r>
      <w:proofErr w:type="spellEnd"/>
      <w:r w:rsidRPr="00975392">
        <w:rPr>
          <w:rFonts w:ascii="Arial" w:hAnsi="Arial" w:cs="Arial"/>
          <w:color w:val="000000" w:themeColor="text1"/>
          <w:sz w:val="20"/>
          <w:szCs w:val="20"/>
          <w:lang w:val="en-US"/>
        </w:rPr>
        <w:t xml:space="preserve"> for the starting and inception, development and governance of eGovernment Core Vocabularies and Application Profiles;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lastRenderedPageBreak/>
        <w:t xml:space="preserve">    ** </w:t>
      </w:r>
      <w:r w:rsidRPr="00975392">
        <w:rPr>
          <w:rFonts w:ascii="Arial" w:hAnsi="Arial" w:cs="Arial"/>
          <w:i/>
          <w:iCs/>
          <w:color w:val="000000" w:themeColor="text1"/>
          <w:sz w:val="20"/>
          <w:szCs w:val="20"/>
          <w:lang w:val="en-US"/>
        </w:rPr>
        <w:t>_Style Guide_</w:t>
      </w:r>
      <w:r w:rsidRPr="00975392">
        <w:rPr>
          <w:rFonts w:ascii="Arial" w:hAnsi="Arial" w:cs="Arial"/>
          <w:color w:val="000000" w:themeColor="text1"/>
          <w:sz w:val="20"/>
          <w:szCs w:val="20"/>
          <w:lang w:val="en-US"/>
        </w:rPr>
        <w:t>: architectural and technical guidelines and examples for the implementation, testing, validation and use of eGovernment Vocabularies and Application Profiles.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COMMENT 4: Reuse needs further clarification</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 What is normative and what non-normative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Yes, an effort should be done to clarify what is normative and what is just recommended, to whom it affects and how. However, this is question is related to another dimension which is: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[.text-center]</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w:t>
      </w:r>
      <w:r w:rsidRPr="00975392">
        <w:rPr>
          <w:rFonts w:ascii="Arial" w:hAnsi="Arial" w:cs="Arial"/>
          <w:i/>
          <w:iCs/>
          <w:color w:val="000000" w:themeColor="text1"/>
          <w:sz w:val="20"/>
          <w:szCs w:val="20"/>
          <w:lang w:val="en-US"/>
        </w:rPr>
        <w:t xml:space="preserve">_Who should make the decision of when to develop a new eGovernment Core </w:t>
      </w:r>
      <w:proofErr w:type="gramStart"/>
      <w:r w:rsidRPr="00975392">
        <w:rPr>
          <w:rFonts w:ascii="Arial" w:hAnsi="Arial" w:cs="Arial"/>
          <w:i/>
          <w:iCs/>
          <w:color w:val="000000" w:themeColor="text1"/>
          <w:sz w:val="20"/>
          <w:szCs w:val="20"/>
          <w:lang w:val="en-US"/>
        </w:rPr>
        <w:t>Vocabulary?_</w:t>
      </w:r>
      <w:proofErr w:type="gramEnd"/>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b/>
          <w:bCs/>
          <w:color w:val="000000" w:themeColor="text1"/>
          <w:sz w:val="20"/>
          <w:szCs w:val="20"/>
          <w:lang w:val="en-US"/>
        </w:rPr>
        <w:t>[.text-left]</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And </w:t>
      </w:r>
      <w:proofErr w:type="gramStart"/>
      <w:r w:rsidRPr="00975392">
        <w:rPr>
          <w:rFonts w:ascii="Arial" w:hAnsi="Arial" w:cs="Arial"/>
          <w:color w:val="000000" w:themeColor="text1"/>
          <w:sz w:val="20"/>
          <w:szCs w:val="20"/>
          <w:lang w:val="en-US"/>
        </w:rPr>
        <w:t>similarly</w:t>
      </w:r>
      <w:proofErr w:type="gramEnd"/>
      <w:r w:rsidRPr="00975392">
        <w:rPr>
          <w:rFonts w:ascii="Arial" w:hAnsi="Arial" w:cs="Arial"/>
          <w:color w:val="000000" w:themeColor="text1"/>
          <w:sz w:val="20"/>
          <w:szCs w:val="20"/>
          <w:lang w:val="en-US"/>
        </w:rPr>
        <w:t xml:space="preserve"> for Application Profiles.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The answer to this question may be </w:t>
      </w:r>
      <w:r w:rsidRPr="00975392">
        <w:rPr>
          <w:rFonts w:ascii="Arial" w:hAnsi="Arial" w:cs="Arial"/>
          <w:b/>
          <w:bCs/>
          <w:color w:val="000000" w:themeColor="text1"/>
          <w:sz w:val="20"/>
          <w:szCs w:val="20"/>
          <w:lang w:val="en-US"/>
        </w:rPr>
        <w:t>*_politically problematic_*</w:t>
      </w:r>
      <w:r w:rsidRPr="00975392">
        <w:rPr>
          <w:rFonts w:ascii="Arial" w:hAnsi="Arial" w:cs="Arial"/>
          <w:color w:val="000000" w:themeColor="text1"/>
          <w:sz w:val="20"/>
          <w:szCs w:val="20"/>
          <w:lang w:val="en-US"/>
        </w:rPr>
        <w:t xml:space="preserve">. A trade-off in the expression of these responsibilities could be necessary.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The right place to introduce recommendations on this aspect should be the Notebook, not the Style Guides.</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General principles and recommendations could be issued though +++&lt;u&gt;in the Style Guides&lt;/u&gt;+++. Some of them are already present in the Guides, but would need to be complemented with a kind-of-tag 'Normative' or 'Non-Normative', possibly accompanied by an explicit icon:</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Import, do not re-define (NORMATIVE),</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Do not change the datatype of the original entity (NORMATIVE), </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    * Comment in-line (NON-NORMATIVE), etc.</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sidRPr="00975392">
        <w:rPr>
          <w:rFonts w:ascii="Arial" w:hAnsi="Arial" w:cs="Arial"/>
          <w:color w:val="000000" w:themeColor="text1"/>
          <w:sz w:val="20"/>
          <w:szCs w:val="20"/>
          <w:lang w:val="en-US"/>
        </w:rPr>
        <w:t xml:space="preserve">In the +++&lt;u&gt;Notebook&lt;/u&gt;+++, a general principle could be added in the sense that NORMATIVE guidelines should be applied when the semantic interoperability is </w:t>
      </w:r>
      <w:proofErr w:type="spellStart"/>
      <w:r w:rsidRPr="00975392">
        <w:rPr>
          <w:rFonts w:ascii="Arial" w:hAnsi="Arial" w:cs="Arial"/>
          <w:color w:val="000000" w:themeColor="text1"/>
          <w:sz w:val="20"/>
          <w:szCs w:val="20"/>
          <w:lang w:val="en-US"/>
        </w:rPr>
        <w:t>threatend</w:t>
      </w:r>
      <w:proofErr w:type="spellEnd"/>
      <w:r w:rsidRPr="00975392">
        <w:rPr>
          <w:rFonts w:ascii="Arial" w:hAnsi="Arial" w:cs="Arial"/>
          <w:color w:val="000000" w:themeColor="text1"/>
          <w:sz w:val="20"/>
          <w:szCs w:val="20"/>
          <w:lang w:val="en-US"/>
        </w:rPr>
        <w:t xml:space="preserve"> if the guideline is not thoroughly applied.</w:t>
      </w: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p>
    <w:p w:rsidR="00D56B8C" w:rsidRPr="00975392" w:rsidRDefault="00D56B8C">
      <w:pPr>
        <w:rPr>
          <w:rFonts w:ascii="Arial" w:hAnsi="Arial" w:cs="Arial"/>
          <w:color w:val="000000" w:themeColor="text1"/>
          <w:sz w:val="20"/>
          <w:szCs w:val="20"/>
          <w:lang w:val="en-US"/>
        </w:rPr>
      </w:pPr>
    </w:p>
    <w:sectPr w:rsidR="00D56B8C" w:rsidRPr="00975392" w:rsidSect="004717CD">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09B1" w:rsidRDefault="008509B1" w:rsidP="00975392">
      <w:r>
        <w:separator/>
      </w:r>
    </w:p>
  </w:endnote>
  <w:endnote w:type="continuationSeparator" w:id="0">
    <w:p w:rsidR="008509B1" w:rsidRDefault="008509B1" w:rsidP="0097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09B1" w:rsidRDefault="008509B1" w:rsidP="00975392">
      <w:r>
        <w:separator/>
      </w:r>
    </w:p>
  </w:footnote>
  <w:footnote w:type="continuationSeparator" w:id="0">
    <w:p w:rsidR="008509B1" w:rsidRDefault="008509B1" w:rsidP="00975392">
      <w:r>
        <w:continuationSeparator/>
      </w:r>
    </w:p>
  </w:footnote>
  <w:footnote w:id="1">
    <w:p w:rsidR="00975392" w:rsidRPr="00975392" w:rsidRDefault="00975392" w:rsidP="00975392">
      <w:pPr>
        <w:autoSpaceDE w:val="0"/>
        <w:autoSpaceDN w:val="0"/>
        <w:adjustRightInd w:val="0"/>
        <w:spacing w:line="360" w:lineRule="atLeast"/>
        <w:rPr>
          <w:rFonts w:ascii="Arial" w:hAnsi="Arial" w:cs="Arial"/>
          <w:color w:val="000000" w:themeColor="text1"/>
          <w:sz w:val="20"/>
          <w:szCs w:val="20"/>
          <w:lang w:val="en-US"/>
        </w:rPr>
      </w:pPr>
      <w:r>
        <w:rPr>
          <w:rStyle w:val="Refdenotaalpie"/>
        </w:rPr>
        <w:footnoteRef/>
      </w:r>
      <w:r w:rsidRPr="00975392">
        <w:rPr>
          <w:rFonts w:ascii="Arial" w:hAnsi="Arial" w:cs="Arial"/>
          <w:color w:val="000000" w:themeColor="text1"/>
          <w:sz w:val="20"/>
          <w:szCs w:val="20"/>
          <w:lang w:val="en-US"/>
        </w:rPr>
        <w:t>Reusing is not activated if the Sharing-by-design principle is not applied.]!)</w:t>
      </w:r>
    </w:p>
    <w:p w:rsidR="00975392" w:rsidRPr="00975392" w:rsidRDefault="00975392">
      <w:pPr>
        <w:pStyle w:val="Textonotapi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4604427A"/>
    <w:multiLevelType w:val="hybridMultilevel"/>
    <w:tmpl w:val="1E32C89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92"/>
    <w:rsid w:val="008509B1"/>
    <w:rsid w:val="00975392"/>
    <w:rsid w:val="00D56B8C"/>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2555C1D"/>
  <w15:chartTrackingRefBased/>
  <w15:docId w15:val="{374F026C-7169-0E49-929D-E8A0D53E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5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539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539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75392"/>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975392"/>
    <w:pPr>
      <w:ind w:left="720"/>
      <w:contextualSpacing/>
    </w:pPr>
  </w:style>
  <w:style w:type="paragraph" w:styleId="Textonotapie">
    <w:name w:val="footnote text"/>
    <w:basedOn w:val="Normal"/>
    <w:link w:val="TextonotapieCar"/>
    <w:uiPriority w:val="99"/>
    <w:semiHidden/>
    <w:unhideWhenUsed/>
    <w:rsid w:val="00975392"/>
    <w:rPr>
      <w:sz w:val="20"/>
      <w:szCs w:val="20"/>
    </w:rPr>
  </w:style>
  <w:style w:type="character" w:customStyle="1" w:styleId="TextonotapieCar">
    <w:name w:val="Texto nota pie Car"/>
    <w:basedOn w:val="Fuentedeprrafopredeter"/>
    <w:link w:val="Textonotapie"/>
    <w:uiPriority w:val="99"/>
    <w:semiHidden/>
    <w:rsid w:val="00975392"/>
    <w:rPr>
      <w:sz w:val="20"/>
      <w:szCs w:val="20"/>
    </w:rPr>
  </w:style>
  <w:style w:type="character" w:styleId="Refdenotaalpie">
    <w:name w:val="footnote reference"/>
    <w:basedOn w:val="Fuentedeprrafopredeter"/>
    <w:uiPriority w:val="99"/>
    <w:semiHidden/>
    <w:unhideWhenUsed/>
    <w:rsid w:val="009753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07433642">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7631678">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C8D71-8CA4-B547-A51C-200F0E14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2421</Words>
  <Characters>13321</Characters>
  <Application>Microsoft Office Word</Application>
  <DocSecurity>0</DocSecurity>
  <Lines>111</Lines>
  <Paragraphs>31</Paragraphs>
  <ScaleCrop>false</ScaleCrop>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1</cp:revision>
  <dcterms:created xsi:type="dcterms:W3CDTF">2020-09-24T16:40:00Z</dcterms:created>
  <dcterms:modified xsi:type="dcterms:W3CDTF">2020-09-24T16:49:00Z</dcterms:modified>
</cp:coreProperties>
</file>