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ABAE" w14:textId="77777777" w:rsidR="006905E9" w:rsidRPr="006905E9" w:rsidRDefault="006905E9" w:rsidP="006905E9">
      <w:pPr>
        <w:rPr>
          <w:b/>
          <w:bCs/>
          <w:lang w:val="es-AR"/>
        </w:rPr>
      </w:pPr>
      <w:r w:rsidRPr="006905E9">
        <w:rPr>
          <w:b/>
          <w:bCs/>
          <w:lang w:val="es-AR"/>
        </w:rPr>
        <w:t>1. Variables Predictoras (Variables Explicativas)</w:t>
      </w:r>
    </w:p>
    <w:p w14:paraId="43071365" w14:textId="77777777" w:rsidR="006905E9" w:rsidRPr="006905E9" w:rsidRDefault="006905E9" w:rsidP="006905E9">
      <w:pPr>
        <w:rPr>
          <w:lang w:val="es-AR"/>
        </w:rPr>
      </w:pPr>
      <w:r w:rsidRPr="006905E9">
        <w:rPr>
          <w:lang w:val="es-AR"/>
        </w:rPr>
        <w:t xml:space="preserve">El informe identifica dos grandes categorías de factores que mueven los precios: </w:t>
      </w:r>
      <w:r w:rsidRPr="006905E9">
        <w:rPr>
          <w:b/>
          <w:bCs/>
          <w:lang w:val="es-AR"/>
        </w:rPr>
        <w:t>Oferta</w:t>
      </w:r>
      <w:r w:rsidRPr="006905E9">
        <w:rPr>
          <w:lang w:val="es-AR"/>
        </w:rPr>
        <w:t xml:space="preserve"> (</w:t>
      </w:r>
      <w:proofErr w:type="spellStart"/>
      <w:r w:rsidRPr="006905E9">
        <w:rPr>
          <w:lang w:val="es-AR"/>
        </w:rPr>
        <w:t>Supply-side</w:t>
      </w:r>
      <w:proofErr w:type="spellEnd"/>
      <w:r w:rsidRPr="006905E9">
        <w:rPr>
          <w:lang w:val="es-AR"/>
        </w:rPr>
        <w:t xml:space="preserve">) y </w:t>
      </w:r>
      <w:r w:rsidRPr="006905E9">
        <w:rPr>
          <w:b/>
          <w:bCs/>
          <w:lang w:val="es-AR"/>
        </w:rPr>
        <w:t>Demanda</w:t>
      </w:r>
      <w:r w:rsidRPr="006905E9">
        <w:rPr>
          <w:lang w:val="es-AR"/>
        </w:rPr>
        <w:t xml:space="preserve"> (</w:t>
      </w:r>
      <w:proofErr w:type="spellStart"/>
      <w:r w:rsidRPr="006905E9">
        <w:rPr>
          <w:lang w:val="es-AR"/>
        </w:rPr>
        <w:t>Demand-side</w:t>
      </w:r>
      <w:proofErr w:type="spellEnd"/>
      <w:r w:rsidRPr="006905E9">
        <w:rPr>
          <w:lang w:val="es-AR"/>
        </w:rPr>
        <w:t>), además de variables macroeconómicas y de costos. Para tu modelo de predicción, deberías considerar incluir las siguientes series de tiempo:</w:t>
      </w:r>
    </w:p>
    <w:p w14:paraId="017FD3BA" w14:textId="77777777" w:rsidR="006905E9" w:rsidRPr="006905E9" w:rsidRDefault="006905E9" w:rsidP="006905E9">
      <w:r w:rsidRPr="006905E9">
        <w:rPr>
          <w:b/>
          <w:bCs/>
        </w:rPr>
        <w:t xml:space="preserve">A. Variables </w:t>
      </w:r>
      <w:proofErr w:type="spellStart"/>
      <w:r w:rsidRPr="006905E9">
        <w:rPr>
          <w:b/>
          <w:bCs/>
        </w:rPr>
        <w:t>Macroeconómicas</w:t>
      </w:r>
      <w:proofErr w:type="spellEnd"/>
    </w:p>
    <w:p w14:paraId="1FEA255E" w14:textId="77777777" w:rsidR="006905E9" w:rsidRPr="006905E9" w:rsidRDefault="006905E9" w:rsidP="006905E9">
      <w:pPr>
        <w:numPr>
          <w:ilvl w:val="0"/>
          <w:numId w:val="20"/>
        </w:numPr>
        <w:rPr>
          <w:lang w:val="es-AR"/>
        </w:rPr>
      </w:pPr>
      <w:r w:rsidRPr="006905E9">
        <w:rPr>
          <w:b/>
          <w:bCs/>
          <w:lang w:val="es-AR"/>
        </w:rPr>
        <w:t>Producto Interno Bruto (PIB / GDP):</w:t>
      </w:r>
      <w:r w:rsidRPr="006905E9">
        <w:rPr>
          <w:lang w:val="es-AR"/>
        </w:rPr>
        <w:t xml:space="preserve"> Especialmente el crecimiento del PIB en economías emergentes y en desarrollo (como los países </w:t>
      </w:r>
      <w:r w:rsidRPr="006905E9">
        <w:rPr>
          <w:highlight w:val="yellow"/>
          <w:lang w:val="es-AR"/>
        </w:rPr>
        <w:t>BRIICS</w:t>
      </w:r>
      <w:r w:rsidRPr="006905E9">
        <w:rPr>
          <w:lang w:val="es-AR"/>
        </w:rPr>
        <w:t>: Brasil, Rusia, India, Indonesia, China y Sudáfrica), ya que son impulsores clave de la demanda global.</w:t>
      </w:r>
    </w:p>
    <w:p w14:paraId="74A853B9" w14:textId="77777777" w:rsidR="006905E9" w:rsidRPr="006905E9" w:rsidRDefault="006905E9" w:rsidP="006905E9">
      <w:pPr>
        <w:numPr>
          <w:ilvl w:val="0"/>
          <w:numId w:val="20"/>
        </w:numPr>
        <w:rPr>
          <w:lang w:val="es-AR"/>
        </w:rPr>
      </w:pPr>
      <w:r w:rsidRPr="006905E9">
        <w:rPr>
          <w:b/>
          <w:bCs/>
          <w:lang w:val="es-AR"/>
        </w:rPr>
        <w:t>Tasa de Cambio (Exchange Rates):</w:t>
      </w:r>
      <w:r w:rsidRPr="006905E9">
        <w:rPr>
          <w:lang w:val="es-AR"/>
        </w:rPr>
        <w:t xml:space="preserve"> Específicamente el valor del dólar estadounidense (índice </w:t>
      </w:r>
      <w:r w:rsidRPr="006905E9">
        <w:rPr>
          <w:color w:val="4EA72E" w:themeColor="accent6"/>
          <w:highlight w:val="yellow"/>
          <w:lang w:val="es-AR"/>
        </w:rPr>
        <w:t>DXY</w:t>
      </w:r>
      <w:r w:rsidRPr="006905E9">
        <w:rPr>
          <w:color w:val="4EA72E" w:themeColor="accent6"/>
          <w:lang w:val="es-AR"/>
        </w:rPr>
        <w:t xml:space="preserve"> </w:t>
      </w:r>
      <w:r w:rsidRPr="006905E9">
        <w:rPr>
          <w:lang w:val="es-AR"/>
        </w:rPr>
        <w:t xml:space="preserve">o tipos de cambio ponderados por comercio). Existe una relación inversa: cuando el dólar se aprecia, los precios de los </w:t>
      </w:r>
      <w:proofErr w:type="spellStart"/>
      <w:r w:rsidRPr="006905E9">
        <w:rPr>
          <w:lang w:val="es-AR"/>
        </w:rPr>
        <w:t>commodities</w:t>
      </w:r>
      <w:proofErr w:type="spellEnd"/>
      <w:r w:rsidRPr="006905E9">
        <w:rPr>
          <w:lang w:val="es-AR"/>
        </w:rPr>
        <w:t xml:space="preserve"> (denominados en dólares) tienden a bajar.</w:t>
      </w:r>
    </w:p>
    <w:p w14:paraId="78A0DDF9" w14:textId="77777777" w:rsidR="006905E9" w:rsidRPr="006905E9" w:rsidRDefault="006905E9" w:rsidP="006905E9">
      <w:pPr>
        <w:numPr>
          <w:ilvl w:val="0"/>
          <w:numId w:val="20"/>
        </w:numPr>
        <w:rPr>
          <w:lang w:val="es-AR"/>
        </w:rPr>
      </w:pPr>
      <w:r w:rsidRPr="006905E9">
        <w:rPr>
          <w:b/>
          <w:bCs/>
          <w:lang w:val="es-AR"/>
        </w:rPr>
        <w:t>Tasas de Interés (</w:t>
      </w:r>
      <w:proofErr w:type="spellStart"/>
      <w:r w:rsidRPr="006905E9">
        <w:rPr>
          <w:b/>
          <w:bCs/>
          <w:lang w:val="es-AR"/>
        </w:rPr>
        <w:t>Interest</w:t>
      </w:r>
      <w:proofErr w:type="spellEnd"/>
      <w:r w:rsidRPr="006905E9">
        <w:rPr>
          <w:b/>
          <w:bCs/>
          <w:lang w:val="es-AR"/>
        </w:rPr>
        <w:t xml:space="preserve"> Rates):</w:t>
      </w:r>
      <w:r w:rsidRPr="006905E9">
        <w:rPr>
          <w:lang w:val="es-AR"/>
        </w:rPr>
        <w:t xml:space="preserve"> La tasa de fondos federales de </w:t>
      </w:r>
      <w:proofErr w:type="gramStart"/>
      <w:r w:rsidRPr="006905E9">
        <w:rPr>
          <w:lang w:val="es-AR"/>
        </w:rPr>
        <w:t>EE.UU.</w:t>
      </w:r>
      <w:proofErr w:type="gramEnd"/>
      <w:r w:rsidRPr="006905E9">
        <w:rPr>
          <w:lang w:val="es-AR"/>
        </w:rPr>
        <w:t xml:space="preserve"> (</w:t>
      </w:r>
      <w:r w:rsidRPr="006905E9">
        <w:rPr>
          <w:color w:val="4EA72E" w:themeColor="accent6"/>
          <w:highlight w:val="yellow"/>
          <w:lang w:val="es-AR"/>
        </w:rPr>
        <w:t xml:space="preserve">Fed </w:t>
      </w:r>
      <w:proofErr w:type="spellStart"/>
      <w:r w:rsidRPr="006905E9">
        <w:rPr>
          <w:color w:val="4EA72E" w:themeColor="accent6"/>
          <w:highlight w:val="yellow"/>
          <w:lang w:val="es-AR"/>
        </w:rPr>
        <w:t>funds</w:t>
      </w:r>
      <w:proofErr w:type="spellEnd"/>
      <w:r w:rsidRPr="006905E9">
        <w:rPr>
          <w:color w:val="4EA72E" w:themeColor="accent6"/>
          <w:highlight w:val="yellow"/>
          <w:lang w:val="es-AR"/>
        </w:rPr>
        <w:t xml:space="preserve"> </w:t>
      </w:r>
      <w:proofErr w:type="spellStart"/>
      <w:r w:rsidRPr="006905E9">
        <w:rPr>
          <w:color w:val="4EA72E" w:themeColor="accent6"/>
          <w:highlight w:val="yellow"/>
          <w:lang w:val="es-AR"/>
        </w:rPr>
        <w:t>rate</w:t>
      </w:r>
      <w:proofErr w:type="spellEnd"/>
      <w:r w:rsidRPr="006905E9">
        <w:rPr>
          <w:color w:val="4EA72E" w:themeColor="accent6"/>
          <w:lang w:val="es-AR"/>
        </w:rPr>
        <w:t>)</w:t>
      </w:r>
      <w:r w:rsidRPr="006905E9">
        <w:rPr>
          <w:lang w:val="es-AR"/>
        </w:rPr>
        <w:t xml:space="preserve">. Tasas bajas reducen los costos de almacenamiento y financiamiento, incentivando la inversión en </w:t>
      </w:r>
      <w:proofErr w:type="spellStart"/>
      <w:r w:rsidRPr="006905E9">
        <w:rPr>
          <w:lang w:val="es-AR"/>
        </w:rPr>
        <w:t>commodities</w:t>
      </w:r>
      <w:proofErr w:type="spellEnd"/>
      <w:r w:rsidRPr="006905E9">
        <w:rPr>
          <w:lang w:val="es-AR"/>
        </w:rPr>
        <w:t>.</w:t>
      </w:r>
    </w:p>
    <w:p w14:paraId="4E708222" w14:textId="77777777" w:rsidR="006905E9" w:rsidRPr="006905E9" w:rsidRDefault="006905E9" w:rsidP="006905E9">
      <w:pPr>
        <w:rPr>
          <w:lang w:val="es-AR"/>
        </w:rPr>
      </w:pPr>
      <w:r w:rsidRPr="006905E9">
        <w:rPr>
          <w:b/>
          <w:bCs/>
          <w:lang w:val="es-AR"/>
        </w:rPr>
        <w:t>B. Variables de Oferta y Costos</w:t>
      </w:r>
    </w:p>
    <w:p w14:paraId="4D3D22C0" w14:textId="77777777" w:rsidR="006905E9" w:rsidRPr="006905E9" w:rsidRDefault="006905E9" w:rsidP="006905E9">
      <w:pPr>
        <w:numPr>
          <w:ilvl w:val="0"/>
          <w:numId w:val="21"/>
        </w:numPr>
      </w:pPr>
      <w:proofErr w:type="spellStart"/>
      <w:r w:rsidRPr="006905E9">
        <w:rPr>
          <w:b/>
          <w:bCs/>
        </w:rPr>
        <w:t>Precios</w:t>
      </w:r>
      <w:proofErr w:type="spellEnd"/>
      <w:r w:rsidRPr="006905E9">
        <w:rPr>
          <w:b/>
          <w:bCs/>
        </w:rPr>
        <w:t xml:space="preserve"> de la Energía:</w:t>
      </w:r>
    </w:p>
    <w:p w14:paraId="3D6AF5C5" w14:textId="77777777" w:rsidR="006905E9" w:rsidRPr="006905E9" w:rsidRDefault="006905E9" w:rsidP="006905E9">
      <w:pPr>
        <w:numPr>
          <w:ilvl w:val="1"/>
          <w:numId w:val="21"/>
        </w:numPr>
        <w:rPr>
          <w:lang w:val="es-AR"/>
        </w:rPr>
      </w:pPr>
      <w:r w:rsidRPr="006905E9">
        <w:rPr>
          <w:b/>
          <w:bCs/>
          <w:lang w:val="es-AR"/>
        </w:rPr>
        <w:t>Petróleo Crudo (</w:t>
      </w:r>
      <w:r w:rsidRPr="006905E9">
        <w:rPr>
          <w:b/>
          <w:bCs/>
          <w:color w:val="4EA72E" w:themeColor="accent6"/>
          <w:highlight w:val="yellow"/>
          <w:lang w:val="es-AR"/>
        </w:rPr>
        <w:t xml:space="preserve">Crude </w:t>
      </w:r>
      <w:proofErr w:type="spellStart"/>
      <w:r w:rsidRPr="006905E9">
        <w:rPr>
          <w:b/>
          <w:bCs/>
          <w:color w:val="4EA72E" w:themeColor="accent6"/>
          <w:highlight w:val="yellow"/>
          <w:lang w:val="es-AR"/>
        </w:rPr>
        <w:t>Oil</w:t>
      </w:r>
      <w:proofErr w:type="spellEnd"/>
      <w:r w:rsidRPr="006905E9">
        <w:rPr>
          <w:b/>
          <w:bCs/>
          <w:color w:val="4EA72E" w:themeColor="accent6"/>
          <w:lang w:val="es-AR"/>
        </w:rPr>
        <w:t>)</w:t>
      </w:r>
      <w:r w:rsidRPr="006905E9">
        <w:rPr>
          <w:b/>
          <w:bCs/>
          <w:lang w:val="es-AR"/>
        </w:rPr>
        <w:t>:</w:t>
      </w:r>
      <w:r w:rsidRPr="006905E9">
        <w:rPr>
          <w:lang w:val="es-AR"/>
        </w:rPr>
        <w:t xml:space="preserve"> Afecta los costos de transporte y operación. El informe cita que los cambios en </w:t>
      </w:r>
      <w:r w:rsidRPr="006905E9">
        <w:rPr>
          <w:u w:val="single"/>
          <w:lang w:val="es-AR"/>
        </w:rPr>
        <w:t xml:space="preserve">el precio del petróleo explicaron más del 50% de los cambios en precios de </w:t>
      </w:r>
      <w:proofErr w:type="spellStart"/>
      <w:r w:rsidRPr="006905E9">
        <w:rPr>
          <w:u w:val="single"/>
          <w:lang w:val="es-AR"/>
        </w:rPr>
        <w:t>commodities</w:t>
      </w:r>
      <w:proofErr w:type="spellEnd"/>
      <w:r w:rsidRPr="006905E9">
        <w:rPr>
          <w:u w:val="single"/>
          <w:lang w:val="es-AR"/>
        </w:rPr>
        <w:t xml:space="preserve"> agrícolas</w:t>
      </w:r>
      <w:r w:rsidRPr="006905E9">
        <w:rPr>
          <w:lang w:val="es-AR"/>
        </w:rPr>
        <w:t xml:space="preserve"> en ciertos periodos.</w:t>
      </w:r>
    </w:p>
    <w:p w14:paraId="4B634E1F" w14:textId="77777777" w:rsidR="006905E9" w:rsidRPr="006905E9" w:rsidRDefault="006905E9" w:rsidP="006905E9">
      <w:pPr>
        <w:numPr>
          <w:ilvl w:val="1"/>
          <w:numId w:val="21"/>
        </w:numPr>
        <w:rPr>
          <w:lang w:val="es-AR"/>
        </w:rPr>
      </w:pPr>
      <w:r w:rsidRPr="006905E9">
        <w:rPr>
          <w:b/>
          <w:bCs/>
          <w:color w:val="4EA72E" w:themeColor="accent6"/>
          <w:highlight w:val="yellow"/>
          <w:lang w:val="es-AR"/>
        </w:rPr>
        <w:t>Gas</w:t>
      </w:r>
      <w:r w:rsidRPr="006905E9">
        <w:rPr>
          <w:b/>
          <w:bCs/>
          <w:color w:val="4EA72E" w:themeColor="accent6"/>
          <w:lang w:val="es-AR"/>
        </w:rPr>
        <w:t xml:space="preserve"> Natural</w:t>
      </w:r>
      <w:r w:rsidRPr="006905E9">
        <w:rPr>
          <w:b/>
          <w:bCs/>
          <w:lang w:val="es-AR"/>
        </w:rPr>
        <w:t>:</w:t>
      </w:r>
      <w:r w:rsidRPr="006905E9">
        <w:rPr>
          <w:lang w:val="es-AR"/>
        </w:rPr>
        <w:t xml:space="preserve"> Es el insumo principal para producir amoníaco, base de los fertilizantes nitrogenados.</w:t>
      </w:r>
    </w:p>
    <w:p w14:paraId="3BB8E702" w14:textId="7EA127AF" w:rsidR="006905E9" w:rsidRPr="006905E9" w:rsidRDefault="006905E9" w:rsidP="006905E9">
      <w:pPr>
        <w:numPr>
          <w:ilvl w:val="0"/>
          <w:numId w:val="21"/>
        </w:numPr>
        <w:rPr>
          <w:lang w:val="es-AR"/>
        </w:rPr>
      </w:pPr>
      <w:r w:rsidRPr="006905E9">
        <w:rPr>
          <w:b/>
          <w:bCs/>
          <w:lang w:val="es-AR"/>
        </w:rPr>
        <w:t>Precio de los Fertilizantes:</w:t>
      </w:r>
      <w:r w:rsidRPr="006905E9">
        <w:rPr>
          <w:lang w:val="es-AR"/>
        </w:rPr>
        <w:t xml:space="preserve"> Representan una parte sustancial de los costos operativos y afectan las decisiones de siembra.</w:t>
      </w:r>
      <w:r w:rsidR="00611E79">
        <w:rPr>
          <w:lang w:val="es-AR"/>
        </w:rPr>
        <w:t xml:space="preserve"> </w:t>
      </w:r>
      <w:proofErr w:type="spellStart"/>
      <w:r w:rsidR="00611E79" w:rsidRPr="00611E79">
        <w:rPr>
          <w:color w:val="4EA72E" w:themeColor="accent6"/>
          <w:highlight w:val="yellow"/>
          <w:lang w:val="es-AR"/>
        </w:rPr>
        <w:t>Fertilizer</w:t>
      </w:r>
      <w:proofErr w:type="spellEnd"/>
      <w:r w:rsidR="00611E79" w:rsidRPr="00611E79">
        <w:rPr>
          <w:color w:val="4EA72E" w:themeColor="accent6"/>
          <w:highlight w:val="yellow"/>
          <w:lang w:val="es-AR"/>
        </w:rPr>
        <w:t xml:space="preserve"> </w:t>
      </w:r>
      <w:proofErr w:type="spellStart"/>
      <w:r w:rsidR="00611E79" w:rsidRPr="00611E79">
        <w:rPr>
          <w:color w:val="4EA72E" w:themeColor="accent6"/>
          <w:highlight w:val="yellow"/>
          <w:lang w:val="es-AR"/>
        </w:rPr>
        <w:t>Index</w:t>
      </w:r>
      <w:proofErr w:type="spellEnd"/>
      <w:r w:rsidR="00611E79" w:rsidRPr="00611E79">
        <w:rPr>
          <w:color w:val="4EA72E" w:themeColor="accent6"/>
          <w:highlight w:val="yellow"/>
          <w:lang w:val="es-AR"/>
        </w:rPr>
        <w:t xml:space="preserve"> (mensual</w:t>
      </w:r>
      <w:r w:rsidR="00611E79">
        <w:rPr>
          <w:lang w:val="es-AR"/>
        </w:rPr>
        <w:t>)</w:t>
      </w:r>
    </w:p>
    <w:p w14:paraId="3F831935" w14:textId="77777777" w:rsidR="006905E9" w:rsidRPr="006905E9" w:rsidRDefault="006905E9" w:rsidP="006905E9">
      <w:pPr>
        <w:numPr>
          <w:ilvl w:val="0"/>
          <w:numId w:val="21"/>
        </w:numPr>
        <w:rPr>
          <w:lang w:val="es-AR"/>
        </w:rPr>
      </w:pPr>
      <w:r w:rsidRPr="006905E9">
        <w:rPr>
          <w:b/>
          <w:bCs/>
          <w:lang w:val="es-AR"/>
        </w:rPr>
        <w:t>Área Cosechada y Rendimiento (</w:t>
      </w:r>
      <w:proofErr w:type="spellStart"/>
      <w:r w:rsidRPr="006905E9">
        <w:rPr>
          <w:b/>
          <w:bCs/>
          <w:lang w:val="es-AR"/>
        </w:rPr>
        <w:t>Yield</w:t>
      </w:r>
      <w:proofErr w:type="spellEnd"/>
      <w:r w:rsidRPr="006905E9">
        <w:rPr>
          <w:b/>
          <w:bCs/>
          <w:lang w:val="es-AR"/>
        </w:rPr>
        <w:t>):</w:t>
      </w:r>
      <w:r w:rsidRPr="006905E9">
        <w:rPr>
          <w:lang w:val="es-AR"/>
        </w:rPr>
        <w:t xml:space="preserve"> La expansión de tierras de cultivo (especialmente en Sudamérica y el Mar Negro) y las mejoras tecnológicas en el rendimiento por hectárea aumentan la oferta y presionan los precios a la baja.</w:t>
      </w:r>
    </w:p>
    <w:p w14:paraId="236AEC29" w14:textId="77777777" w:rsidR="006905E9" w:rsidRDefault="006905E9" w:rsidP="006905E9">
      <w:pPr>
        <w:numPr>
          <w:ilvl w:val="0"/>
          <w:numId w:val="21"/>
        </w:numPr>
        <w:rPr>
          <w:lang w:val="es-AR"/>
        </w:rPr>
      </w:pPr>
      <w:r w:rsidRPr="006905E9">
        <w:rPr>
          <w:b/>
          <w:bCs/>
          <w:color w:val="4EA72E" w:themeColor="accent6"/>
          <w:highlight w:val="yellow"/>
          <w:lang w:val="es-AR"/>
        </w:rPr>
        <w:lastRenderedPageBreak/>
        <w:t>Relación Stock-Consumo (Stocks-</w:t>
      </w:r>
      <w:proofErr w:type="spellStart"/>
      <w:r w:rsidRPr="006905E9">
        <w:rPr>
          <w:b/>
          <w:bCs/>
          <w:color w:val="4EA72E" w:themeColor="accent6"/>
          <w:highlight w:val="yellow"/>
          <w:lang w:val="es-AR"/>
        </w:rPr>
        <w:t>to</w:t>
      </w:r>
      <w:proofErr w:type="spellEnd"/>
      <w:r w:rsidRPr="006905E9">
        <w:rPr>
          <w:b/>
          <w:bCs/>
          <w:color w:val="4EA72E" w:themeColor="accent6"/>
          <w:highlight w:val="yellow"/>
          <w:lang w:val="es-AR"/>
        </w:rPr>
        <w:t>-use Ratio):</w:t>
      </w:r>
      <w:r w:rsidRPr="006905E9">
        <w:rPr>
          <w:color w:val="4EA72E" w:themeColor="accent6"/>
          <w:lang w:val="es-AR"/>
        </w:rPr>
        <w:t xml:space="preserve"> </w:t>
      </w:r>
      <w:r w:rsidRPr="006905E9">
        <w:rPr>
          <w:lang w:val="es-AR"/>
        </w:rPr>
        <w:t xml:space="preserve">Esta es una variable crítica. Indica el nivel de inventarios relativo a la demanda. </w:t>
      </w:r>
      <w:proofErr w:type="gramStart"/>
      <w:r w:rsidRPr="006905E9">
        <w:rPr>
          <w:lang w:val="es-AR"/>
        </w:rPr>
        <w:t>Un ratio</w:t>
      </w:r>
      <w:proofErr w:type="gramEnd"/>
      <w:r w:rsidRPr="006905E9">
        <w:rPr>
          <w:lang w:val="es-AR"/>
        </w:rPr>
        <w:t xml:space="preserve"> bajo señala escasez y subida de precios; </w:t>
      </w:r>
      <w:proofErr w:type="gramStart"/>
      <w:r w:rsidRPr="006905E9">
        <w:rPr>
          <w:lang w:val="es-AR"/>
        </w:rPr>
        <w:t>un ratio</w:t>
      </w:r>
      <w:proofErr w:type="gramEnd"/>
      <w:r w:rsidRPr="006905E9">
        <w:rPr>
          <w:lang w:val="es-AR"/>
        </w:rPr>
        <w:t xml:space="preserve"> alto indica exceso de oferta.</w:t>
      </w:r>
    </w:p>
    <w:p w14:paraId="047AAAF6" w14:textId="1D4061FA" w:rsidR="00F04EDE" w:rsidRPr="00805444" w:rsidRDefault="00805444" w:rsidP="00805444">
      <w:pPr>
        <w:ind w:left="720"/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Stock to Use Ratio 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  <m:r>
                <w:rPr>
                  <w:rFonts w:ascii="Cambria Math" w:hAnsi="Cambria Math"/>
                  <w:sz w:val="20"/>
                  <w:szCs w:val="20"/>
                </w:rPr>
                <m:t>nding Stocks (Inventarios Finales)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  <w:lang w:val="es-AR"/>
                </w:rPr>
                <m:t xml:space="preserve">Domestic Consumption 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s-AR"/>
                    </w:rPr>
                    <m:t>Consumo Doméstico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  <w:lang w:val="es-AR"/>
                </w:rPr>
                <m:t>+Export (Exportaciones)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s-AR"/>
                </w:rPr>
                <m:t xml:space="preserve"> </m:t>
              </m:r>
            </m:den>
          </m:f>
        </m:oMath>
      </m:oMathPara>
    </w:p>
    <w:p w14:paraId="0DBB8A38" w14:textId="77777777" w:rsidR="00F04EDE" w:rsidRPr="00F04EDE" w:rsidRDefault="00F04EDE" w:rsidP="00F04EDE">
      <w:pPr>
        <w:pStyle w:val="NormalWeb"/>
        <w:rPr>
          <w:lang w:val="es-AR"/>
        </w:rPr>
      </w:pPr>
      <w:r w:rsidRPr="00F04EDE">
        <w:rPr>
          <w:b/>
          <w:bCs/>
          <w:lang w:val="es-AR"/>
        </w:rPr>
        <w:t>Variables clave:</w:t>
      </w:r>
      <w:r w:rsidRPr="00F04EDE">
        <w:rPr>
          <w:lang w:val="es-AR"/>
        </w:rPr>
        <w:t xml:space="preserve"> Tendrás que sumar las columnas para crear </w:t>
      </w:r>
      <w:proofErr w:type="gramStart"/>
      <w:r w:rsidRPr="00F04EDE">
        <w:rPr>
          <w:lang w:val="es-AR"/>
        </w:rPr>
        <w:t>el ratio</w:t>
      </w:r>
      <w:proofErr w:type="gramEnd"/>
      <w:r w:rsidRPr="00F04EDE">
        <w:rPr>
          <w:lang w:val="es-AR"/>
        </w:rPr>
        <w:t>:</w:t>
      </w:r>
    </w:p>
    <w:p w14:paraId="6EB251DE" w14:textId="77777777" w:rsidR="00F04EDE" w:rsidRDefault="00F04EDE" w:rsidP="00F04EDE">
      <w:pPr>
        <w:pStyle w:val="NormalWeb"/>
        <w:numPr>
          <w:ilvl w:val="0"/>
          <w:numId w:val="21"/>
        </w:numPr>
      </w:pPr>
      <w:r>
        <w:rPr>
          <w:rStyle w:val="HTMLCode"/>
          <w:rFonts w:eastAsiaTheme="majorEastAsia"/>
        </w:rPr>
        <w:t>Ending Stocks</w:t>
      </w:r>
      <w:r>
        <w:t xml:space="preserve"> (</w:t>
      </w:r>
      <w:proofErr w:type="spellStart"/>
      <w:r>
        <w:t>Inventario</w:t>
      </w:r>
      <w:proofErr w:type="spellEnd"/>
      <w:r>
        <w:t xml:space="preserve"> Final)</w:t>
      </w:r>
    </w:p>
    <w:p w14:paraId="49FBB572" w14:textId="77777777" w:rsidR="00F04EDE" w:rsidRDefault="00F04EDE" w:rsidP="00F04EDE">
      <w:pPr>
        <w:pStyle w:val="NormalWeb"/>
        <w:numPr>
          <w:ilvl w:val="0"/>
          <w:numId w:val="21"/>
        </w:numPr>
      </w:pPr>
      <w:r>
        <w:rPr>
          <w:rStyle w:val="HTMLCode"/>
          <w:rFonts w:eastAsiaTheme="majorEastAsia"/>
        </w:rPr>
        <w:t>Domestic Consumption</w:t>
      </w:r>
      <w:r>
        <w:t xml:space="preserve"> + </w:t>
      </w:r>
      <w:r>
        <w:rPr>
          <w:rStyle w:val="HTMLCode"/>
          <w:rFonts w:eastAsiaTheme="majorEastAsia"/>
        </w:rPr>
        <w:t>Exports</w:t>
      </w:r>
      <w:r>
        <w:t xml:space="preserve"> (Uso Total)</w:t>
      </w:r>
    </w:p>
    <w:p w14:paraId="3A90EEAA" w14:textId="77777777" w:rsidR="00F04EDE" w:rsidRPr="006905E9" w:rsidRDefault="00F04EDE" w:rsidP="00F04EDE">
      <w:pPr>
        <w:ind w:left="360"/>
      </w:pPr>
    </w:p>
    <w:p w14:paraId="57F29591" w14:textId="77777777" w:rsidR="006905E9" w:rsidRPr="006905E9" w:rsidRDefault="006905E9" w:rsidP="006905E9">
      <w:r w:rsidRPr="006905E9">
        <w:rPr>
          <w:b/>
          <w:bCs/>
        </w:rPr>
        <w:t xml:space="preserve">C. Variables de </w:t>
      </w:r>
      <w:proofErr w:type="spellStart"/>
      <w:r w:rsidRPr="006905E9">
        <w:rPr>
          <w:b/>
          <w:bCs/>
        </w:rPr>
        <w:t>Demanda</w:t>
      </w:r>
      <w:proofErr w:type="spellEnd"/>
    </w:p>
    <w:p w14:paraId="1060D01E" w14:textId="77777777" w:rsidR="006905E9" w:rsidRPr="006905E9" w:rsidRDefault="006905E9" w:rsidP="006905E9">
      <w:pPr>
        <w:numPr>
          <w:ilvl w:val="0"/>
          <w:numId w:val="22"/>
        </w:numPr>
        <w:rPr>
          <w:lang w:val="es-AR"/>
        </w:rPr>
      </w:pPr>
      <w:r w:rsidRPr="006905E9">
        <w:rPr>
          <w:b/>
          <w:bCs/>
          <w:lang w:val="es-AR"/>
        </w:rPr>
        <w:t>Producción de Biocombustibles:</w:t>
      </w:r>
      <w:r w:rsidRPr="006905E9">
        <w:rPr>
          <w:lang w:val="es-AR"/>
        </w:rPr>
        <w:t xml:space="preserve"> La demanda de maíz para etanol y aceites vegetales para biodiesel vincula los mercados energéticos con los agrícolas.</w:t>
      </w:r>
    </w:p>
    <w:p w14:paraId="6D1CCCB6" w14:textId="77777777" w:rsidR="006905E9" w:rsidRDefault="006905E9" w:rsidP="006905E9">
      <w:pPr>
        <w:numPr>
          <w:ilvl w:val="0"/>
          <w:numId w:val="22"/>
        </w:numPr>
        <w:rPr>
          <w:lang w:val="es-AR"/>
        </w:rPr>
      </w:pPr>
      <w:r w:rsidRPr="006905E9">
        <w:rPr>
          <w:b/>
          <w:bCs/>
          <w:lang w:val="es-AR"/>
        </w:rPr>
        <w:t>Consumo de Carnes (Ganado):</w:t>
      </w:r>
      <w:r w:rsidRPr="006905E9">
        <w:rPr>
          <w:lang w:val="es-AR"/>
        </w:rPr>
        <w:t xml:space="preserve"> Dado que la soja y el maíz son insumos para forraje, el aumento en el consumo de carne (especialmente aves y cerdos) en clases medias emergentes impulsa la demanda de estos granos</w:t>
      </w:r>
    </w:p>
    <w:p w14:paraId="7D1F906B" w14:textId="49660598" w:rsidR="00E0668C" w:rsidRPr="00E0668C" w:rsidRDefault="00E0668C" w:rsidP="00E0668C">
      <w:pPr>
        <w:rPr>
          <w:lang w:val="es-AR"/>
        </w:rPr>
      </w:pPr>
      <w:r w:rsidRPr="003B53F9">
        <w:rPr>
          <w:highlight w:val="yellow"/>
          <w:lang w:val="es-AR"/>
        </w:rPr>
        <w:t>E</w:t>
      </w:r>
      <w:r w:rsidRPr="003B53F9">
        <w:rPr>
          <w:highlight w:val="yellow"/>
          <w:lang w:val="es-AR"/>
        </w:rPr>
        <w:t xml:space="preserve">l informe valida que un enfoque de </w:t>
      </w:r>
      <w:r w:rsidRPr="003B53F9">
        <w:rPr>
          <w:b/>
          <w:bCs/>
          <w:highlight w:val="yellow"/>
          <w:lang w:val="es-AR"/>
        </w:rPr>
        <w:t>regresión multivariada</w:t>
      </w:r>
      <w:r w:rsidRPr="003B53F9">
        <w:rPr>
          <w:highlight w:val="yellow"/>
          <w:lang w:val="es-AR"/>
        </w:rPr>
        <w:t xml:space="preserve"> o sistemas de ecuaciones simultáneas donde incluyas variables macro (PIB, Petróleo, </w:t>
      </w:r>
      <w:proofErr w:type="gramStart"/>
      <w:r w:rsidRPr="003B53F9">
        <w:rPr>
          <w:highlight w:val="yellow"/>
          <w:lang w:val="es-AR"/>
        </w:rPr>
        <w:t>Dólar</w:t>
      </w:r>
      <w:proofErr w:type="gramEnd"/>
      <w:r w:rsidRPr="003B53F9">
        <w:rPr>
          <w:highlight w:val="yellow"/>
          <w:lang w:val="es-AR"/>
        </w:rPr>
        <w:t>) junto con variables fundamentales (Stocks, Área) es el enfoque econométrico estándar validado por la USDA.</w:t>
      </w:r>
    </w:p>
    <w:p w14:paraId="6FEC9D44" w14:textId="57B0318C" w:rsidR="00965C21" w:rsidRPr="006905E9" w:rsidRDefault="00A702AE" w:rsidP="00965C21">
      <w:pPr>
        <w:rPr>
          <w:lang w:val="es-AR"/>
        </w:rPr>
      </w:pPr>
      <w:r>
        <w:rPr>
          <w:b/>
          <w:bCs/>
          <w:lang w:val="es-AR"/>
        </w:rPr>
        <w:t>-</w:t>
      </w:r>
      <w:r>
        <w:rPr>
          <w:lang w:val="es-AR"/>
        </w:rPr>
        <w:t>-----------------------------------------------------------------------------------------------------------------</w:t>
      </w:r>
    </w:p>
    <w:p w14:paraId="15950851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Este documento analiza los factores que contribuyen a los cambios en los precios de los productos agrícolas y el comercio en los Estados Unidos y en el mundo.</w:t>
      </w:r>
    </w:p>
    <w:p w14:paraId="116CB8C3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 xml:space="preserve">Factores que Afectan los Precios de los </w:t>
      </w:r>
      <w:proofErr w:type="spellStart"/>
      <w:r w:rsidRPr="00784630">
        <w:rPr>
          <w:b/>
          <w:bCs/>
          <w:lang w:val="es-AR"/>
        </w:rPr>
        <w:t>Commodities</w:t>
      </w:r>
      <w:proofErr w:type="spellEnd"/>
      <w:r w:rsidRPr="00784630">
        <w:rPr>
          <w:b/>
          <w:bCs/>
          <w:lang w:val="es-AR"/>
        </w:rPr>
        <w:t xml:space="preserve"> Agrícolas</w:t>
      </w:r>
    </w:p>
    <w:p w14:paraId="12F8C033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 son influenciados por diversos factores económicos y de producción.</w:t>
      </w:r>
    </w:p>
    <w:p w14:paraId="6BF21035" w14:textId="77777777" w:rsidR="00784630" w:rsidRPr="00784630" w:rsidRDefault="00784630" w:rsidP="00784630">
      <w:pPr>
        <w:numPr>
          <w:ilvl w:val="0"/>
          <w:numId w:val="1"/>
        </w:numPr>
        <w:rPr>
          <w:lang w:val="es-AR"/>
        </w:rPr>
      </w:pPr>
      <w:r w:rsidRPr="00784630">
        <w:rPr>
          <w:lang w:val="es-AR"/>
        </w:rPr>
        <w:t xml:space="preserve">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 afectan las decisiones de producción de los agricultores, incluyendo el área sembrada y el inventario de ganado.</w:t>
      </w:r>
    </w:p>
    <w:p w14:paraId="4064BD7C" w14:textId="77777777" w:rsidR="00784630" w:rsidRPr="00784630" w:rsidRDefault="00784630" w:rsidP="00784630">
      <w:pPr>
        <w:numPr>
          <w:ilvl w:val="0"/>
          <w:numId w:val="1"/>
        </w:numPr>
        <w:rPr>
          <w:lang w:val="es-AR"/>
        </w:rPr>
      </w:pPr>
      <w:r w:rsidRPr="00784630">
        <w:rPr>
          <w:lang w:val="es-AR"/>
        </w:rPr>
        <w:t xml:space="preserve">Entre 2014 y 2019,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 cayeron debido a la debilidad en la demanda global y el aumento en la oferta.</w:t>
      </w:r>
    </w:p>
    <w:p w14:paraId="73C61E2D" w14:textId="77777777" w:rsidR="00784630" w:rsidRPr="00784630" w:rsidRDefault="00784630" w:rsidP="00784630">
      <w:pPr>
        <w:numPr>
          <w:ilvl w:val="0"/>
          <w:numId w:val="1"/>
        </w:numPr>
        <w:rPr>
          <w:lang w:val="es-AR"/>
        </w:rPr>
      </w:pPr>
      <w:r w:rsidRPr="00784630">
        <w:rPr>
          <w:lang w:val="es-AR"/>
        </w:rPr>
        <w:t xml:space="preserve">Se proyecta que si el crecimiento del PIB en economías en desarrollo disminuye en 2.3 puntos porcentuales,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caerían un 4% anual.</w:t>
      </w:r>
    </w:p>
    <w:p w14:paraId="1280A647" w14:textId="77777777" w:rsidR="00784630" w:rsidRPr="00784630" w:rsidRDefault="00784630" w:rsidP="00784630">
      <w:pPr>
        <w:numPr>
          <w:ilvl w:val="0"/>
          <w:numId w:val="1"/>
        </w:numPr>
        <w:rPr>
          <w:lang w:val="es-AR"/>
        </w:rPr>
      </w:pPr>
      <w:r w:rsidRPr="00784630">
        <w:rPr>
          <w:lang w:val="es-AR"/>
        </w:rPr>
        <w:lastRenderedPageBreak/>
        <w:t>Un descenso del 3% en la producción de cultivos podría aumentar los precios en un 12% anual.</w:t>
      </w:r>
    </w:p>
    <w:p w14:paraId="6C77A411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Resumen de Hallazgos del Estudio</w:t>
      </w:r>
    </w:p>
    <w:p w14:paraId="44DE1BCF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El estudio identifica </w:t>
      </w:r>
      <w:r w:rsidRPr="00784630">
        <w:rPr>
          <w:highlight w:val="yellow"/>
          <w:lang w:val="es-AR"/>
        </w:rPr>
        <w:t xml:space="preserve">la inestabilidad de los precios de los </w:t>
      </w:r>
      <w:proofErr w:type="spellStart"/>
      <w:r w:rsidRPr="00784630">
        <w:rPr>
          <w:highlight w:val="yellow"/>
          <w:lang w:val="es-AR"/>
        </w:rPr>
        <w:t>commodities</w:t>
      </w:r>
      <w:proofErr w:type="spellEnd"/>
      <w:r w:rsidRPr="00784630">
        <w:rPr>
          <w:highlight w:val="yellow"/>
          <w:lang w:val="es-AR"/>
        </w:rPr>
        <w:t xml:space="preserve"> agrícolas debido a factores macroeconómicos y agrícolas.</w:t>
      </w:r>
    </w:p>
    <w:p w14:paraId="17DDA2F4" w14:textId="77777777" w:rsidR="00784630" w:rsidRPr="00784630" w:rsidRDefault="00784630" w:rsidP="00784630">
      <w:pPr>
        <w:numPr>
          <w:ilvl w:val="0"/>
          <w:numId w:val="2"/>
        </w:numPr>
        <w:rPr>
          <w:lang w:val="es-AR"/>
        </w:rPr>
      </w:pPr>
      <w:r w:rsidRPr="00784630">
        <w:rPr>
          <w:lang w:val="es-AR"/>
        </w:rPr>
        <w:t xml:space="preserve">La simulación de un </w:t>
      </w:r>
      <w:commentRangeStart w:id="0"/>
      <w:r w:rsidRPr="00784630">
        <w:rPr>
          <w:highlight w:val="yellow"/>
          <w:lang w:val="es-AR"/>
        </w:rPr>
        <w:t xml:space="preserve">crecimiento económico más débil en economías en desarrollo </w:t>
      </w:r>
      <w:commentRangeEnd w:id="0"/>
      <w:r w:rsidR="0076281C">
        <w:rPr>
          <w:rStyle w:val="CommentReference"/>
        </w:rPr>
        <w:commentReference w:id="0"/>
      </w:r>
      <w:r w:rsidRPr="00784630">
        <w:rPr>
          <w:highlight w:val="yellow"/>
          <w:lang w:val="es-AR"/>
        </w:rPr>
        <w:t>sugiere que los precios caerían un 4% anual</w:t>
      </w:r>
      <w:r w:rsidRPr="00784630">
        <w:rPr>
          <w:lang w:val="es-AR"/>
        </w:rPr>
        <w:t>, con mayores caídas en soja, carne de res y pollo.</w:t>
      </w:r>
    </w:p>
    <w:p w14:paraId="2CC11A72" w14:textId="77777777" w:rsidR="00784630" w:rsidRPr="00784630" w:rsidRDefault="00784630" w:rsidP="00784630">
      <w:pPr>
        <w:numPr>
          <w:ilvl w:val="0"/>
          <w:numId w:val="2"/>
        </w:numPr>
        <w:rPr>
          <w:lang w:val="es-AR"/>
        </w:rPr>
      </w:pPr>
      <w:r w:rsidRPr="00784630">
        <w:rPr>
          <w:highlight w:val="yellow"/>
          <w:lang w:val="es-AR"/>
        </w:rPr>
        <w:t>Un descenso del 3% en la oferta de cultivos podría resultar en un aumento del 12% en los precios, especialmente para maíz y trigo</w:t>
      </w:r>
      <w:r w:rsidRPr="00784630">
        <w:rPr>
          <w:lang w:val="es-AR"/>
        </w:rPr>
        <w:t>.</w:t>
      </w:r>
    </w:p>
    <w:p w14:paraId="07205CE9" w14:textId="77777777" w:rsidR="00784630" w:rsidRPr="00784630" w:rsidRDefault="00784630" w:rsidP="00784630">
      <w:pPr>
        <w:numPr>
          <w:ilvl w:val="0"/>
          <w:numId w:val="2"/>
        </w:numPr>
        <w:rPr>
          <w:lang w:val="es-AR"/>
        </w:rPr>
      </w:pPr>
      <w:r w:rsidRPr="00784630">
        <w:rPr>
          <w:highlight w:val="yellow"/>
          <w:lang w:val="es-AR"/>
        </w:rPr>
        <w:t>Un aumento del 1% en la producción de cultivos en EE. UU. podría llevar a una disminución del 2% en los precios</w:t>
      </w:r>
      <w:r w:rsidRPr="00784630">
        <w:rPr>
          <w:lang w:val="es-AR"/>
        </w:rPr>
        <w:t>.</w:t>
      </w:r>
    </w:p>
    <w:p w14:paraId="7F9913C8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Cambios en la Demanda y Oferta Global</w:t>
      </w:r>
    </w:p>
    <w:p w14:paraId="2E98E840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Los cambios en la demanda y oferta global han influido en la tendencia de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agrícolas.</w:t>
      </w:r>
    </w:p>
    <w:p w14:paraId="3B12BE2F" w14:textId="77777777" w:rsidR="00784630" w:rsidRPr="00784630" w:rsidRDefault="00784630" w:rsidP="00784630">
      <w:pPr>
        <w:numPr>
          <w:ilvl w:val="0"/>
          <w:numId w:val="3"/>
        </w:numPr>
        <w:rPr>
          <w:lang w:val="es-AR"/>
        </w:rPr>
      </w:pPr>
      <w:r w:rsidRPr="00784630">
        <w:rPr>
          <w:lang w:val="es-AR"/>
        </w:rPr>
        <w:t xml:space="preserve">Entre 2014 y 2019, los precios de muchos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 cayeron entre un 18% y un 70% desde sus picos en 2011.</w:t>
      </w:r>
    </w:p>
    <w:p w14:paraId="5916F03B" w14:textId="77777777" w:rsidR="00784630" w:rsidRPr="00784630" w:rsidRDefault="00784630" w:rsidP="00784630">
      <w:pPr>
        <w:numPr>
          <w:ilvl w:val="0"/>
          <w:numId w:val="3"/>
        </w:numPr>
        <w:rPr>
          <w:lang w:val="es-AR"/>
        </w:rPr>
      </w:pPr>
      <w:r w:rsidRPr="00784630">
        <w:rPr>
          <w:lang w:val="es-AR"/>
        </w:rPr>
        <w:t>La expansión de tierras cultivables y el aumento de rendimientos, junto con la caída de los precios de energía, contribuyeron a un aumento en la oferta global.</w:t>
      </w:r>
    </w:p>
    <w:p w14:paraId="600AFB7F" w14:textId="77777777" w:rsidR="00784630" w:rsidRPr="00784630" w:rsidRDefault="00784630" w:rsidP="00784630">
      <w:pPr>
        <w:numPr>
          <w:ilvl w:val="0"/>
          <w:numId w:val="3"/>
        </w:numPr>
        <w:rPr>
          <w:lang w:val="es-AR"/>
        </w:rPr>
      </w:pPr>
      <w:r w:rsidRPr="00784630">
        <w:rPr>
          <w:lang w:val="es-AR"/>
        </w:rPr>
        <w:t xml:space="preserve">La demanda de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 ha sido afectada por el crecimiento económico más lento en países en desarrollo.</w:t>
      </w:r>
    </w:p>
    <w:p w14:paraId="205F1ED7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Impacto de los Mandatos de Biocombustibles</w:t>
      </w:r>
    </w:p>
    <w:p w14:paraId="7C2EE090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Los mandatos de biocombustibles han tenido un impacto variable en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agrícolas.</w:t>
      </w:r>
    </w:p>
    <w:p w14:paraId="2D69F8F0" w14:textId="77777777" w:rsidR="00784630" w:rsidRPr="00784630" w:rsidRDefault="00784630" w:rsidP="00784630">
      <w:pPr>
        <w:numPr>
          <w:ilvl w:val="0"/>
          <w:numId w:val="4"/>
        </w:numPr>
        <w:rPr>
          <w:lang w:val="es-AR"/>
        </w:rPr>
      </w:pPr>
      <w:r w:rsidRPr="00784630">
        <w:rPr>
          <w:lang w:val="es-AR"/>
        </w:rPr>
        <w:t xml:space="preserve">Aunque los mandatos de </w:t>
      </w:r>
      <w:r w:rsidRPr="00784630">
        <w:rPr>
          <w:highlight w:val="yellow"/>
          <w:lang w:val="es-AR"/>
        </w:rPr>
        <w:t xml:space="preserve">biocombustibles han creado demanda, su efecto en los precios de los </w:t>
      </w:r>
      <w:proofErr w:type="spellStart"/>
      <w:r w:rsidRPr="00784630">
        <w:rPr>
          <w:highlight w:val="yellow"/>
          <w:lang w:val="es-AR"/>
        </w:rPr>
        <w:t>commodities</w:t>
      </w:r>
      <w:proofErr w:type="spellEnd"/>
      <w:r w:rsidRPr="00784630">
        <w:rPr>
          <w:highlight w:val="yellow"/>
          <w:lang w:val="es-AR"/>
        </w:rPr>
        <w:t xml:space="preserve"> no es claro</w:t>
      </w:r>
      <w:r w:rsidRPr="00784630">
        <w:rPr>
          <w:lang w:val="es-AR"/>
        </w:rPr>
        <w:t>.</w:t>
      </w:r>
    </w:p>
    <w:p w14:paraId="557FD625" w14:textId="77777777" w:rsidR="00784630" w:rsidRPr="00784630" w:rsidRDefault="00784630" w:rsidP="00784630">
      <w:pPr>
        <w:numPr>
          <w:ilvl w:val="0"/>
          <w:numId w:val="4"/>
        </w:numPr>
        <w:rPr>
          <w:lang w:val="es-AR"/>
        </w:rPr>
      </w:pPr>
      <w:r w:rsidRPr="00784630">
        <w:rPr>
          <w:lang w:val="es-AR"/>
        </w:rPr>
        <w:t>La producción de biocombustibles creció de 5.3 mil millones de galones en 2001 a 22.6 mil millones en 2008, impulsada principalmente por la producción de etanol.</w:t>
      </w:r>
    </w:p>
    <w:p w14:paraId="244723CF" w14:textId="77777777" w:rsidR="00784630" w:rsidRPr="00784630" w:rsidRDefault="00784630" w:rsidP="00784630">
      <w:pPr>
        <w:numPr>
          <w:ilvl w:val="0"/>
          <w:numId w:val="4"/>
        </w:numPr>
        <w:rPr>
          <w:lang w:val="es-AR"/>
        </w:rPr>
      </w:pPr>
      <w:r w:rsidRPr="00784630">
        <w:rPr>
          <w:lang w:val="es-AR"/>
        </w:rPr>
        <w:t>La producción de DDGS (granos destilados secos con solubles) ayuda a mitigar el impacto de la demanda de granos para biocombustibles.</w:t>
      </w:r>
    </w:p>
    <w:p w14:paraId="583571EC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lastRenderedPageBreak/>
        <w:t>Comparación de Índices de Precios de Alimentos</w:t>
      </w:r>
    </w:p>
    <w:p w14:paraId="15604DA5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Los índices de precios de alimentos de diferentes organizaciones muestran tendencias </w:t>
      </w:r>
      <w:proofErr w:type="gramStart"/>
      <w:r w:rsidRPr="00784630">
        <w:rPr>
          <w:lang w:val="es-AR"/>
        </w:rPr>
        <w:t>similares</w:t>
      </w:r>
      <w:proofErr w:type="gramEnd"/>
      <w:r w:rsidRPr="00784630">
        <w:rPr>
          <w:lang w:val="es-AR"/>
        </w:rPr>
        <w:t xml:space="preserve"> pero con variaciones en su composición.</w:t>
      </w:r>
    </w:p>
    <w:p w14:paraId="2A8F5D6D" w14:textId="77777777" w:rsidR="00784630" w:rsidRPr="00784630" w:rsidRDefault="00784630" w:rsidP="00784630">
      <w:pPr>
        <w:numPr>
          <w:ilvl w:val="0"/>
          <w:numId w:val="5"/>
        </w:numPr>
        <w:rPr>
          <w:lang w:val="es-AR"/>
        </w:rPr>
      </w:pPr>
      <w:r w:rsidRPr="00784630">
        <w:rPr>
          <w:lang w:val="es-AR"/>
        </w:rPr>
        <w:t>Los índices del FMI, Banco Mundial, FAO y UNCTAD reflejan tendencias similares en los precios de alimentos, aunque con diferentes canastas de productos.</w:t>
      </w:r>
    </w:p>
    <w:p w14:paraId="58FFF810" w14:textId="77777777" w:rsidR="00784630" w:rsidRPr="00784630" w:rsidRDefault="00784630" w:rsidP="00784630">
      <w:pPr>
        <w:numPr>
          <w:ilvl w:val="0"/>
          <w:numId w:val="5"/>
        </w:numPr>
        <w:rPr>
          <w:lang w:val="es-AR"/>
        </w:rPr>
      </w:pPr>
      <w:r w:rsidRPr="00784630">
        <w:rPr>
          <w:lang w:val="es-AR"/>
        </w:rPr>
        <w:t>El índice de precios de alimentos de EE. UU. muestra una tendencia ascendente más estable en comparación con los índices globales.</w:t>
      </w:r>
    </w:p>
    <w:p w14:paraId="6EDC5301" w14:textId="77777777" w:rsidR="00784630" w:rsidRPr="00784630" w:rsidRDefault="00784630" w:rsidP="00784630">
      <w:pPr>
        <w:numPr>
          <w:ilvl w:val="0"/>
          <w:numId w:val="5"/>
        </w:numPr>
        <w:rPr>
          <w:lang w:val="es-AR"/>
        </w:rPr>
      </w:pPr>
      <w:r w:rsidRPr="00784630">
        <w:rPr>
          <w:lang w:val="es-AR"/>
        </w:rPr>
        <w:t>La correlación entre los índices globales es alta, mientras que la correlación con el índice de EE. UU. es más baja.</w:t>
      </w:r>
    </w:p>
    <w:p w14:paraId="15693B5C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Producción Global de Biocombustibles</w:t>
      </w:r>
    </w:p>
    <w:p w14:paraId="011704C7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La producción de biocombustibles ha disminuido en su tasa de crecimiento desde 2012.</w:t>
      </w:r>
    </w:p>
    <w:p w14:paraId="6B1EFD4A" w14:textId="77777777" w:rsidR="00784630" w:rsidRPr="00784630" w:rsidRDefault="00784630" w:rsidP="00784630">
      <w:pPr>
        <w:numPr>
          <w:ilvl w:val="0"/>
          <w:numId w:val="6"/>
        </w:numPr>
        <w:rPr>
          <w:lang w:val="es-AR"/>
        </w:rPr>
      </w:pPr>
      <w:r w:rsidRPr="00784630">
        <w:rPr>
          <w:lang w:val="es-AR"/>
        </w:rPr>
        <w:t>Entre 2008 y 2012, la producción de biocombustibles creció un 6% anual.</w:t>
      </w:r>
    </w:p>
    <w:p w14:paraId="1EE7E62A" w14:textId="77777777" w:rsidR="00784630" w:rsidRPr="00784630" w:rsidRDefault="00784630" w:rsidP="00784630">
      <w:pPr>
        <w:numPr>
          <w:ilvl w:val="0"/>
          <w:numId w:val="6"/>
        </w:numPr>
        <w:rPr>
          <w:lang w:val="es-AR"/>
        </w:rPr>
      </w:pPr>
      <w:r w:rsidRPr="00784630">
        <w:rPr>
          <w:lang w:val="es-AR"/>
        </w:rPr>
        <w:t>Desde 2012, la tasa de crecimiento se ha reducido al 5% anual.</w:t>
      </w:r>
    </w:p>
    <w:p w14:paraId="41759606" w14:textId="77777777" w:rsidR="00784630" w:rsidRPr="00784630" w:rsidRDefault="00784630" w:rsidP="00784630">
      <w:pPr>
        <w:numPr>
          <w:ilvl w:val="0"/>
          <w:numId w:val="6"/>
        </w:numPr>
        <w:rPr>
          <w:lang w:val="es-AR"/>
        </w:rPr>
      </w:pPr>
      <w:r w:rsidRPr="00784630">
        <w:rPr>
          <w:lang w:val="es-AR"/>
        </w:rPr>
        <w:t>En 2016, la producción global de biocombustibles fue de 34.9 mil millones de galones, de los cuales 26.6 mil millones (76%) fueron etanol.</w:t>
      </w:r>
    </w:p>
    <w:p w14:paraId="570949EE" w14:textId="77777777" w:rsidR="00784630" w:rsidRPr="00784630" w:rsidRDefault="00784630" w:rsidP="00784630">
      <w:pPr>
        <w:numPr>
          <w:ilvl w:val="0"/>
          <w:numId w:val="6"/>
        </w:numPr>
        <w:rPr>
          <w:lang w:val="es-AR"/>
        </w:rPr>
      </w:pPr>
      <w:r w:rsidRPr="00784630">
        <w:rPr>
          <w:lang w:val="es-AR"/>
        </w:rPr>
        <w:t>La producción de etanol en EE. UU. fue de 15.4 mil millones de galones, alcanzando el límite de 15 mil millones bajo el estándar de combustible renovable (RFS2).</w:t>
      </w:r>
    </w:p>
    <w:p w14:paraId="1A6622EE" w14:textId="77777777" w:rsidR="00784630" w:rsidRPr="00784630" w:rsidRDefault="00784630" w:rsidP="00784630">
      <w:pPr>
        <w:numPr>
          <w:ilvl w:val="0"/>
          <w:numId w:val="6"/>
        </w:numPr>
        <w:rPr>
          <w:lang w:val="es-AR"/>
        </w:rPr>
      </w:pPr>
      <w:r w:rsidRPr="00784630">
        <w:rPr>
          <w:lang w:val="es-AR"/>
        </w:rPr>
        <w:t>La producción adicional de etanol se destina a exportaciones, pero el incentivo para aumentar la producción es mínimo.</w:t>
      </w:r>
    </w:p>
    <w:p w14:paraId="5B56B46A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highlight w:val="yellow"/>
          <w:lang w:val="es-AR"/>
        </w:rPr>
        <w:t>Factores de Oferta que Afectan Precios Agrícolas</w:t>
      </w:r>
    </w:p>
    <w:p w14:paraId="285429F0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Los costos de producción han disminuido desde 2016, afectando los precios de los productos agrícolas.</w:t>
      </w:r>
    </w:p>
    <w:p w14:paraId="3FD9B773" w14:textId="77777777" w:rsidR="00784630" w:rsidRPr="00784630" w:rsidRDefault="00784630" w:rsidP="00784630">
      <w:pPr>
        <w:numPr>
          <w:ilvl w:val="0"/>
          <w:numId w:val="7"/>
        </w:numPr>
        <w:rPr>
          <w:lang w:val="es-AR"/>
        </w:rPr>
      </w:pPr>
      <w:r w:rsidRPr="00784630">
        <w:rPr>
          <w:lang w:val="es-AR"/>
        </w:rPr>
        <w:t xml:space="preserve">Los </w:t>
      </w:r>
      <w:r w:rsidRPr="00784630">
        <w:rPr>
          <w:highlight w:val="yellow"/>
          <w:lang w:val="es-AR"/>
        </w:rPr>
        <w:t>precios de los fertilizantes</w:t>
      </w:r>
      <w:r w:rsidRPr="00784630">
        <w:rPr>
          <w:lang w:val="es-AR"/>
        </w:rPr>
        <w:t>, que representan una parte significativa de los costos de producción, han caído más del 55% desde 2011.</w:t>
      </w:r>
    </w:p>
    <w:p w14:paraId="1E5F99C3" w14:textId="77777777" w:rsidR="00784630" w:rsidRPr="00784630" w:rsidRDefault="00784630" w:rsidP="00784630">
      <w:pPr>
        <w:numPr>
          <w:ilvl w:val="0"/>
          <w:numId w:val="7"/>
        </w:numPr>
        <w:rPr>
          <w:lang w:val="es-AR"/>
        </w:rPr>
      </w:pPr>
      <w:r w:rsidRPr="00784630">
        <w:rPr>
          <w:lang w:val="es-AR"/>
        </w:rPr>
        <w:t>Los precios de los productos agrícolas cayeron un 24% en el mismo período.</w:t>
      </w:r>
    </w:p>
    <w:p w14:paraId="549A7F4B" w14:textId="77777777" w:rsidR="00784630" w:rsidRPr="00784630" w:rsidRDefault="00784630" w:rsidP="00784630">
      <w:pPr>
        <w:numPr>
          <w:ilvl w:val="0"/>
          <w:numId w:val="7"/>
        </w:numPr>
        <w:rPr>
          <w:lang w:val="es-AR"/>
        </w:rPr>
      </w:pPr>
      <w:r w:rsidRPr="00784630">
        <w:rPr>
          <w:lang w:val="es-AR"/>
        </w:rPr>
        <w:t xml:space="preserve">La producción de fertilizantes es intensiva en energía, y los precios del </w:t>
      </w:r>
      <w:commentRangeStart w:id="1"/>
      <w:r w:rsidRPr="00784630">
        <w:rPr>
          <w:highlight w:val="yellow"/>
          <w:lang w:val="es-AR"/>
        </w:rPr>
        <w:t>gas natural y el petróleo influyen en los costos</w:t>
      </w:r>
      <w:commentRangeEnd w:id="1"/>
      <w:r w:rsidR="004C27B7">
        <w:rPr>
          <w:rStyle w:val="CommentReference"/>
        </w:rPr>
        <w:commentReference w:id="1"/>
      </w:r>
      <w:r w:rsidRPr="00784630">
        <w:rPr>
          <w:lang w:val="es-AR"/>
        </w:rPr>
        <w:t>.</w:t>
      </w:r>
    </w:p>
    <w:p w14:paraId="46123597" w14:textId="77777777" w:rsidR="00784630" w:rsidRPr="00784630" w:rsidRDefault="00784630" w:rsidP="00784630">
      <w:pPr>
        <w:numPr>
          <w:ilvl w:val="0"/>
          <w:numId w:val="7"/>
        </w:numPr>
        <w:rPr>
          <w:lang w:val="es-AR"/>
        </w:rPr>
      </w:pPr>
      <w:r w:rsidRPr="00784630">
        <w:rPr>
          <w:lang w:val="es-AR"/>
        </w:rPr>
        <w:t>Entre 2014 y 2016, los precios del gas natural y el petróleo mostraron una tendencia a la baja debido a un aumento en la producción de petróleo en EE. UU. y una menor demanda de economías emergentes.</w:t>
      </w:r>
    </w:p>
    <w:p w14:paraId="439EB76C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lastRenderedPageBreak/>
        <w:t>Expansión de Área Cosechada y Mejora de Rendimientos</w:t>
      </w:r>
    </w:p>
    <w:p w14:paraId="3AEF94B5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El </w:t>
      </w:r>
      <w:r w:rsidRPr="00784630">
        <w:rPr>
          <w:highlight w:val="yellow"/>
          <w:lang w:val="es-AR"/>
        </w:rPr>
        <w:t>aumento en la oferta agrícola ha contribuido a la disminución de los precios</w:t>
      </w:r>
      <w:r w:rsidRPr="00784630">
        <w:rPr>
          <w:lang w:val="es-AR"/>
        </w:rPr>
        <w:t xml:space="preserve"> de los productos agrícolas.</w:t>
      </w:r>
    </w:p>
    <w:p w14:paraId="1428C1DE" w14:textId="77777777" w:rsidR="00784630" w:rsidRPr="00784630" w:rsidRDefault="00784630" w:rsidP="00784630">
      <w:pPr>
        <w:numPr>
          <w:ilvl w:val="0"/>
          <w:numId w:val="8"/>
        </w:numPr>
        <w:rPr>
          <w:lang w:val="es-AR"/>
        </w:rPr>
      </w:pPr>
      <w:r w:rsidRPr="00784630">
        <w:rPr>
          <w:lang w:val="es-AR"/>
        </w:rPr>
        <w:t>El área cosechada de los cuatro principales cultivos (maíz, soja, trigo y arroz) alcanzó 700 millones de hectáreas en 2016, un aumento desde 625 millones en 2007.</w:t>
      </w:r>
    </w:p>
    <w:p w14:paraId="7AA21A84" w14:textId="77777777" w:rsidR="00784630" w:rsidRPr="00784630" w:rsidRDefault="00784630" w:rsidP="00784630">
      <w:pPr>
        <w:numPr>
          <w:ilvl w:val="0"/>
          <w:numId w:val="8"/>
        </w:numPr>
        <w:rPr>
          <w:lang w:val="es-AR"/>
        </w:rPr>
      </w:pPr>
      <w:r w:rsidRPr="00784630">
        <w:rPr>
          <w:lang w:val="es-AR"/>
        </w:rPr>
        <w:t>La tasa de crecimiento del área cosechada fue del 1.3% entre 2008 y 2016, superior al 0.9% de 2000-2007.</w:t>
      </w:r>
    </w:p>
    <w:p w14:paraId="37E034FC" w14:textId="77777777" w:rsidR="00784630" w:rsidRPr="00784630" w:rsidRDefault="00784630" w:rsidP="00784630">
      <w:pPr>
        <w:numPr>
          <w:ilvl w:val="0"/>
          <w:numId w:val="8"/>
        </w:numPr>
        <w:rPr>
          <w:lang w:val="es-AR"/>
        </w:rPr>
      </w:pPr>
      <w:r w:rsidRPr="00784630">
        <w:rPr>
          <w:highlight w:val="yellow"/>
          <w:lang w:val="es-AR"/>
        </w:rPr>
        <w:t>Los rendimientos globales por hectárea</w:t>
      </w:r>
      <w:r w:rsidRPr="00784630">
        <w:rPr>
          <w:lang w:val="es-AR"/>
        </w:rPr>
        <w:t xml:space="preserve"> crecieron de 1.0% a 1.8% entre 2000-2007 y 2008-2016.</w:t>
      </w:r>
    </w:p>
    <w:p w14:paraId="2F5D8B47" w14:textId="77777777" w:rsidR="00784630" w:rsidRPr="00784630" w:rsidRDefault="00784630" w:rsidP="00784630">
      <w:pPr>
        <w:numPr>
          <w:ilvl w:val="0"/>
          <w:numId w:val="8"/>
        </w:numPr>
        <w:rPr>
          <w:lang w:val="es-AR"/>
        </w:rPr>
      </w:pPr>
      <w:r w:rsidRPr="00784630">
        <w:rPr>
          <w:lang w:val="es-AR"/>
        </w:rPr>
        <w:t>La producción global de estos cultivos aumentó a una tasa de crecimiento anual promedio del 3.1% durante 2008-2016.</w:t>
      </w:r>
    </w:p>
    <w:p w14:paraId="32B4F391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Relación de Existencias y Uso</w:t>
      </w:r>
    </w:p>
    <w:p w14:paraId="62F0D42C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La relación de existencias a uso ha vuelto a niveles previos a la Gran Recesión, indicando un exceso de oferta.</w:t>
      </w:r>
    </w:p>
    <w:p w14:paraId="4C08754C" w14:textId="77777777" w:rsidR="00784630" w:rsidRPr="00784630" w:rsidRDefault="00784630" w:rsidP="00784630">
      <w:pPr>
        <w:numPr>
          <w:ilvl w:val="0"/>
          <w:numId w:val="9"/>
        </w:numPr>
        <w:rPr>
          <w:lang w:val="es-AR"/>
        </w:rPr>
      </w:pPr>
      <w:r w:rsidRPr="00784630">
        <w:rPr>
          <w:lang w:val="es-AR"/>
        </w:rPr>
        <w:t>Las relaciones de existencias a uso fueron más altas en 2013-2017 que en 2007-2012, reflejando un aumento en la oferta en relación con la demanda.</w:t>
      </w:r>
    </w:p>
    <w:p w14:paraId="7B88D23A" w14:textId="77777777" w:rsidR="00784630" w:rsidRDefault="00784630" w:rsidP="00784630">
      <w:pPr>
        <w:numPr>
          <w:ilvl w:val="0"/>
          <w:numId w:val="9"/>
        </w:numPr>
        <w:rPr>
          <w:lang w:val="es-AR"/>
        </w:rPr>
      </w:pPr>
      <w:r w:rsidRPr="00784630">
        <w:rPr>
          <w:lang w:val="es-AR"/>
        </w:rPr>
        <w:t>Las existencias de maíz y trigo en China se mantuvieron altas durante 2013-2017.</w:t>
      </w:r>
    </w:p>
    <w:p w14:paraId="5EAF2D95" w14:textId="77777777" w:rsidR="003B604F" w:rsidRPr="00784630" w:rsidRDefault="003B604F" w:rsidP="003B604F">
      <w:pPr>
        <w:ind w:left="720"/>
        <w:rPr>
          <w:lang w:val="es-AR"/>
        </w:rPr>
      </w:pPr>
    </w:p>
    <w:p w14:paraId="4AF5F14F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Factores Económicos que Afectan Precios Agrícolas</w:t>
      </w:r>
    </w:p>
    <w:p w14:paraId="58372F73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Las tasas de cambio y otros factores macroeconómicos influyen en los precios de los productos agrícolas.</w:t>
      </w:r>
    </w:p>
    <w:p w14:paraId="5824411E" w14:textId="77777777" w:rsidR="00784630" w:rsidRPr="00784630" w:rsidRDefault="00784630" w:rsidP="00784630">
      <w:pPr>
        <w:numPr>
          <w:ilvl w:val="0"/>
          <w:numId w:val="10"/>
        </w:numPr>
        <w:rPr>
          <w:lang w:val="es-AR"/>
        </w:rPr>
      </w:pPr>
      <w:commentRangeStart w:id="2"/>
      <w:r w:rsidRPr="00784630">
        <w:rPr>
          <w:lang w:val="es-AR"/>
        </w:rPr>
        <w:t xml:space="preserve">Una </w:t>
      </w:r>
      <w:r w:rsidRPr="00784630">
        <w:rPr>
          <w:highlight w:val="yellow"/>
          <w:lang w:val="es-AR"/>
        </w:rPr>
        <w:t>apreciación del dólar estadounidense tiende a disminuir los precios de los productos agrícolas</w:t>
      </w:r>
      <w:r w:rsidRPr="00784630">
        <w:rPr>
          <w:lang w:val="es-AR"/>
        </w:rPr>
        <w:t>.</w:t>
      </w:r>
      <w:commentRangeEnd w:id="2"/>
      <w:r w:rsidR="004C27B7">
        <w:rPr>
          <w:rStyle w:val="CommentReference"/>
        </w:rPr>
        <w:commentReference w:id="2"/>
      </w:r>
    </w:p>
    <w:p w14:paraId="01E2FCC9" w14:textId="77777777" w:rsidR="00784630" w:rsidRPr="00784630" w:rsidRDefault="00784630" w:rsidP="00784630">
      <w:pPr>
        <w:numPr>
          <w:ilvl w:val="0"/>
          <w:numId w:val="10"/>
        </w:numPr>
        <w:rPr>
          <w:lang w:val="es-AR"/>
        </w:rPr>
      </w:pPr>
      <w:r w:rsidRPr="00784630">
        <w:rPr>
          <w:lang w:val="es-AR"/>
        </w:rPr>
        <w:t>Entre 2012 y 2016, el dólar se apreció un 35% frente a las monedas de los principales socios comerciales de EE. UU.</w:t>
      </w:r>
    </w:p>
    <w:p w14:paraId="7C08592C" w14:textId="77777777" w:rsidR="00784630" w:rsidRPr="00784630" w:rsidRDefault="00784630" w:rsidP="00784630">
      <w:pPr>
        <w:numPr>
          <w:ilvl w:val="0"/>
          <w:numId w:val="10"/>
        </w:numPr>
        <w:rPr>
          <w:lang w:val="es-AR"/>
        </w:rPr>
      </w:pPr>
      <w:r w:rsidRPr="00784630">
        <w:rPr>
          <w:lang w:val="es-AR"/>
        </w:rPr>
        <w:t>Las exportaciones agrícolas de EE. UU. cayeron un 9% de 2013 a 2016 debido a la apreciación del dólar.</w:t>
      </w:r>
    </w:p>
    <w:p w14:paraId="6751E8FE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Políticas Agrícolas y su Impacto</w:t>
      </w:r>
    </w:p>
    <w:p w14:paraId="4C643A5B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lastRenderedPageBreak/>
        <w:t>Las políticas agrícolas han influido en el comercio de productos agrícolas tras las crisis de precios de 2007-2008.</w:t>
      </w:r>
    </w:p>
    <w:p w14:paraId="3C1F85FB" w14:textId="77777777" w:rsidR="00784630" w:rsidRPr="00784630" w:rsidRDefault="00784630" w:rsidP="00784630">
      <w:pPr>
        <w:numPr>
          <w:ilvl w:val="0"/>
          <w:numId w:val="11"/>
        </w:numPr>
        <w:rPr>
          <w:lang w:val="es-AR"/>
        </w:rPr>
      </w:pPr>
      <w:r w:rsidRPr="00784630">
        <w:rPr>
          <w:lang w:val="es-AR"/>
        </w:rPr>
        <w:t xml:space="preserve">Varios países implementaron </w:t>
      </w:r>
      <w:r w:rsidRPr="00784630">
        <w:rPr>
          <w:highlight w:val="yellow"/>
          <w:lang w:val="es-AR"/>
        </w:rPr>
        <w:t>restricciones comerciales</w:t>
      </w:r>
      <w:r w:rsidRPr="00784630">
        <w:rPr>
          <w:lang w:val="es-AR"/>
        </w:rPr>
        <w:t xml:space="preserve"> para limitar las exportaciones durante las crisis de precios.</w:t>
      </w:r>
    </w:p>
    <w:p w14:paraId="2063CE9E" w14:textId="77777777" w:rsidR="00784630" w:rsidRPr="00784630" w:rsidRDefault="00784630" w:rsidP="00784630">
      <w:pPr>
        <w:numPr>
          <w:ilvl w:val="0"/>
          <w:numId w:val="11"/>
        </w:numPr>
        <w:rPr>
          <w:lang w:val="es-AR"/>
        </w:rPr>
      </w:pPr>
      <w:r w:rsidRPr="00784630">
        <w:rPr>
          <w:lang w:val="es-AR"/>
        </w:rPr>
        <w:t xml:space="preserve">Desde 2012, algunos exportadores han reducido o eliminado </w:t>
      </w:r>
      <w:r w:rsidRPr="00784630">
        <w:rPr>
          <w:highlight w:val="yellow"/>
          <w:lang w:val="es-AR"/>
        </w:rPr>
        <w:t>tarifas de exportación,</w:t>
      </w:r>
      <w:r w:rsidRPr="00784630">
        <w:rPr>
          <w:lang w:val="es-AR"/>
        </w:rPr>
        <w:t xml:space="preserve"> aumentando así las exportaciones.</w:t>
      </w:r>
    </w:p>
    <w:p w14:paraId="2FFA5479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Implicaciones para Consumidores y Productores</w:t>
      </w:r>
    </w:p>
    <w:p w14:paraId="31876DF7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Los cambios en los precios de los productos agrícolas afectan directamente los ingresos de los agricultores.</w:t>
      </w:r>
    </w:p>
    <w:p w14:paraId="33926590" w14:textId="77777777" w:rsidR="00784630" w:rsidRPr="00784630" w:rsidRDefault="00784630" w:rsidP="00784630">
      <w:pPr>
        <w:numPr>
          <w:ilvl w:val="0"/>
          <w:numId w:val="12"/>
        </w:numPr>
        <w:rPr>
          <w:lang w:val="es-AR"/>
        </w:rPr>
      </w:pPr>
      <w:r w:rsidRPr="00784630">
        <w:rPr>
          <w:lang w:val="es-AR"/>
        </w:rPr>
        <w:t>Los precios bajos pueden llevar a ajustes en las prácticas agrícolas y reducir la inversión a largo plazo.</w:t>
      </w:r>
    </w:p>
    <w:p w14:paraId="124F0E12" w14:textId="77777777" w:rsidR="00784630" w:rsidRPr="00784630" w:rsidRDefault="00784630" w:rsidP="00784630">
      <w:pPr>
        <w:numPr>
          <w:ilvl w:val="0"/>
          <w:numId w:val="12"/>
        </w:numPr>
        <w:rPr>
          <w:lang w:val="es-AR"/>
        </w:rPr>
      </w:pPr>
      <w:r w:rsidRPr="00784630">
        <w:rPr>
          <w:lang w:val="es-AR"/>
        </w:rPr>
        <w:t>Los consumidores urbanos en países en desarrollo se benefician de precios de alimentos más bajos, mientras que los hogares rurales pueden enfrentar un aumento de la pobreza.</w:t>
      </w:r>
    </w:p>
    <w:p w14:paraId="7DDB8A53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Proyecciones de Precios a 10 Años</w:t>
      </w:r>
    </w:p>
    <w:p w14:paraId="6A567E6C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Las proyecciones del USDA indican que el sector agrícola se ajustará a precios más bajos.</w:t>
      </w:r>
    </w:p>
    <w:p w14:paraId="133CE136" w14:textId="77777777" w:rsidR="00784630" w:rsidRPr="00784630" w:rsidRDefault="00784630" w:rsidP="00784630">
      <w:pPr>
        <w:numPr>
          <w:ilvl w:val="0"/>
          <w:numId w:val="13"/>
        </w:numPr>
        <w:rPr>
          <w:lang w:val="es-AR"/>
        </w:rPr>
      </w:pPr>
      <w:r w:rsidRPr="00784630">
        <w:rPr>
          <w:lang w:val="es-AR"/>
        </w:rPr>
        <w:t>Se espera que los precios de la mayoría de los cultivos aumenten en la primera mitad del período proyectado hasta 2024 y luego disminuyan moderadamente.</w:t>
      </w:r>
    </w:p>
    <w:p w14:paraId="21987E48" w14:textId="77777777" w:rsidR="00784630" w:rsidRPr="00784630" w:rsidRDefault="00784630" w:rsidP="00784630">
      <w:pPr>
        <w:numPr>
          <w:ilvl w:val="0"/>
          <w:numId w:val="13"/>
        </w:numPr>
        <w:rPr>
          <w:lang w:val="es-AR"/>
        </w:rPr>
      </w:pPr>
      <w:r w:rsidRPr="00784630">
        <w:rPr>
          <w:lang w:val="es-AR"/>
        </w:rPr>
        <w:t>Las exportaciones agrícolas de EE. UU. se proyectan que crecerán a un ritmo del 2.5% anual hasta 2028.</w:t>
      </w:r>
    </w:p>
    <w:p w14:paraId="72314354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Análisis Empírico de Cambios en la Demanda y Oferta</w:t>
      </w:r>
    </w:p>
    <w:p w14:paraId="66F0F00A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>Se simulan los impactos de cambios en la demanda y oferta utilizando el modelo CCLS del USDA.</w:t>
      </w:r>
    </w:p>
    <w:p w14:paraId="443599A8" w14:textId="77777777" w:rsidR="00784630" w:rsidRPr="00784630" w:rsidRDefault="00784630" w:rsidP="00784630">
      <w:pPr>
        <w:numPr>
          <w:ilvl w:val="0"/>
          <w:numId w:val="14"/>
        </w:numPr>
        <w:rPr>
          <w:lang w:val="es-AR"/>
        </w:rPr>
      </w:pPr>
      <w:r w:rsidRPr="00784630">
        <w:rPr>
          <w:lang w:val="es-AR"/>
        </w:rPr>
        <w:t>Se presentan tres escenarios: debilitamiento de la demanda global, reducción de la oferta de cultivos y expansión de la producción agrícola en EE. UU.</w:t>
      </w:r>
    </w:p>
    <w:p w14:paraId="57549CB2" w14:textId="77777777" w:rsidR="00784630" w:rsidRPr="00784630" w:rsidRDefault="00784630" w:rsidP="00784630">
      <w:pPr>
        <w:numPr>
          <w:ilvl w:val="0"/>
          <w:numId w:val="14"/>
        </w:numPr>
        <w:rPr>
          <w:lang w:val="es-AR"/>
        </w:rPr>
      </w:pPr>
      <w:r w:rsidRPr="00784630">
        <w:rPr>
          <w:lang w:val="es-AR"/>
        </w:rPr>
        <w:t>En el primer escenario, los precios de los productos agrícolas podrían caer un 4% debido a una disminución en la demanda.</w:t>
      </w:r>
    </w:p>
    <w:p w14:paraId="640C2A42" w14:textId="77777777" w:rsidR="00784630" w:rsidRPr="00784630" w:rsidRDefault="00784630" w:rsidP="00784630">
      <w:pPr>
        <w:numPr>
          <w:ilvl w:val="0"/>
          <w:numId w:val="14"/>
        </w:numPr>
        <w:rPr>
          <w:lang w:val="es-AR"/>
        </w:rPr>
      </w:pPr>
      <w:r w:rsidRPr="00784630">
        <w:rPr>
          <w:lang w:val="es-AR"/>
        </w:rPr>
        <w:t>En el segundo escenario, los precios aumentarían un 12% debido a una reducción del 3% en el área cosechada.</w:t>
      </w:r>
    </w:p>
    <w:p w14:paraId="41BE1EC3" w14:textId="77777777" w:rsidR="00784630" w:rsidRPr="00784630" w:rsidRDefault="00784630" w:rsidP="00784630">
      <w:pPr>
        <w:numPr>
          <w:ilvl w:val="0"/>
          <w:numId w:val="14"/>
        </w:numPr>
        <w:rPr>
          <w:lang w:val="es-AR"/>
        </w:rPr>
      </w:pPr>
      <w:r w:rsidRPr="00784630">
        <w:rPr>
          <w:lang w:val="es-AR"/>
        </w:rPr>
        <w:lastRenderedPageBreak/>
        <w:t>En el tercer escenario, un aumento del 1% en el área cosechada en EE. UU. resultaría en una disminución del 2% en los precios.</w:t>
      </w:r>
    </w:p>
    <w:p w14:paraId="35AEF130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 xml:space="preserve">Factores que Afectan los Precios de los </w:t>
      </w:r>
      <w:proofErr w:type="spellStart"/>
      <w:r w:rsidRPr="00784630">
        <w:rPr>
          <w:b/>
          <w:bCs/>
          <w:lang w:val="es-AR"/>
        </w:rPr>
        <w:t>Commodities</w:t>
      </w:r>
      <w:proofErr w:type="spellEnd"/>
    </w:p>
    <w:p w14:paraId="136789D2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Los ingresos globales, los precios de la energía y las capacidades de producción influyen en los precios y el comercio de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agrícolas.</w:t>
      </w:r>
    </w:p>
    <w:p w14:paraId="061EE66E" w14:textId="77777777" w:rsidR="00784630" w:rsidRPr="00784630" w:rsidRDefault="00784630" w:rsidP="00784630">
      <w:pPr>
        <w:numPr>
          <w:ilvl w:val="0"/>
          <w:numId w:val="15"/>
        </w:numPr>
        <w:rPr>
          <w:lang w:val="es-AR"/>
        </w:rPr>
      </w:pPr>
      <w:r w:rsidRPr="00784630">
        <w:rPr>
          <w:lang w:val="es-AR"/>
        </w:rPr>
        <w:t>El crecimiento económico global débil y los bajos precios de la energía han llevado a un aumento de la oferta agrícola, resultando en precios más bajos.</w:t>
      </w:r>
    </w:p>
    <w:p w14:paraId="6A7AB2B8" w14:textId="77777777" w:rsidR="00784630" w:rsidRPr="00784630" w:rsidRDefault="00784630" w:rsidP="00784630">
      <w:pPr>
        <w:numPr>
          <w:ilvl w:val="0"/>
          <w:numId w:val="15"/>
        </w:numPr>
        <w:rPr>
          <w:lang w:val="es-AR"/>
        </w:rPr>
      </w:pPr>
      <w:r w:rsidRPr="00784630">
        <w:rPr>
          <w:lang w:val="es-AR"/>
        </w:rPr>
        <w:t>En contraste, el crecimiento económico rápido y la producción agrícola limitada contribuyeron a aumentos de precios en 2007-08 y 2011-12.</w:t>
      </w:r>
    </w:p>
    <w:p w14:paraId="002735DB" w14:textId="77777777" w:rsidR="00784630" w:rsidRPr="00784630" w:rsidRDefault="00784630" w:rsidP="00784630">
      <w:pPr>
        <w:numPr>
          <w:ilvl w:val="0"/>
          <w:numId w:val="15"/>
        </w:numPr>
        <w:rPr>
          <w:lang w:val="es-AR"/>
        </w:rPr>
      </w:pPr>
      <w:r w:rsidRPr="00784630">
        <w:rPr>
          <w:lang w:val="es-AR"/>
        </w:rPr>
        <w:t>La investigación utiliza un modelo de mercado agrícola global para analizar cómo cambios en la demanda y la oferta afectan los resultados del mercado.</w:t>
      </w:r>
    </w:p>
    <w:p w14:paraId="7B49D371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Escenarios de Simulación y Resultados</w:t>
      </w:r>
    </w:p>
    <w:p w14:paraId="5A41A1CB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Se presentan tres escenarios que analizan el impacto de diferentes condiciones económicas en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>.</w:t>
      </w:r>
    </w:p>
    <w:p w14:paraId="22E8C7D5" w14:textId="77777777" w:rsidR="00784630" w:rsidRPr="00784630" w:rsidRDefault="00784630" w:rsidP="00784630">
      <w:pPr>
        <w:numPr>
          <w:ilvl w:val="0"/>
          <w:numId w:val="16"/>
        </w:numPr>
        <w:rPr>
          <w:lang w:val="es-AR"/>
        </w:rPr>
      </w:pPr>
      <w:r w:rsidRPr="00784630">
        <w:rPr>
          <w:lang w:val="es-AR"/>
        </w:rPr>
        <w:t xml:space="preserve">En el primer escenario, un crecimiento del PIB más lento en economías en desarrollo podría reducir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en un 4% y el comercio global en un 1%.</w:t>
      </w:r>
    </w:p>
    <w:p w14:paraId="5746FD1C" w14:textId="77777777" w:rsidR="00784630" w:rsidRPr="00784630" w:rsidRDefault="00784630" w:rsidP="00784630">
      <w:pPr>
        <w:numPr>
          <w:ilvl w:val="0"/>
          <w:numId w:val="16"/>
        </w:numPr>
        <w:rPr>
          <w:lang w:val="es-AR"/>
        </w:rPr>
      </w:pPr>
      <w:r w:rsidRPr="00784630">
        <w:rPr>
          <w:lang w:val="es-AR"/>
        </w:rPr>
        <w:t>En el segundo escenario, una disminución del 3% en la producción de cultivos podría aumentar los precios en un 12% y reducir el comercio en un 2%.</w:t>
      </w:r>
    </w:p>
    <w:p w14:paraId="596906FE" w14:textId="77777777" w:rsidR="00784630" w:rsidRPr="00784630" w:rsidRDefault="00784630" w:rsidP="00784630">
      <w:pPr>
        <w:numPr>
          <w:ilvl w:val="0"/>
          <w:numId w:val="16"/>
        </w:numPr>
        <w:rPr>
          <w:lang w:val="es-AR"/>
        </w:rPr>
      </w:pPr>
      <w:r w:rsidRPr="00784630">
        <w:rPr>
          <w:lang w:val="es-AR"/>
        </w:rPr>
        <w:t>En el tercer escenario, un aumento del 1% en la producción agrícola de EE. UU. podría resultar en una disminución de precios del 2% y un aumento del comercio de menos del 1%.</w:t>
      </w:r>
    </w:p>
    <w:p w14:paraId="2D3E26BA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 xml:space="preserve">Impacto de los Precios de los </w:t>
      </w:r>
      <w:proofErr w:type="spellStart"/>
      <w:r w:rsidRPr="00784630">
        <w:rPr>
          <w:b/>
          <w:bCs/>
          <w:lang w:val="es-AR"/>
        </w:rPr>
        <w:t>Commodities</w:t>
      </w:r>
      <w:proofErr w:type="spellEnd"/>
      <w:r w:rsidRPr="00784630">
        <w:rPr>
          <w:b/>
          <w:bCs/>
          <w:lang w:val="es-AR"/>
        </w:rPr>
        <w:t xml:space="preserve"> en la Agricultura</w:t>
      </w:r>
    </w:p>
    <w:p w14:paraId="446068FD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afectan las decisiones de producción de los agricultores y la seguridad alimentaria.</w:t>
      </w:r>
    </w:p>
    <w:p w14:paraId="41A88D53" w14:textId="77777777" w:rsidR="00784630" w:rsidRPr="00784630" w:rsidRDefault="00784630" w:rsidP="00784630">
      <w:pPr>
        <w:numPr>
          <w:ilvl w:val="0"/>
          <w:numId w:val="17"/>
        </w:numPr>
        <w:rPr>
          <w:lang w:val="es-AR"/>
        </w:rPr>
      </w:pPr>
      <w:r w:rsidRPr="00784630">
        <w:rPr>
          <w:lang w:val="es-AR"/>
        </w:rPr>
        <w:t>Precios bajos sostenidos aumentan la seguridad alimentaria para los consumidores, pero reducen los ingresos de los agricultores.</w:t>
      </w:r>
    </w:p>
    <w:p w14:paraId="7A4273B4" w14:textId="77777777" w:rsidR="00784630" w:rsidRPr="00784630" w:rsidRDefault="00784630" w:rsidP="00784630">
      <w:pPr>
        <w:numPr>
          <w:ilvl w:val="0"/>
          <w:numId w:val="17"/>
        </w:numPr>
        <w:rPr>
          <w:lang w:val="es-AR"/>
        </w:rPr>
      </w:pPr>
      <w:r w:rsidRPr="00784630">
        <w:rPr>
          <w:lang w:val="es-AR"/>
        </w:rPr>
        <w:t>Los precios altos pueden aumentar los ingresos agrícolas, pero también pueden afectar negativamente la seguridad alimentaria en países en desarrollo.</w:t>
      </w:r>
    </w:p>
    <w:p w14:paraId="625DB653" w14:textId="77777777" w:rsidR="00784630" w:rsidRPr="00784630" w:rsidRDefault="00784630" w:rsidP="00784630">
      <w:pPr>
        <w:numPr>
          <w:ilvl w:val="0"/>
          <w:numId w:val="17"/>
        </w:numPr>
        <w:rPr>
          <w:lang w:val="es-AR"/>
        </w:rPr>
      </w:pPr>
      <w:r w:rsidRPr="00784630">
        <w:rPr>
          <w:lang w:val="es-AR"/>
        </w:rPr>
        <w:t xml:space="preserve">Comprender los factores que causan fluctuaciones en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es crucial para la toma de decisiones en el sector agrícola.</w:t>
      </w:r>
    </w:p>
    <w:p w14:paraId="40288AC2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lastRenderedPageBreak/>
        <w:t>Cambios en la Oferta y Demanda desde 2014</w:t>
      </w:r>
    </w:p>
    <w:p w14:paraId="6E6010F0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Desde 2014, la interacción entre la disminución de la demanda y el aumento de la oferta ha llevado a la caída de los precios de los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>.</w:t>
      </w:r>
    </w:p>
    <w:p w14:paraId="7676A691" w14:textId="77777777" w:rsidR="00784630" w:rsidRPr="00784630" w:rsidRDefault="00784630" w:rsidP="00784630">
      <w:pPr>
        <w:numPr>
          <w:ilvl w:val="0"/>
          <w:numId w:val="18"/>
        </w:numPr>
        <w:rPr>
          <w:lang w:val="es-AR"/>
        </w:rPr>
      </w:pPr>
      <w:r w:rsidRPr="00784630">
        <w:rPr>
          <w:lang w:val="es-AR"/>
        </w:rPr>
        <w:t>La demanda ha sido afectada por un crecimiento económico global lento y una expansión limitada de biocombustibles.</w:t>
      </w:r>
    </w:p>
    <w:p w14:paraId="40E111B8" w14:textId="77777777" w:rsidR="00784630" w:rsidRPr="00784630" w:rsidRDefault="00784630" w:rsidP="00784630">
      <w:pPr>
        <w:numPr>
          <w:ilvl w:val="0"/>
          <w:numId w:val="18"/>
        </w:numPr>
        <w:rPr>
          <w:lang w:val="es-AR"/>
        </w:rPr>
      </w:pPr>
      <w:r w:rsidRPr="00784630">
        <w:rPr>
          <w:lang w:val="es-AR"/>
        </w:rPr>
        <w:t>La oferta ha aumentado debido a la expansión de tierras agrícolas y la reducción de costos de producción.</w:t>
      </w:r>
    </w:p>
    <w:p w14:paraId="1571A23A" w14:textId="77777777" w:rsidR="00784630" w:rsidRPr="00784630" w:rsidRDefault="00784630" w:rsidP="00784630">
      <w:pPr>
        <w:numPr>
          <w:ilvl w:val="0"/>
          <w:numId w:val="18"/>
        </w:numPr>
        <w:rPr>
          <w:highlight w:val="yellow"/>
          <w:lang w:val="es-AR"/>
        </w:rPr>
      </w:pPr>
      <w:r w:rsidRPr="00784630">
        <w:rPr>
          <w:highlight w:val="yellow"/>
          <w:lang w:val="es-AR"/>
        </w:rPr>
        <w:t>Factores como el precio del petróleo, la tasa de interés en EE. UU. y la fortaleza del dólar han influido en la dinámica de precios.</w:t>
      </w:r>
    </w:p>
    <w:p w14:paraId="43695181" w14:textId="77777777" w:rsidR="00784630" w:rsidRPr="00784630" w:rsidRDefault="00784630" w:rsidP="00784630">
      <w:pPr>
        <w:rPr>
          <w:lang w:val="es-AR"/>
        </w:rPr>
      </w:pPr>
      <w:r w:rsidRPr="00784630">
        <w:rPr>
          <w:b/>
          <w:bCs/>
          <w:lang w:val="es-AR"/>
        </w:rPr>
        <w:t>Resumen de Escenarios de Impacto en Stocks</w:t>
      </w:r>
    </w:p>
    <w:p w14:paraId="3A6891D0" w14:textId="77777777" w:rsidR="00784630" w:rsidRPr="00784630" w:rsidRDefault="00784630" w:rsidP="00784630">
      <w:pPr>
        <w:rPr>
          <w:lang w:val="es-AR"/>
        </w:rPr>
      </w:pPr>
      <w:r w:rsidRPr="00784630">
        <w:rPr>
          <w:lang w:val="es-AR"/>
        </w:rPr>
        <w:t xml:space="preserve">Se presentan cambios en los stocks de </w:t>
      </w:r>
      <w:proofErr w:type="spellStart"/>
      <w:r w:rsidRPr="00784630">
        <w:rPr>
          <w:lang w:val="es-AR"/>
        </w:rPr>
        <w:t>commodities</w:t>
      </w:r>
      <w:proofErr w:type="spellEnd"/>
      <w:r w:rsidRPr="00784630">
        <w:rPr>
          <w:lang w:val="es-AR"/>
        </w:rPr>
        <w:t xml:space="preserve"> en EE. UU. y globalmente bajo diferentes escenarios.</w:t>
      </w:r>
    </w:p>
    <w:p w14:paraId="58AEAB22" w14:textId="77777777" w:rsidR="00784630" w:rsidRPr="00784630" w:rsidRDefault="00784630" w:rsidP="00784630">
      <w:pPr>
        <w:numPr>
          <w:ilvl w:val="0"/>
          <w:numId w:val="19"/>
        </w:numPr>
        <w:rPr>
          <w:lang w:val="es-AR"/>
        </w:rPr>
      </w:pPr>
      <w:r w:rsidRPr="00784630">
        <w:rPr>
          <w:lang w:val="es-AR"/>
        </w:rPr>
        <w:t xml:space="preserve">Para el </w:t>
      </w:r>
      <w:r w:rsidRPr="00784630">
        <w:rPr>
          <w:color w:val="EE0000"/>
          <w:lang w:val="es-AR"/>
        </w:rPr>
        <w:t xml:space="preserve">maíz </w:t>
      </w:r>
      <w:r w:rsidRPr="00784630">
        <w:rPr>
          <w:lang w:val="es-AR"/>
        </w:rPr>
        <w:t>en EE. UU., se prevé un cambio del 0.60% en stocks, con una disminución de 6,02 mil toneladas.</w:t>
      </w:r>
    </w:p>
    <w:p w14:paraId="3FE817A2" w14:textId="77777777" w:rsidR="00784630" w:rsidRPr="00784630" w:rsidRDefault="00784630" w:rsidP="00784630">
      <w:pPr>
        <w:numPr>
          <w:ilvl w:val="0"/>
          <w:numId w:val="19"/>
        </w:numPr>
        <w:rPr>
          <w:lang w:val="es-AR"/>
        </w:rPr>
      </w:pPr>
      <w:r w:rsidRPr="00784630">
        <w:rPr>
          <w:lang w:val="es-AR"/>
        </w:rPr>
        <w:t xml:space="preserve">En el caso del </w:t>
      </w:r>
      <w:r w:rsidRPr="00784630">
        <w:rPr>
          <w:color w:val="EE0000"/>
          <w:lang w:val="es-AR"/>
        </w:rPr>
        <w:t>trigo</w:t>
      </w:r>
      <w:r w:rsidRPr="00784630">
        <w:rPr>
          <w:lang w:val="es-AR"/>
        </w:rPr>
        <w:t>, se espera un aumento del 1.04% en stocks, con una reducción de 10,77 mil toneladas.</w:t>
      </w:r>
    </w:p>
    <w:p w14:paraId="45DF8B5A" w14:textId="77777777" w:rsidR="00784630" w:rsidRDefault="00784630" w:rsidP="00784630">
      <w:pPr>
        <w:numPr>
          <w:ilvl w:val="0"/>
          <w:numId w:val="19"/>
        </w:numPr>
        <w:rPr>
          <w:lang w:val="es-AR"/>
        </w:rPr>
      </w:pPr>
      <w:r w:rsidRPr="00784630">
        <w:rPr>
          <w:lang w:val="es-AR"/>
        </w:rPr>
        <w:t>A nivel global, el maíz podría experimentar un cambio del 0.50% en stocks, con una disminución de 5,98 mil toneladas.</w:t>
      </w:r>
    </w:p>
    <w:p w14:paraId="1E08E337" w14:textId="77777777" w:rsidR="004F1FFF" w:rsidRDefault="004F1FFF" w:rsidP="004F1FFF">
      <w:pPr>
        <w:rPr>
          <w:lang w:val="es-AR"/>
        </w:rPr>
      </w:pPr>
    </w:p>
    <w:p w14:paraId="11922557" w14:textId="77777777" w:rsidR="004F1FFF" w:rsidRPr="00784630" w:rsidRDefault="004F1FFF" w:rsidP="004F1FFF">
      <w:pPr>
        <w:rPr>
          <w:lang w:val="es-AR"/>
        </w:rPr>
      </w:pPr>
    </w:p>
    <w:p w14:paraId="216F89EF" w14:textId="77777777" w:rsidR="0038397F" w:rsidRPr="00784630" w:rsidRDefault="0038397F">
      <w:pPr>
        <w:rPr>
          <w:lang w:val="es-AR"/>
        </w:rPr>
      </w:pPr>
    </w:p>
    <w:sectPr w:rsidR="0038397F" w:rsidRPr="007846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ula Ramirez" w:date="2025-12-02T20:07:00Z" w:initials="PR">
    <w:p w14:paraId="6F1E8632" w14:textId="77777777" w:rsidR="0076281C" w:rsidRDefault="0076281C" w:rsidP="0076281C">
      <w:pPr>
        <w:pStyle w:val="CommentText"/>
      </w:pPr>
      <w:r>
        <w:rPr>
          <w:rStyle w:val="CommentReference"/>
        </w:rPr>
        <w:annotationRef/>
      </w:r>
      <w:r>
        <w:rPr>
          <w:lang w:val="es-AR"/>
        </w:rPr>
        <w:t>PBI emergentes (China?)</w:t>
      </w:r>
    </w:p>
  </w:comment>
  <w:comment w:id="1" w:author="Paula Ramirez" w:date="2025-12-02T20:07:00Z" w:initials="PR">
    <w:p w14:paraId="02239941" w14:textId="62E7D7B7" w:rsidR="004C27B7" w:rsidRDefault="004C27B7" w:rsidP="004C27B7">
      <w:pPr>
        <w:pStyle w:val="CommentText"/>
      </w:pPr>
      <w:r>
        <w:rPr>
          <w:rStyle w:val="CommentReference"/>
        </w:rPr>
        <w:annotationRef/>
      </w:r>
      <w:r>
        <w:rPr>
          <w:lang w:val="es-AR"/>
        </w:rPr>
        <w:t>Gas-WTI y Brent</w:t>
      </w:r>
    </w:p>
  </w:comment>
  <w:comment w:id="2" w:author="Paula Ramirez" w:date="2025-12-02T20:06:00Z" w:initials="PR">
    <w:p w14:paraId="5C7C3964" w14:textId="7732D569" w:rsidR="004C27B7" w:rsidRDefault="004C27B7" w:rsidP="004C27B7">
      <w:pPr>
        <w:pStyle w:val="CommentText"/>
      </w:pPr>
      <w:r>
        <w:rPr>
          <w:rStyle w:val="CommentReference"/>
        </w:rPr>
        <w:annotationRef/>
      </w:r>
      <w:r>
        <w:rPr>
          <w:lang w:val="es-AR"/>
        </w:rPr>
        <w:t>DXY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1E8632" w15:done="0"/>
  <w15:commentEx w15:paraId="02239941" w15:done="0"/>
  <w15:commentEx w15:paraId="5C7C39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9D9F8F" w16cex:dateUtc="2025-12-03T02:07:00Z"/>
  <w16cex:commentExtensible w16cex:durableId="2A7D63E0" w16cex:dateUtc="2025-12-03T02:07:00Z"/>
  <w16cex:commentExtensible w16cex:durableId="72E01FFF" w16cex:dateUtc="2025-12-03T0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1E8632" w16cid:durableId="019D9F8F"/>
  <w16cid:commentId w16cid:paraId="02239941" w16cid:durableId="2A7D63E0"/>
  <w16cid:commentId w16cid:paraId="5C7C3964" w16cid:durableId="72E01F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132"/>
    <w:multiLevelType w:val="multilevel"/>
    <w:tmpl w:val="CA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2CA"/>
    <w:multiLevelType w:val="multilevel"/>
    <w:tmpl w:val="4C9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7085"/>
    <w:multiLevelType w:val="multilevel"/>
    <w:tmpl w:val="B97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7E2C"/>
    <w:multiLevelType w:val="multilevel"/>
    <w:tmpl w:val="617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A5878"/>
    <w:multiLevelType w:val="multilevel"/>
    <w:tmpl w:val="799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00380"/>
    <w:multiLevelType w:val="multilevel"/>
    <w:tmpl w:val="EDC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D1B8A"/>
    <w:multiLevelType w:val="multilevel"/>
    <w:tmpl w:val="894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91999"/>
    <w:multiLevelType w:val="multilevel"/>
    <w:tmpl w:val="52B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A2390"/>
    <w:multiLevelType w:val="multilevel"/>
    <w:tmpl w:val="F35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122C6"/>
    <w:multiLevelType w:val="multilevel"/>
    <w:tmpl w:val="678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B0940"/>
    <w:multiLevelType w:val="multilevel"/>
    <w:tmpl w:val="FAB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175A0"/>
    <w:multiLevelType w:val="multilevel"/>
    <w:tmpl w:val="72E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F4EE0"/>
    <w:multiLevelType w:val="multilevel"/>
    <w:tmpl w:val="785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D10BF"/>
    <w:multiLevelType w:val="multilevel"/>
    <w:tmpl w:val="3E8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A2491"/>
    <w:multiLevelType w:val="multilevel"/>
    <w:tmpl w:val="266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B2BF4"/>
    <w:multiLevelType w:val="multilevel"/>
    <w:tmpl w:val="D73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77E28"/>
    <w:multiLevelType w:val="multilevel"/>
    <w:tmpl w:val="4DB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6483C"/>
    <w:multiLevelType w:val="multilevel"/>
    <w:tmpl w:val="DE8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61A03"/>
    <w:multiLevelType w:val="multilevel"/>
    <w:tmpl w:val="3CE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058C0"/>
    <w:multiLevelType w:val="multilevel"/>
    <w:tmpl w:val="15F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9248A"/>
    <w:multiLevelType w:val="multilevel"/>
    <w:tmpl w:val="EC88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4300A"/>
    <w:multiLevelType w:val="multilevel"/>
    <w:tmpl w:val="4DF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44C7F"/>
    <w:multiLevelType w:val="multilevel"/>
    <w:tmpl w:val="EE8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265E9"/>
    <w:multiLevelType w:val="multilevel"/>
    <w:tmpl w:val="B84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145409">
    <w:abstractNumId w:val="21"/>
  </w:num>
  <w:num w:numId="2" w16cid:durableId="1487090521">
    <w:abstractNumId w:val="9"/>
  </w:num>
  <w:num w:numId="3" w16cid:durableId="1055814155">
    <w:abstractNumId w:val="6"/>
  </w:num>
  <w:num w:numId="4" w16cid:durableId="1942906266">
    <w:abstractNumId w:val="19"/>
  </w:num>
  <w:num w:numId="5" w16cid:durableId="953947034">
    <w:abstractNumId w:val="4"/>
  </w:num>
  <w:num w:numId="6" w16cid:durableId="1844735244">
    <w:abstractNumId w:val="5"/>
  </w:num>
  <w:num w:numId="7" w16cid:durableId="976295801">
    <w:abstractNumId w:val="10"/>
  </w:num>
  <w:num w:numId="8" w16cid:durableId="434248940">
    <w:abstractNumId w:val="11"/>
  </w:num>
  <w:num w:numId="9" w16cid:durableId="16078596">
    <w:abstractNumId w:val="13"/>
  </w:num>
  <w:num w:numId="10" w16cid:durableId="1311910989">
    <w:abstractNumId w:val="1"/>
  </w:num>
  <w:num w:numId="11" w16cid:durableId="777801023">
    <w:abstractNumId w:val="12"/>
  </w:num>
  <w:num w:numId="12" w16cid:durableId="1656831946">
    <w:abstractNumId w:val="7"/>
  </w:num>
  <w:num w:numId="13" w16cid:durableId="1335107502">
    <w:abstractNumId w:val="18"/>
  </w:num>
  <w:num w:numId="14" w16cid:durableId="1410611229">
    <w:abstractNumId w:val="2"/>
  </w:num>
  <w:num w:numId="15" w16cid:durableId="1128620041">
    <w:abstractNumId w:val="16"/>
  </w:num>
  <w:num w:numId="16" w16cid:durableId="101269922">
    <w:abstractNumId w:val="23"/>
  </w:num>
  <w:num w:numId="17" w16cid:durableId="790438282">
    <w:abstractNumId w:val="8"/>
  </w:num>
  <w:num w:numId="18" w16cid:durableId="361513874">
    <w:abstractNumId w:val="22"/>
  </w:num>
  <w:num w:numId="19" w16cid:durableId="1584072096">
    <w:abstractNumId w:val="17"/>
  </w:num>
  <w:num w:numId="20" w16cid:durableId="1518079438">
    <w:abstractNumId w:val="0"/>
  </w:num>
  <w:num w:numId="21" w16cid:durableId="2136942309">
    <w:abstractNumId w:val="14"/>
  </w:num>
  <w:num w:numId="22" w16cid:durableId="1039629359">
    <w:abstractNumId w:val="15"/>
  </w:num>
  <w:num w:numId="23" w16cid:durableId="519977125">
    <w:abstractNumId w:val="3"/>
  </w:num>
  <w:num w:numId="24" w16cid:durableId="1823429193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a Ramirez">
    <w15:presenceInfo w15:providerId="Windows Live" w15:userId="6964f403329964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13"/>
    <w:rsid w:val="00063EDD"/>
    <w:rsid w:val="000A0113"/>
    <w:rsid w:val="000C370E"/>
    <w:rsid w:val="001270F6"/>
    <w:rsid w:val="0038397F"/>
    <w:rsid w:val="003B53F9"/>
    <w:rsid w:val="003B604F"/>
    <w:rsid w:val="00410EB8"/>
    <w:rsid w:val="004A76DB"/>
    <w:rsid w:val="004C27B7"/>
    <w:rsid w:val="004F1FFF"/>
    <w:rsid w:val="005A1E1C"/>
    <w:rsid w:val="00611E79"/>
    <w:rsid w:val="006905E9"/>
    <w:rsid w:val="006A6282"/>
    <w:rsid w:val="0076281C"/>
    <w:rsid w:val="00784630"/>
    <w:rsid w:val="00805444"/>
    <w:rsid w:val="0084524B"/>
    <w:rsid w:val="00965C21"/>
    <w:rsid w:val="00A702AE"/>
    <w:rsid w:val="00A935C5"/>
    <w:rsid w:val="00AB7974"/>
    <w:rsid w:val="00B17381"/>
    <w:rsid w:val="00D74EE0"/>
    <w:rsid w:val="00D936B9"/>
    <w:rsid w:val="00E0668C"/>
    <w:rsid w:val="00F04EDE"/>
    <w:rsid w:val="00F22560"/>
    <w:rsid w:val="00F3586B"/>
    <w:rsid w:val="00FB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E711C"/>
  <w15:chartTrackingRefBased/>
  <w15:docId w15:val="{FF339481-8A6F-4F49-AAFF-1BD87E9F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1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C27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27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27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7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7B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4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4E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2078</Words>
  <Characters>11846</Characters>
  <Application>Microsoft Office Word</Application>
  <DocSecurity>0</DocSecurity>
  <Lines>98</Lines>
  <Paragraphs>27</Paragraphs>
  <ScaleCrop>false</ScaleCrop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Ramirez</dc:creator>
  <cp:keywords/>
  <dc:description/>
  <cp:lastModifiedBy>Paula Ramirez</cp:lastModifiedBy>
  <cp:revision>25</cp:revision>
  <dcterms:created xsi:type="dcterms:W3CDTF">2025-12-03T01:30:00Z</dcterms:created>
  <dcterms:modified xsi:type="dcterms:W3CDTF">2025-12-06T02:08:00Z</dcterms:modified>
</cp:coreProperties>
</file>