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360" w:before="0" w:after="140"/>
        <w:ind w:start="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Technical Report: Unsupervised Graph Representation Learning for Patient Stratification Using Deep Graph Infomax (DGI) with Graph Attention Networks (GAT)</w: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1. Introduction</w:t>
      </w:r>
    </w:p>
    <w:p>
      <w:pPr>
        <w:pStyle w:val="TextBody"/>
        <w:widowControl/>
        <w:bidi w:val="0"/>
        <w:ind w:start="180" w:end="0" w:hanging="0"/>
        <w:jc w:val="start"/>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This report describes an unsupervised graph representation learning framework designed to learn meaningful embeddings from patient graphs without requiring labeled data. The model combines </w:t>
      </w: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Graph Attention Networks (GAT)</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with </w:t>
      </w: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Deep Graph Infomax (DGI)</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to generate low-dimensional representations of patient graphs, which can be used for downstream tasks such as clustering, classification, or patient stratification.</w: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2. Methodology</w:t>
      </w:r>
    </w:p>
    <w:p>
      <w:pPr>
        <w:pStyle w:val="Heading3"/>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2.1 Model Architecture</w:t>
      </w:r>
    </w:p>
    <w:p>
      <w:pPr>
        <w:pStyle w:val="TextBody"/>
        <w:widowControl/>
        <w:bidi w:val="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The proposed model consists of three main components:</w:t>
      </w:r>
    </w:p>
    <w:p>
      <w:pPr>
        <w:pStyle w:val="TextBody"/>
        <w:widowControl/>
        <w:numPr>
          <w:ilvl w:val="0"/>
          <w:numId w:val="1"/>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GAT Encoder</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 two-layer Graph Attention Network that generates node embeddings.</w:t>
      </w:r>
    </w:p>
    <w:p>
      <w:pPr>
        <w:pStyle w:val="TextBody"/>
        <w:widowControl/>
        <w:numPr>
          <w:ilvl w:val="0"/>
          <w:numId w:val="1"/>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Attention Readout</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Aggregates node embeddings into a single graph-level representation.</w:t>
      </w:r>
    </w:p>
    <w:p>
      <w:pPr>
        <w:pStyle w:val="TextBody"/>
        <w:widowControl/>
        <w:numPr>
          <w:ilvl w:val="0"/>
          <w:numId w:val="1"/>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Discriminator</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 binary classifier trained to distinguish between real and corrupted node-graph pairs (DGI objective).</w:t>
      </w:r>
    </w:p>
    <w:p>
      <w:pPr>
        <w:pStyle w:val="Heading4"/>
        <w:widowControl/>
        <w:bidi w:val="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2.1.1 GAT Encoder</w:t>
      </w:r>
    </w:p>
    <w:p>
      <w:pPr>
        <w:pStyle w:val="TextBody"/>
        <w:widowControl/>
        <w:numPr>
          <w:ilvl w:val="0"/>
          <w:numId w:val="2"/>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Input</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Node features and adjacency matrix.</w:t>
      </w:r>
    </w:p>
    <w:p>
      <w:pPr>
        <w:pStyle w:val="TextBody"/>
        <w:widowControl/>
        <w:numPr>
          <w:ilvl w:val="0"/>
          <w:numId w:val="2"/>
        </w:numPr>
        <w:tabs>
          <w:tab w:val="clear" w:pos="709"/>
          <w:tab w:val="left" w:pos="180" w:leader="none"/>
        </w:tabs>
        <w:bidi w:val="0"/>
        <w:spacing w:before="0" w:after="6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Layers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w:t>
      </w:r>
    </w:p>
    <w:p>
      <w:pPr>
        <w:pStyle w:val="TextBody"/>
        <w:widowControl/>
        <w:numPr>
          <w:ilvl w:val="1"/>
          <w:numId w:val="2"/>
        </w:numPr>
        <w:tabs>
          <w:tab w:val="clear" w:pos="709"/>
          <w:tab w:val="left" w:pos="889" w:leader="none"/>
        </w:tabs>
        <w:bidi w:val="0"/>
        <w:spacing w:before="0" w:after="0"/>
        <w:ind w:start="889"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First Layer</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Multi-head GAT with </w:t>
      </w:r>
      <w:r>
        <w:rPr>
          <w:rStyle w:val="SourceText"/>
          <w:rFonts w:ascii="var ds-font-family-code" w:hAnsi="var ds-font-family-code"/>
          <w:b w:val="false"/>
          <w:i w:val="false"/>
          <w:caps w:val="false"/>
          <w:smallCaps w:val="false"/>
          <w:color w:val="404040"/>
          <w:spacing w:val="0"/>
          <w:sz w:val="24"/>
        </w:rPr>
        <w:t>hidden_channels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and </w:t>
      </w:r>
      <w:r>
        <w:rPr>
          <w:rStyle w:val="SourceText"/>
          <w:rFonts w:ascii="var ds-font-family-code" w:hAnsi="var ds-font-family-code"/>
          <w:b w:val="false"/>
          <w:i w:val="false"/>
          <w:caps w:val="false"/>
          <w:smallCaps w:val="false"/>
          <w:color w:val="404040"/>
          <w:spacing w:val="0"/>
          <w:sz w:val="24"/>
        </w:rPr>
        <w:t>num_heads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w:t>
      </w:r>
    </w:p>
    <w:p>
      <w:pPr>
        <w:pStyle w:val="TextBody"/>
        <w:widowControl/>
        <w:numPr>
          <w:ilvl w:val="1"/>
          <w:numId w:val="2"/>
        </w:numPr>
        <w:tabs>
          <w:tab w:val="clear" w:pos="709"/>
          <w:tab w:val="left" w:pos="889" w:leader="none"/>
        </w:tabs>
        <w:bidi w:val="0"/>
        <w:spacing w:before="0" w:after="0"/>
        <w:ind w:start="889"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Second Layer</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Single-head GAT producing </w:t>
      </w:r>
      <w:r>
        <w:rPr>
          <w:rStyle w:val="SourceText"/>
          <w:rFonts w:ascii="var ds-font-family-code" w:hAnsi="var ds-font-family-code"/>
          <w:b w:val="false"/>
          <w:i w:val="false"/>
          <w:caps w:val="false"/>
          <w:smallCaps w:val="false"/>
          <w:color w:val="404040"/>
          <w:spacing w:val="0"/>
          <w:sz w:val="24"/>
        </w:rPr>
        <w:t>out_channels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-dimensional embeddings.</w:t>
      </w:r>
    </w:p>
    <w:p>
      <w:pPr>
        <w:pStyle w:val="TextBody"/>
        <w:widowControl/>
        <w:numPr>
          <w:ilvl w:val="0"/>
          <w:numId w:val="2"/>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Normalization</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Batch normalization after each GAT layer.</w:t>
      </w:r>
    </w:p>
    <w:p>
      <w:pPr>
        <w:pStyle w:val="TextBody"/>
        <w:widowControl/>
        <w:numPr>
          <w:ilvl w:val="0"/>
          <w:numId w:val="2"/>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Activation</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Exponential Linear Unit (ELU).</w:t>
      </w:r>
    </w:p>
    <w:p>
      <w:pPr>
        <w:pStyle w:val="Heading4"/>
        <w:widowControl/>
        <w:bidi w:val="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2.1.2 Attention Readout</w:t>
      </w:r>
    </w:p>
    <w:p>
      <w:pPr>
        <w:pStyle w:val="TextBody"/>
        <w:widowControl/>
        <w:numPr>
          <w:ilvl w:val="0"/>
          <w:numId w:val="3"/>
        </w:numPr>
        <w:tabs>
          <w:tab w:val="clear" w:pos="709"/>
          <w:tab w:val="left" w:pos="180" w:leader="none"/>
        </w:tabs>
        <w:bidi w:val="0"/>
        <w:spacing w:before="0" w:after="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Computes attention weights for each node using a learned linear layer.</w:t>
      </w:r>
    </w:p>
    <w:p>
      <w:pPr>
        <w:pStyle w:val="TextBody"/>
        <w:widowControl/>
        <w:numPr>
          <w:ilvl w:val="0"/>
          <w:numId w:val="3"/>
        </w:numPr>
        <w:tabs>
          <w:tab w:val="clear" w:pos="709"/>
          <w:tab w:val="left" w:pos="180" w:leader="none"/>
        </w:tabs>
        <w:bidi w:val="0"/>
        <w:spacing w:before="0" w:after="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Generates a graph embedding via a weighted sum of node embeddings.</w:t>
      </w:r>
    </w:p>
    <w:p>
      <w:pPr>
        <w:pStyle w:val="Heading4"/>
        <w:widowControl/>
        <w:bidi w:val="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2.1.3 Discriminator</w:t>
      </w:r>
    </w:p>
    <w:p>
      <w:pPr>
        <w:pStyle w:val="TextBody"/>
        <w:widowControl/>
        <w:numPr>
          <w:ilvl w:val="0"/>
          <w:numId w:val="4"/>
        </w:numPr>
        <w:tabs>
          <w:tab w:val="clear" w:pos="709"/>
          <w:tab w:val="left" w:pos="180" w:leader="none"/>
        </w:tabs>
        <w:bidi w:val="0"/>
        <w:spacing w:before="0" w:after="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A two-layer MLP that takes concatenated node and graph embeddings.</w:t>
      </w:r>
    </w:p>
    <w:p>
      <w:pPr>
        <w:pStyle w:val="TextBody"/>
        <w:widowControl/>
        <w:numPr>
          <w:ilvl w:val="0"/>
          <w:numId w:val="4"/>
        </w:numPr>
        <w:tabs>
          <w:tab w:val="clear" w:pos="709"/>
          <w:tab w:val="left" w:pos="180" w:leader="none"/>
        </w:tabs>
        <w:bidi w:val="0"/>
        <w:spacing w:before="0" w:after="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Outputs a probability score (sigmoid) indicating whether the pair is real or corrupted.</w:t>
      </w:r>
    </w:p>
    <w:p>
      <w:pPr>
        <w:pStyle w:val="Heading3"/>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2.2 Deep Graph Infomax (DGI) Objective</w:t>
      </w:r>
    </w:p>
    <w:p>
      <w:pPr>
        <w:pStyle w:val="TextBody"/>
        <w:widowControl/>
        <w:bidi w:val="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DGI is a self-supervised learning technique that maximizes mutual information between node-level and graph-level representations. The training process involves:</w:t>
      </w:r>
    </w:p>
    <w:p>
      <w:pPr>
        <w:pStyle w:val="TextBody"/>
        <w:widowControl/>
        <w:numPr>
          <w:ilvl w:val="0"/>
          <w:numId w:val="5"/>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Positive Pair</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(Node embedding, its own graph embedding).</w:t>
      </w:r>
    </w:p>
    <w:p>
      <w:pPr>
        <w:pStyle w:val="TextBody"/>
        <w:widowControl/>
        <w:numPr>
          <w:ilvl w:val="0"/>
          <w:numId w:val="5"/>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Negative Pair</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(Node embedding, corrupted graph embedding).</w:t>
      </w:r>
    </w:p>
    <w:p>
      <w:pPr>
        <w:pStyle w:val="TextBody"/>
        <w:widowControl/>
        <w:numPr>
          <w:ilvl w:val="0"/>
          <w:numId w:val="5"/>
        </w:numPr>
        <w:tabs>
          <w:tab w:val="clear" w:pos="709"/>
          <w:tab w:val="left" w:pos="180" w:leader="none"/>
        </w:tabs>
        <w:bidi w:val="0"/>
        <w:spacing w:before="0" w:after="6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Loss Function</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w:t>
      </w:r>
    </w:p>
    <w:p>
      <w:pPr>
        <w:pStyle w:val="TextBody"/>
        <w:widowControl/>
        <w:numPr>
          <w:ilvl w:val="0"/>
          <w:numId w:val="0"/>
        </w:numPr>
        <w:bidi w:val="0"/>
        <w:spacing w:lineRule="auto" w:line="288" w:before="60" w:after="140"/>
        <w:ind w:start="180" w:end="0" w:hanging="0"/>
        <w:jc w:val="center"/>
        <w:rPr>
          <w:rFonts w:ascii="KaTeX Main;Times New Roman;serif" w:hAnsi="KaTeX Main;Times New Roman;serif"/>
          <w:b w:val="false"/>
          <w:i w:val="false"/>
          <w:caps w:val="false"/>
          <w:smallCaps w:val="false"/>
          <w:color w:val="404040"/>
          <w:spacing w:val="0"/>
          <w:sz w:val="24"/>
        </w:rPr>
      </w:pPr>
      <w:r>
        <w:rPr>
          <w:rFonts w:ascii="KaTeX Caligraphic" w:hAnsi="KaTeX Caligraphic"/>
          <w:b w:val="false"/>
          <w:i w:val="false"/>
          <w:caps w:val="false"/>
          <w:smallCaps w:val="false"/>
          <w:color w:val="404040"/>
          <w:spacing w:val="0"/>
          <w:sz w:val="24"/>
        </w:rPr>
        <w:t>L</w:t>
      </w:r>
      <w:r>
        <w:rPr>
          <w:rFonts w:ascii="KaTeX Main;Times New Roman;serif" w:hAnsi="KaTeX Main;Times New Roman;serif"/>
          <w:b w:val="false"/>
          <w:i w:val="false"/>
          <w:caps w:val="false"/>
          <w:smallCaps w:val="false"/>
          <w:color w:val="404040"/>
          <w:spacing w:val="0"/>
          <w:sz w:val="24"/>
        </w:rPr>
        <w:t>=−</w:t>
      </w:r>
      <w:r>
        <w:rPr>
          <w:rFonts w:ascii="KaTeX AMS" w:hAnsi="KaTeX AMS"/>
          <w:b w:val="false"/>
          <w:i w:val="false"/>
          <w:caps w:val="false"/>
          <w:smallCaps w:val="false"/>
          <w:color w:val="404040"/>
          <w:spacing w:val="0"/>
          <w:sz w:val="24"/>
        </w:rPr>
        <w:t>E</w:t>
      </w:r>
      <w:r>
        <w:rPr>
          <w:rFonts w:ascii="KaTeX Main;Times New Roman;serif" w:hAnsi="KaTeX Main;Times New Roman;serif"/>
          <w:b w:val="false"/>
          <w:i w:val="false"/>
          <w:caps w:val="false"/>
          <w:smallCaps w:val="false"/>
          <w:color w:val="404040"/>
          <w:spacing w:val="0"/>
          <w:sz w:val="24"/>
        </w:rPr>
        <w:t>[log(</w:t>
      </w:r>
      <w:r>
        <w:rPr>
          <w:rFonts w:ascii="KaTeX Math" w:hAnsi="KaTeX Math"/>
          <w:b w:val="false"/>
          <w:i/>
          <w:caps w:val="false"/>
          <w:smallCaps w:val="false"/>
          <w:color w:val="404040"/>
          <w:spacing w:val="0"/>
          <w:sz w:val="24"/>
        </w:rPr>
        <w:t>D</w:t>
      </w:r>
      <w:r>
        <w:rPr>
          <w:rFonts w:ascii="KaTeX Main;Times New Roman;serif" w:hAnsi="KaTeX Main;Times New Roman;serif"/>
          <w:b w:val="false"/>
          <w:i w:val="false"/>
          <w:caps w:val="false"/>
          <w:smallCaps w:val="false"/>
          <w:color w:val="404040"/>
          <w:spacing w:val="0"/>
          <w:sz w:val="24"/>
        </w:rPr>
        <w:t>(real_pair))]−</w:t>
      </w:r>
      <w:r>
        <w:rPr>
          <w:rFonts w:ascii="KaTeX AMS" w:hAnsi="KaTeX AMS"/>
          <w:b w:val="false"/>
          <w:i w:val="false"/>
          <w:caps w:val="false"/>
          <w:smallCaps w:val="false"/>
          <w:color w:val="404040"/>
          <w:spacing w:val="0"/>
          <w:sz w:val="24"/>
        </w:rPr>
        <w:t>E</w:t>
      </w:r>
      <w:r>
        <w:rPr>
          <w:rFonts w:ascii="KaTeX Main;Times New Roman;serif" w:hAnsi="KaTeX Main;Times New Roman;serif"/>
          <w:b w:val="false"/>
          <w:i w:val="false"/>
          <w:caps w:val="false"/>
          <w:smallCaps w:val="false"/>
          <w:color w:val="404040"/>
          <w:spacing w:val="0"/>
          <w:sz w:val="24"/>
        </w:rPr>
        <w:t>[log(1−</w:t>
      </w:r>
      <w:r>
        <w:rPr>
          <w:rFonts w:ascii="KaTeX Math" w:hAnsi="KaTeX Math"/>
          <w:b w:val="false"/>
          <w:i/>
          <w:caps w:val="false"/>
          <w:smallCaps w:val="false"/>
          <w:color w:val="404040"/>
          <w:spacing w:val="0"/>
          <w:sz w:val="24"/>
        </w:rPr>
        <w:t>D</w:t>
      </w:r>
      <w:r>
        <w:rPr>
          <w:rFonts w:ascii="KaTeX Main;Times New Roman;serif" w:hAnsi="KaTeX Main;Times New Roman;serif"/>
          <w:b w:val="false"/>
          <w:i w:val="false"/>
          <w:caps w:val="false"/>
          <w:smallCaps w:val="false"/>
          <w:color w:val="404040"/>
          <w:spacing w:val="0"/>
          <w:sz w:val="24"/>
        </w:rPr>
        <w:t>(fake_pair))]</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75260"/>
                <wp:effectExtent l="0" t="0" r="0" b="0"/>
                <wp:wrapNone/>
                <wp:docPr id="1"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TextBody"/>
                              <w:bidi w:val="0"/>
                              <w:spacing w:lineRule="auto" w:line="276" w:before="0" w:after="14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TextBody"/>
                        <w:bidi w:val="0"/>
                        <w:spacing w:lineRule="auto" w:line="276" w:before="0" w:after="140"/>
                        <w:jc w:val="start"/>
                        <w:rPr/>
                      </w:pPr>
                      <w:r>
                        <w:rPr/>
                      </w:r>
                    </w:p>
                  </w:txbxContent>
                </v:textbox>
                <w10:wrap type="none"/>
              </v:rect>
            </w:pict>
          </mc:Fallback>
        </mc:AlternateContent>
      </w:r>
    </w:p>
    <w:p>
      <w:pPr>
        <w:pStyle w:val="TextBody"/>
        <w:widowControl/>
        <w:numPr>
          <w:ilvl w:val="0"/>
          <w:numId w:val="0"/>
        </w:numPr>
        <w:bidi w:val="0"/>
        <w:spacing w:lineRule="auto" w:line="288" w:before="60" w:after="0"/>
        <w:ind w:start="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where </w:t>
      </w:r>
      <w:r>
        <w:rPr>
          <w:rFonts w:ascii="KaTeX Math" w:hAnsi="KaTeX Math"/>
          <w:b w:val="false"/>
          <w:i/>
          <w:caps w:val="false"/>
          <w:smallCaps w:val="false"/>
          <w:color w:val="404040"/>
          <w:spacing w:val="0"/>
          <w:sz w:val="24"/>
        </w:rPr>
        <w:t>D</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is the discriminator.</w:t>
      </w:r>
      <w:r>
        <mc:AlternateContent>
          <mc:Choice Requires="wps">
            <w:drawing>
              <wp:anchor behindDoc="0" distT="0" distB="0" distL="0" distR="0" simplePos="0" locked="0" layoutInCell="0" allowOverlap="1" relativeHeight="3">
                <wp:simplePos x="0" y="0"/>
                <wp:positionH relativeFrom="character">
                  <wp:align>left</wp:align>
                </wp:positionH>
                <wp:positionV relativeFrom="line">
                  <wp:posOffset>635</wp:posOffset>
                </wp:positionV>
                <wp:extent cx="14605" cy="175260"/>
                <wp:effectExtent l="0" t="0" r="0" b="0"/>
                <wp:wrapNone/>
                <wp:docPr id="2" name="Frame2"/>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TextBody"/>
                              <w:bidi w:val="0"/>
                              <w:spacing w:lineRule="auto" w:line="276" w:before="0" w:after="140"/>
                              <w:jc w:val="star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TextBody"/>
                        <w:bidi w:val="0"/>
                        <w:spacing w:lineRule="auto" w:line="276" w:before="0" w:after="140"/>
                        <w:jc w:val="start"/>
                        <w:rPr/>
                      </w:pPr>
                      <w:r>
                        <w:rPr/>
                      </w:r>
                    </w:p>
                  </w:txbxContent>
                </v:textbox>
                <w10:wrap type="none"/>
              </v:rect>
            </w:pict>
          </mc:Fallback>
        </mc:AlternateConten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3. Implementation Details</w:t>
      </w:r>
    </w:p>
    <w:p>
      <w:pPr>
        <w:pStyle w:val="Heading3"/>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3.1 Parameters</w:t>
      </w:r>
    </w:p>
    <w:tbl>
      <w:tblPr>
        <w:tblW w:w="7332" w:type="dxa"/>
        <w:jc w:val="start"/>
        <w:tblInd w:w="0" w:type="dxa"/>
        <w:tblLayout w:type="fixed"/>
        <w:tblCellMar>
          <w:top w:w="28" w:type="dxa"/>
          <w:start w:w="0" w:type="dxa"/>
          <w:bottom w:w="28" w:type="dxa"/>
          <w:end w:w="0" w:type="dxa"/>
        </w:tblCellMar>
      </w:tblPr>
      <w:tblGrid>
        <w:gridCol w:w="2132"/>
        <w:gridCol w:w="682"/>
        <w:gridCol w:w="4518"/>
      </w:tblGrid>
      <w:tr>
        <w:trPr>
          <w:tblHeader w:val="true"/>
        </w:trPr>
        <w:tc>
          <w:tcPr>
            <w:tcW w:w="2132" w:type="dxa"/>
            <w:tcBorders>
              <w:top w:val="single" w:sz="2" w:space="0" w:color="000000"/>
              <w:bottom w:val="single" w:sz="2" w:space="0" w:color="000000"/>
            </w:tcBorders>
            <w:vAlign w:val="center"/>
          </w:tcPr>
          <w:p>
            <w:pPr>
              <w:pStyle w:val="TableHeading"/>
              <w:bidi w:val="0"/>
              <w:jc w:val="start"/>
              <w:rPr>
                <w:b/>
                <w:color w:val="000000"/>
              </w:rPr>
            </w:pPr>
            <w:r>
              <w:rPr>
                <w:b/>
                <w:color w:val="000000"/>
              </w:rPr>
              <w:t>Parameter</w:t>
            </w:r>
          </w:p>
        </w:tc>
        <w:tc>
          <w:tcPr>
            <w:tcW w:w="682" w:type="dxa"/>
            <w:tcBorders>
              <w:top w:val="single" w:sz="2" w:space="0" w:color="000000"/>
              <w:bottom w:val="single" w:sz="2" w:space="0" w:color="000000"/>
            </w:tcBorders>
            <w:vAlign w:val="center"/>
          </w:tcPr>
          <w:p>
            <w:pPr>
              <w:pStyle w:val="TableHeading"/>
              <w:bidi w:val="0"/>
              <w:jc w:val="start"/>
              <w:rPr>
                <w:b/>
                <w:color w:val="000000"/>
              </w:rPr>
            </w:pPr>
            <w:r>
              <w:rPr>
                <w:b/>
                <w:color w:val="000000"/>
              </w:rPr>
              <w:t>Value</w:t>
            </w:r>
          </w:p>
        </w:tc>
        <w:tc>
          <w:tcPr>
            <w:tcW w:w="4518" w:type="dxa"/>
            <w:tcBorders>
              <w:top w:val="single" w:sz="2" w:space="0" w:color="000000"/>
              <w:bottom w:val="single" w:sz="2" w:space="0" w:color="000000"/>
            </w:tcBorders>
            <w:vAlign w:val="center"/>
          </w:tcPr>
          <w:p>
            <w:pPr>
              <w:pStyle w:val="TableHeading"/>
              <w:bidi w:val="0"/>
              <w:jc w:val="start"/>
              <w:rPr>
                <w:b/>
                <w:color w:val="000000"/>
              </w:rPr>
            </w:pPr>
            <w:r>
              <w:rPr>
                <w:b/>
                <w:color w:val="000000"/>
              </w:rPr>
              <w:t>Description</w:t>
            </w:r>
          </w:p>
        </w:tc>
      </w:tr>
      <w:tr>
        <w:trPr/>
        <w:tc>
          <w:tcPr>
            <w:tcW w:w="2132" w:type="dxa"/>
            <w:tcBorders/>
            <w:tcMar>
              <w:start w:w="28" w:type="dxa"/>
              <w:end w:w="28" w:type="dxa"/>
            </w:tcMar>
            <w:vAlign w:val="center"/>
          </w:tcPr>
          <w:p>
            <w:pPr>
              <w:pStyle w:val="TableContents"/>
              <w:widowControl w:val="false"/>
              <w:suppressLineNumbers/>
              <w:bidi w:val="0"/>
              <w:jc w:val="start"/>
              <w:rPr/>
            </w:pPr>
            <w:r>
              <w:rPr>
                <w:rStyle w:val="SourceText"/>
                <w:rFonts w:ascii="var ds-font-family-code" w:hAnsi="var ds-font-family-code"/>
              </w:rPr>
              <w:t>in_channels</w:t>
            </w:r>
          </w:p>
        </w:tc>
        <w:tc>
          <w:tcPr>
            <w:tcW w:w="682" w:type="dxa"/>
            <w:tcBorders>
              <w:bottom w:val="single" w:sz="2" w:space="0" w:color="000000"/>
            </w:tcBorders>
            <w:tcMar>
              <w:top w:w="0" w:type="dxa"/>
            </w:tcMar>
            <w:vAlign w:val="center"/>
          </w:tcPr>
          <w:p>
            <w:pPr>
              <w:pStyle w:val="TableContents"/>
              <w:widowControl w:val="false"/>
              <w:suppressLineNumbers/>
              <w:bidi w:val="0"/>
              <w:jc w:val="start"/>
              <w:rPr/>
            </w:pPr>
            <w:r>
              <w:rPr>
                <w:rStyle w:val="SourceText"/>
                <w:rFonts w:ascii="var ds-font-family-code" w:hAnsi="var ds-font-family-code"/>
              </w:rPr>
              <w:t>X</w:t>
            </w:r>
          </w:p>
        </w:tc>
        <w:tc>
          <w:tcPr>
            <w:tcW w:w="4518" w:type="dxa"/>
            <w:tcBorders>
              <w:bottom w:val="single" w:sz="2" w:space="0" w:color="000000"/>
            </w:tcBorders>
            <w:tcMar>
              <w:top w:w="0" w:type="dxa"/>
            </w:tcMar>
            <w:vAlign w:val="center"/>
          </w:tcPr>
          <w:p>
            <w:pPr>
              <w:pStyle w:val="TableContents"/>
              <w:widowControl w:val="false"/>
              <w:suppressLineNumbers/>
              <w:bidi w:val="0"/>
              <w:jc w:val="start"/>
              <w:rPr/>
            </w:pPr>
            <w:r>
              <w:rPr/>
              <w:t>Input feature dimension (from patient graphs)</w:t>
            </w:r>
          </w:p>
        </w:tc>
      </w:tr>
      <w:tr>
        <w:trPr/>
        <w:tc>
          <w:tcPr>
            <w:tcW w:w="2132" w:type="dxa"/>
            <w:tcBorders/>
            <w:tcMar>
              <w:start w:w="28" w:type="dxa"/>
              <w:end w:w="28" w:type="dxa"/>
            </w:tcMar>
            <w:vAlign w:val="center"/>
          </w:tcPr>
          <w:p>
            <w:pPr>
              <w:pStyle w:val="TableContents"/>
              <w:widowControl w:val="false"/>
              <w:suppressLineNumbers/>
              <w:bidi w:val="0"/>
              <w:jc w:val="start"/>
              <w:rPr/>
            </w:pPr>
            <w:r>
              <w:rPr>
                <w:rStyle w:val="SourceText"/>
                <w:rFonts w:ascii="var ds-font-family-code" w:hAnsi="var ds-font-family-code"/>
              </w:rPr>
              <w:t>hidden_channels</w:t>
            </w:r>
          </w:p>
        </w:tc>
        <w:tc>
          <w:tcPr>
            <w:tcW w:w="682" w:type="dxa"/>
            <w:tcBorders>
              <w:bottom w:val="single" w:sz="2" w:space="0" w:color="000000"/>
            </w:tcBorders>
            <w:tcMar>
              <w:top w:w="0" w:type="dxa"/>
            </w:tcMar>
            <w:vAlign w:val="center"/>
          </w:tcPr>
          <w:p>
            <w:pPr>
              <w:pStyle w:val="TableContents"/>
              <w:widowControl w:val="false"/>
              <w:suppressLineNumbers/>
              <w:bidi w:val="0"/>
              <w:jc w:val="start"/>
              <w:rPr/>
            </w:pPr>
            <w:r>
              <w:rPr>
                <w:rStyle w:val="SourceText"/>
                <w:rFonts w:ascii="var ds-font-family-code" w:hAnsi="var ds-font-family-code"/>
              </w:rPr>
              <w:t>128</w:t>
            </w:r>
          </w:p>
        </w:tc>
        <w:tc>
          <w:tcPr>
            <w:tcW w:w="4518" w:type="dxa"/>
            <w:tcBorders>
              <w:bottom w:val="single" w:sz="2" w:space="0" w:color="000000"/>
            </w:tcBorders>
            <w:tcMar>
              <w:top w:w="0" w:type="dxa"/>
            </w:tcMar>
            <w:vAlign w:val="center"/>
          </w:tcPr>
          <w:p>
            <w:pPr>
              <w:pStyle w:val="TableContents"/>
              <w:widowControl w:val="false"/>
              <w:suppressLineNumbers/>
              <w:bidi w:val="0"/>
              <w:jc w:val="start"/>
              <w:rPr/>
            </w:pPr>
            <w:r>
              <w:rPr/>
              <w:t>Hidden layer dimension in GAT</w:t>
            </w:r>
          </w:p>
        </w:tc>
      </w:tr>
      <w:tr>
        <w:trPr/>
        <w:tc>
          <w:tcPr>
            <w:tcW w:w="2132" w:type="dxa"/>
            <w:tcBorders/>
            <w:tcMar>
              <w:start w:w="28" w:type="dxa"/>
              <w:end w:w="28" w:type="dxa"/>
            </w:tcMar>
            <w:vAlign w:val="center"/>
          </w:tcPr>
          <w:p>
            <w:pPr>
              <w:pStyle w:val="TableContents"/>
              <w:widowControl w:val="false"/>
              <w:suppressLineNumbers/>
              <w:bidi w:val="0"/>
              <w:jc w:val="start"/>
              <w:rPr/>
            </w:pPr>
            <w:r>
              <w:rPr>
                <w:rStyle w:val="SourceText"/>
                <w:rFonts w:ascii="var ds-font-family-code" w:hAnsi="var ds-font-family-code"/>
              </w:rPr>
              <w:t>out_channels</w:t>
            </w:r>
          </w:p>
        </w:tc>
        <w:tc>
          <w:tcPr>
            <w:tcW w:w="682" w:type="dxa"/>
            <w:tcBorders>
              <w:bottom w:val="single" w:sz="2" w:space="0" w:color="000000"/>
            </w:tcBorders>
            <w:tcMar>
              <w:top w:w="0" w:type="dxa"/>
            </w:tcMar>
            <w:vAlign w:val="center"/>
          </w:tcPr>
          <w:p>
            <w:pPr>
              <w:pStyle w:val="TableContents"/>
              <w:widowControl w:val="false"/>
              <w:suppressLineNumbers/>
              <w:bidi w:val="0"/>
              <w:jc w:val="start"/>
              <w:rPr/>
            </w:pPr>
            <w:r>
              <w:rPr>
                <w:rStyle w:val="SourceText"/>
                <w:rFonts w:ascii="var ds-font-family-code" w:hAnsi="var ds-font-family-code"/>
              </w:rPr>
              <w:t>128</w:t>
            </w:r>
          </w:p>
        </w:tc>
        <w:tc>
          <w:tcPr>
            <w:tcW w:w="4518" w:type="dxa"/>
            <w:tcBorders>
              <w:bottom w:val="single" w:sz="2" w:space="0" w:color="000000"/>
            </w:tcBorders>
            <w:tcMar>
              <w:top w:w="0" w:type="dxa"/>
            </w:tcMar>
            <w:vAlign w:val="center"/>
          </w:tcPr>
          <w:p>
            <w:pPr>
              <w:pStyle w:val="TableContents"/>
              <w:widowControl w:val="false"/>
              <w:suppressLineNumbers/>
              <w:bidi w:val="0"/>
              <w:jc w:val="start"/>
              <w:rPr/>
            </w:pPr>
            <w:r>
              <w:rPr/>
              <w:t>Final embedding dimension</w:t>
            </w:r>
          </w:p>
        </w:tc>
      </w:tr>
      <w:tr>
        <w:trPr/>
        <w:tc>
          <w:tcPr>
            <w:tcW w:w="2132" w:type="dxa"/>
            <w:tcBorders/>
            <w:tcMar>
              <w:start w:w="28" w:type="dxa"/>
              <w:end w:w="28" w:type="dxa"/>
            </w:tcMar>
            <w:vAlign w:val="center"/>
          </w:tcPr>
          <w:p>
            <w:pPr>
              <w:pStyle w:val="TableContents"/>
              <w:widowControl w:val="false"/>
              <w:suppressLineNumbers/>
              <w:bidi w:val="0"/>
              <w:jc w:val="start"/>
              <w:rPr/>
            </w:pPr>
            <w:r>
              <w:rPr>
                <w:rStyle w:val="SourceText"/>
                <w:rFonts w:ascii="var ds-font-family-code" w:hAnsi="var ds-font-family-code"/>
              </w:rPr>
              <w:t>num_heads</w:t>
            </w:r>
          </w:p>
        </w:tc>
        <w:tc>
          <w:tcPr>
            <w:tcW w:w="682" w:type="dxa"/>
            <w:tcBorders>
              <w:bottom w:val="single" w:sz="2" w:space="0" w:color="000000"/>
            </w:tcBorders>
            <w:tcMar>
              <w:top w:w="0" w:type="dxa"/>
            </w:tcMar>
            <w:vAlign w:val="center"/>
          </w:tcPr>
          <w:p>
            <w:pPr>
              <w:pStyle w:val="TableContents"/>
              <w:widowControl w:val="false"/>
              <w:suppressLineNumbers/>
              <w:bidi w:val="0"/>
              <w:jc w:val="start"/>
              <w:rPr/>
            </w:pPr>
            <w:r>
              <w:rPr>
                <w:rStyle w:val="SourceText"/>
                <w:rFonts w:ascii="var ds-font-family-code" w:hAnsi="var ds-font-family-code"/>
              </w:rPr>
              <w:t>8</w:t>
            </w:r>
          </w:p>
        </w:tc>
        <w:tc>
          <w:tcPr>
            <w:tcW w:w="4518" w:type="dxa"/>
            <w:tcBorders>
              <w:bottom w:val="single" w:sz="2" w:space="0" w:color="000000"/>
            </w:tcBorders>
            <w:tcMar>
              <w:top w:w="0" w:type="dxa"/>
            </w:tcMar>
            <w:vAlign w:val="center"/>
          </w:tcPr>
          <w:p>
            <w:pPr>
              <w:pStyle w:val="TableContents"/>
              <w:widowControl w:val="false"/>
              <w:suppressLineNumbers/>
              <w:bidi w:val="0"/>
              <w:jc w:val="start"/>
              <w:rPr/>
            </w:pPr>
            <w:r>
              <w:rPr/>
              <w:t>Number of attention heads in GAT</w:t>
            </w:r>
          </w:p>
        </w:tc>
      </w:tr>
    </w:tbl>
    <w:p>
      <w:pPr>
        <w:pStyle w:val="Heading3"/>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3.2 Training Process</w:t>
      </w:r>
    </w:p>
    <w:p>
      <w:pPr>
        <w:pStyle w:val="TextBody"/>
        <w:widowControl/>
        <w:numPr>
          <w:ilvl w:val="0"/>
          <w:numId w:val="6"/>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Input</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Patient graphs (node features + edge connections).</w:t>
      </w:r>
    </w:p>
    <w:p>
      <w:pPr>
        <w:pStyle w:val="TextBody"/>
        <w:widowControl/>
        <w:numPr>
          <w:ilvl w:val="0"/>
          <w:numId w:val="6"/>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Corruption</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Feature shuffling to generate negative samples.</w:t>
      </w:r>
    </w:p>
    <w:p>
      <w:pPr>
        <w:pStyle w:val="TextBody"/>
        <w:widowControl/>
        <w:numPr>
          <w:ilvl w:val="0"/>
          <w:numId w:val="6"/>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Optimization</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Adam optimizer with learning rate </w:t>
      </w:r>
      <w:r>
        <w:rPr>
          <w:rStyle w:val="SourceText"/>
          <w:rFonts w:ascii="var ds-font-family-code" w:hAnsi="var ds-font-family-code"/>
          <w:b w:val="false"/>
          <w:i w:val="false"/>
          <w:caps w:val="false"/>
          <w:smallCaps w:val="false"/>
          <w:color w:val="404040"/>
          <w:spacing w:val="0"/>
          <w:sz w:val="24"/>
        </w:rPr>
        <w:t>1e-4</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w:t>
      </w:r>
    </w:p>
    <w:p>
      <w:pPr>
        <w:pStyle w:val="TextBody"/>
        <w:widowControl/>
        <w:numPr>
          <w:ilvl w:val="0"/>
          <w:numId w:val="6"/>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Loss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Binary cross-entropy (DGI loss).</w:t>
      </w:r>
    </w:p>
    <w:p>
      <w:pPr>
        <w:pStyle w:val="Heading3"/>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3.3 Output</w:t>
      </w:r>
    </w:p>
    <w:p>
      <w:pPr>
        <w:pStyle w:val="TextBody"/>
        <w:widowControl/>
        <w:numPr>
          <w:ilvl w:val="0"/>
          <w:numId w:val="7"/>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Graph Embeddings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128-dimensional vectors for each patient.</w:t>
      </w:r>
    </w:p>
    <w:p>
      <w:pPr>
        <w:pStyle w:val="TextBody"/>
        <w:widowControl/>
        <w:numPr>
          <w:ilvl w:val="0"/>
          <w:numId w:val="7"/>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Attention Weights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Interpretability of important nodes in the graph.</w: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4. Applications</w:t>
      </w:r>
    </w:p>
    <w:p>
      <w:pPr>
        <w:pStyle w:val="TextBody"/>
        <w:widowControl/>
        <w:bidi w:val="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The learned embeddings can be used for:</w:t>
      </w:r>
    </w:p>
    <w:p>
      <w:pPr>
        <w:pStyle w:val="TextBody"/>
        <w:widowControl/>
        <w:numPr>
          <w:ilvl w:val="0"/>
          <w:numId w:val="8"/>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Patient Clustering</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Group similar patients using K-means or hierarchical clustering.</w:t>
      </w:r>
    </w:p>
    <w:p>
      <w:pPr>
        <w:pStyle w:val="TextBody"/>
        <w:widowControl/>
        <w:numPr>
          <w:ilvl w:val="0"/>
          <w:numId w:val="8"/>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Disease Subtyping</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Identify novel disease subtypes via unsupervised learning.</w:t>
      </w:r>
    </w:p>
    <w:p>
      <w:pPr>
        <w:pStyle w:val="TextBody"/>
        <w:widowControl/>
        <w:numPr>
          <w:ilvl w:val="0"/>
          <w:numId w:val="8"/>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Predictive Modeling</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Use embeddings as features in supervised tasks (e.g., survival prediction).</w: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5. Key Advantages</w:t>
      </w:r>
    </w:p>
    <w:p>
      <w:pPr>
        <w:pStyle w:val="TextBody"/>
        <w:widowControl/>
        <w:numPr>
          <w:ilvl w:val="0"/>
          <w:numId w:val="9"/>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Unsupervised Learning</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No labeled data required.</w:t>
      </w:r>
    </w:p>
    <w:p>
      <w:pPr>
        <w:pStyle w:val="TextBody"/>
        <w:widowControl/>
        <w:numPr>
          <w:ilvl w:val="0"/>
          <w:numId w:val="9"/>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Interpretability</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Attention weights highlight important nodes.</w:t>
      </w:r>
    </w:p>
    <w:p>
      <w:pPr>
        <w:pStyle w:val="TextBody"/>
        <w:widowControl/>
        <w:numPr>
          <w:ilvl w:val="0"/>
          <w:numId w:val="9"/>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Scalability</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Works with varying graph sizes.</w: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6. Future Work</w:t>
      </w:r>
    </w:p>
    <w:p>
      <w:pPr>
        <w:pStyle w:val="TextBody"/>
        <w:widowControl/>
        <w:numPr>
          <w:ilvl w:val="0"/>
          <w:numId w:val="10"/>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Hyperparameter Tuning</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Optimize </w:t>
      </w:r>
      <w:r>
        <w:rPr>
          <w:rStyle w:val="SourceText"/>
          <w:rFonts w:ascii="var ds-font-family-code" w:hAnsi="var ds-font-family-code"/>
          <w:b w:val="false"/>
          <w:i w:val="false"/>
          <w:caps w:val="false"/>
          <w:smallCaps w:val="false"/>
          <w:color w:val="404040"/>
          <w:spacing w:val="0"/>
          <w:sz w:val="24"/>
        </w:rPr>
        <w:t>out_channels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w:t>
      </w:r>
      <w:r>
        <w:rPr>
          <w:rStyle w:val="SourceText"/>
          <w:rFonts w:ascii="var ds-font-family-code" w:hAnsi="var ds-font-family-code"/>
          <w:b w:val="false"/>
          <w:i w:val="false"/>
          <w:caps w:val="false"/>
          <w:smallCaps w:val="false"/>
          <w:color w:val="404040"/>
          <w:spacing w:val="0"/>
          <w:sz w:val="24"/>
        </w:rPr>
        <w:t>num_heads</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and learning rate.</w:t>
      </w:r>
    </w:p>
    <w:p>
      <w:pPr>
        <w:pStyle w:val="TextBody"/>
        <w:widowControl/>
        <w:numPr>
          <w:ilvl w:val="0"/>
          <w:numId w:val="10"/>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Alternative Pooling</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Test multi-head attention or hierarchical pooling.</w:t>
      </w:r>
    </w:p>
    <w:p>
      <w:pPr>
        <w:pStyle w:val="TextBody"/>
        <w:widowControl/>
        <w:numPr>
          <w:ilvl w:val="0"/>
          <w:numId w:val="10"/>
        </w:numPr>
        <w:tabs>
          <w:tab w:val="clear" w:pos="709"/>
          <w:tab w:val="left" w:pos="180" w:leader="none"/>
        </w:tabs>
        <w:bidi w:val="0"/>
        <w:spacing w:before="0" w:after="0"/>
        <w:ind w:start="18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Downstream Validation</w:t>
      </w: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 Evaluate embeddings on clinical tasks.</w:t>
      </w:r>
    </w:p>
    <w:p>
      <w:pPr>
        <w:pStyle w:val="Heading2"/>
        <w:widowControl/>
        <w:bidi w:val="0"/>
        <w:spacing w:lineRule="auto" w:line="360"/>
        <w:ind w:start="240" w:end="0" w:hanging="0"/>
        <w:jc w:val="start"/>
        <w:rPr/>
      </w:pPr>
      <w:r>
        <w:rPr>
          <w:rStyle w:val="StrongEmphasis"/>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rPr>
        <w:t>7. Conclusion</w:t>
      </w:r>
    </w:p>
    <w:p>
      <w:pPr>
        <w:pStyle w:val="TextBody"/>
        <w:widowControl/>
        <w:bidi w:val="0"/>
        <w:ind w:start="180" w:end="0" w:hanging="0"/>
        <w:jc w:val="start"/>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pPr>
      <w:r>
        <w:rPr>
          <w:rFonts w:ascii="DeepSeek-CJK-patch;Inter;system-ui;apple-system;BlinkMacSystemFont;Segoe UI;Roboto;Noto Sans;Ubuntu;Cantarell;Helvetica Neue;Oxygen;Open Sans;sans-serif" w:hAnsi="DeepSeek-CJK-patch;Inter;system-ui;apple-system;BlinkMacSystemFont;Segoe UI;Roboto;Noto Sans;Ubuntu;Cantarell;Helvetica Neue;Oxygen;Open Sans;sans-serif"/>
          <w:b w:val="false"/>
          <w:i w:val="false"/>
          <w:caps w:val="false"/>
          <w:smallCaps w:val="false"/>
          <w:color w:val="404040"/>
          <w:spacing w:val="0"/>
          <w:sz w:val="24"/>
        </w:rPr>
        <w:t>This framework provides an effective way to learn unsupervised representations of patient graphs using GAT and DGI. The model is particularly useful for healthcare applications where labeled data is scarce but graph-structured patient information is available.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DeepSeek-CJK-patch">
    <w:altName w:val="Inter"/>
    <w:charset w:val="01" w:characterSet="utf-8"/>
    <w:family w:val="auto"/>
    <w:pitch w:val="default"/>
  </w:font>
  <w:font w:name="var ds-font-family-code">
    <w:charset w:val="01" w:characterSet="utf-8"/>
    <w:family w:val="auto"/>
    <w:pitch w:val="default"/>
  </w:font>
  <w:font w:name="KaTeX Caligraphic">
    <w:charset w:val="01" w:characterSet="utf-8"/>
    <w:family w:val="auto"/>
    <w:pitch w:val="default"/>
  </w:font>
  <w:font w:name="KaTeX Main">
    <w:altName w:val="Times New Roman"/>
    <w:charset w:val="01" w:characterSet="utf-8"/>
    <w:family w:val="auto"/>
    <w:pitch w:val="default"/>
  </w:font>
  <w:font w:name="KaTeX AMS">
    <w:charset w:val="01" w:characterSet="utf-8"/>
    <w:family w:val="auto"/>
    <w:pitch w:val="default"/>
  </w:font>
  <w:font w:name="KaTeX Math">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180"/>
        </w:tabs>
        <w:ind w:start="18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suff w:val="nothing"/>
      <w:lvlText w:val=""/>
      <w:lvlJc w:val="start"/>
      <w:pPr>
        <w:tabs>
          <w:tab w:val="num" w:pos="180"/>
        </w:tabs>
        <w:ind w:start="180" w:hanging="0"/>
      </w:pPr>
      <w:rPr>
        <w:rFonts w:ascii="Symbol" w:hAnsi="Symbol" w:cs="Symbol" w:hint="default"/>
      </w:rPr>
    </w:lvl>
    <w:lvl w:ilvl="1">
      <w:start w:val="1"/>
      <w:numFmt w:val="bullet"/>
      <w:suff w:val="nothing"/>
      <w:lvlText w:val=""/>
      <w:lvlJc w:val="start"/>
      <w:pPr>
        <w:tabs>
          <w:tab w:val="num" w:pos="889"/>
        </w:tabs>
        <w:ind w:start="889"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180"/>
        </w:tabs>
        <w:ind w:start="18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180"/>
        </w:tabs>
        <w:ind w:start="18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suff w:val="nothing"/>
      <w:lvlText w:val="%1."/>
      <w:lvlJc w:val="start"/>
      <w:pPr>
        <w:tabs>
          <w:tab w:val="num" w:pos="180"/>
        </w:tabs>
        <w:ind w:start="18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suff w:val="nothing"/>
      <w:lvlText w:val="%1."/>
      <w:lvlJc w:val="start"/>
      <w:pPr>
        <w:tabs>
          <w:tab w:val="num" w:pos="180"/>
        </w:tabs>
        <w:ind w:start="18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suff w:val="nothing"/>
      <w:lvlText w:val=""/>
      <w:lvlJc w:val="start"/>
      <w:pPr>
        <w:tabs>
          <w:tab w:val="num" w:pos="180"/>
        </w:tabs>
        <w:ind w:start="18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suff w:val="nothing"/>
      <w:lvlText w:val="%1."/>
      <w:lvlJc w:val="start"/>
      <w:pPr>
        <w:tabs>
          <w:tab w:val="num" w:pos="180"/>
        </w:tabs>
        <w:ind w:start="18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suff w:val="nothing"/>
      <w:lvlText w:val=""/>
      <w:lvlJc w:val="start"/>
      <w:pPr>
        <w:tabs>
          <w:tab w:val="num" w:pos="180"/>
        </w:tabs>
        <w:ind w:start="18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suff w:val="nothing"/>
      <w:lvlText w:val=""/>
      <w:lvlJc w:val="start"/>
      <w:pPr>
        <w:tabs>
          <w:tab w:val="num" w:pos="180"/>
        </w:tabs>
        <w:ind w:start="18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erif CJK SC" w:cs="Lohit Devanagari"/>
      <w:b/>
      <w:bCs/>
      <w:sz w:val="24"/>
      <w:szCs w:val="24"/>
    </w:rPr>
  </w:style>
  <w:style w:type="character" w:styleId="StrongEmphasis">
    <w:name w:val="Strong Emphasis"/>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3</Pages>
  <Words>499</Words>
  <Characters>3229</Characters>
  <CharactersWithSpaces>3628</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2025-04-03T11:45:47Z</dcterms:modified>
  <cp:revision>1</cp:revision>
  <dc:subject/>
  <dc:title/>
</cp:coreProperties>
</file>