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line="480" w:lineRule="auto"/>
        <w:jc w:val="center"/>
      </w:pPr>
      <w:r>
        <w:rPr>
          <w:rFonts w:ascii="Times New Roman" w:cs="Times New Roman" w:eastAsia="Times New Roman" w:hAnsi="Times New Roman"/>
          <w:b/>
          <w:bCs/>
          <w:sz w:val="24"/>
          <w:szCs w:val="24"/>
        </w:rPr>
        <w:t xml:space="preserve">Plataforma digital de aprendizaje para la transición de la enseñanza tradicional a la digital en la Institución Educativa El Carmelo, San Juan del Cesar (La Guajira), durante el año lectivo 2026</w:t>
      </w:r>
    </w:p>
    <w:p>
      <w:pPr>
        <w:spacing w:after="0" w:before="960" w:line="480" w:lineRule="auto"/>
        <w:jc w:val="center"/>
      </w:pPr>
      <w:r>
        <w:rPr>
          <w:rFonts w:ascii="Times New Roman" w:cs="Times New Roman" w:eastAsia="Times New Roman" w:hAnsi="Times New Roman"/>
          <w:b w:val="false"/>
          <w:bCs w:val="false"/>
          <w:sz w:val="24"/>
          <w:szCs w:val="24"/>
        </w:rPr>
        <w:t xml:space="preserve">Eucarlos Gámez Cuello</w:t>
      </w:r>
    </w:p>
    <w:p>
      <w:pPr>
        <w:spacing w:after="0" w:before="0" w:line="480" w:lineRule="auto"/>
        <w:jc w:val="center"/>
      </w:pPr>
      <w:r>
        <w:rPr>
          <w:rFonts w:ascii="Times New Roman" w:cs="Times New Roman" w:eastAsia="Times New Roman" w:hAnsi="Times New Roman"/>
          <w:b w:val="false"/>
          <w:bCs w:val="false"/>
          <w:sz w:val="24"/>
          <w:szCs w:val="24"/>
        </w:rPr>
        <w:t xml:space="preserve">Paula Andrea Mieles Moscote</w:t>
      </w:r>
    </w:p>
    <w:p>
      <w:pPr>
        <w:spacing w:after="0" w:before="480" w:line="480" w:lineRule="auto"/>
        <w:jc w:val="center"/>
      </w:pPr>
      <w:r>
        <w:rPr>
          <w:rFonts w:ascii="Times New Roman" w:cs="Times New Roman" w:eastAsia="Times New Roman" w:hAnsi="Times New Roman"/>
          <w:b w:val="false"/>
          <w:bCs w:val="false"/>
          <w:sz w:val="24"/>
          <w:szCs w:val="24"/>
        </w:rPr>
        <w:t xml:space="preserve">202016907 - Proyecto de grado</w:t>
      </w:r>
    </w:p>
    <w:p>
      <w:pPr>
        <w:spacing w:after="0" w:before="0" w:line="480" w:lineRule="auto"/>
        <w:jc w:val="center"/>
      </w:pPr>
      <w:r>
        <w:rPr>
          <w:rFonts w:ascii="Times New Roman" w:cs="Times New Roman" w:eastAsia="Times New Roman" w:hAnsi="Times New Roman"/>
          <w:b w:val="false"/>
          <w:bCs w:val="false"/>
          <w:sz w:val="24"/>
          <w:szCs w:val="24"/>
        </w:rPr>
        <w:t xml:space="preserve">Tutor: Daniel Andrés Guzmán Arevalo</w:t>
      </w:r>
    </w:p>
    <w:p>
      <w:pPr>
        <w:spacing w:after="0" w:before="480" w:line="480" w:lineRule="auto"/>
        <w:jc w:val="center"/>
      </w:pPr>
      <w:r>
        <w:rPr>
          <w:rFonts w:ascii="Times New Roman" w:cs="Times New Roman" w:eastAsia="Times New Roman" w:hAnsi="Times New Roman"/>
          <w:b w:val="false"/>
          <w:bCs w:val="false"/>
          <w:sz w:val="24"/>
          <w:szCs w:val="24"/>
        </w:rPr>
        <w:t xml:space="preserve">Programa de Ingeniería de Sistemas</w:t>
      </w:r>
    </w:p>
    <w:p>
      <w:pPr>
        <w:spacing w:after="0" w:before="0" w:line="480" w:lineRule="auto"/>
        <w:jc w:val="center"/>
      </w:pPr>
      <w:r>
        <w:rPr>
          <w:rFonts w:ascii="Times New Roman" w:cs="Times New Roman" w:eastAsia="Times New Roman" w:hAnsi="Times New Roman"/>
          <w:b w:val="false"/>
          <w:bCs w:val="false"/>
          <w:sz w:val="24"/>
          <w:szCs w:val="24"/>
        </w:rPr>
        <w:t xml:space="preserve">Escuela de Ciencias Básicas Tecnología e Ingeniería</w:t>
      </w:r>
    </w:p>
    <w:p>
      <w:pPr>
        <w:spacing w:after="0" w:before="0" w:line="480" w:lineRule="auto"/>
        <w:jc w:val="center"/>
      </w:pPr>
      <w:r>
        <w:rPr>
          <w:rFonts w:ascii="Times New Roman" w:cs="Times New Roman" w:eastAsia="Times New Roman" w:hAnsi="Times New Roman"/>
          <w:b w:val="false"/>
          <w:bCs w:val="false"/>
          <w:sz w:val="24"/>
          <w:szCs w:val="24"/>
        </w:rPr>
        <w:t xml:space="preserve">Universidad Nacional Abierta y a Distancia</w:t>
      </w:r>
    </w:p>
    <w:p>
      <w:pPr>
        <w:spacing w:after="0" w:before="480" w:line="480" w:lineRule="auto"/>
        <w:jc w:val="center"/>
      </w:pPr>
      <w:r>
        <w:rPr>
          <w:rFonts w:ascii="Times New Roman" w:cs="Times New Roman" w:eastAsia="Times New Roman" w:hAnsi="Times New Roman"/>
          <w:b w:val="false"/>
          <w:bCs w:val="false"/>
          <w:sz w:val="24"/>
          <w:szCs w:val="24"/>
        </w:rPr>
        <w:t xml:space="preserve">24 de octubre de 2026</w:t>
      </w:r>
    </w:p>
    <w:p>
      <w:pPr>
        <w:sectPr>
          <w:pgSz w:w="12240" w:h="15840" w:orient="portrait"/>
          <w:pgMar w:top="1440" w:right="1440" w:bottom="1440" w:left="1440" w:header="708" w:footer="708" w:gutter="0"/>
          <w:pgNumType/>
          <w:docGrid w:linePitch="360"/>
        </w:sectPr>
      </w:pPr>
    </w:p>
    <w:p>
      <w:pPr>
        <w:spacing w:after="0" w:before="0" w:line="480" w:lineRule="auto"/>
        <w:jc w:val="center"/>
      </w:pPr>
      <w:r>
        <w:rPr>
          <w:rFonts w:ascii="Times New Roman" w:cs="Times New Roman" w:eastAsia="Times New Roman" w:hAnsi="Times New Roman"/>
          <w:b/>
          <w:bCs/>
          <w:sz w:val="24"/>
          <w:szCs w:val="24"/>
        </w:rPr>
        <w:t xml:space="preserve">Tabla de Contenidos</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Resumen</w:t>
      </w:r>
      <w:r>
        <w:rPr>
          <w:rFonts w:ascii="Times New Roman" w:cs="Times New Roman" w:eastAsia="Times New Roman" w:hAnsi="Times New Roman"/>
          <w:sz w:val="24"/>
          <w:szCs w:val="24"/>
        </w:rPr>
        <w:tab/>
        <w:t xml:space="preserve">1</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sz w:val="24"/>
          <w:szCs w:val="24"/>
        </w:rPr>
        <w:tab/>
        <w:t xml:space="preserve">2</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Introducción</w:t>
      </w:r>
      <w:r>
        <w:rPr>
          <w:rFonts w:ascii="Times New Roman" w:cs="Times New Roman" w:eastAsia="Times New Roman" w:hAnsi="Times New Roman"/>
          <w:sz w:val="24"/>
          <w:szCs w:val="24"/>
        </w:rPr>
        <w:tab/>
        <w:t xml:space="preserve">3</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Líneas y grupos de interés investigativo</w:t>
      </w:r>
      <w:r>
        <w:rPr>
          <w:rFonts w:ascii="Times New Roman" w:cs="Times New Roman" w:eastAsia="Times New Roman" w:hAnsi="Times New Roman"/>
          <w:sz w:val="24"/>
          <w:szCs w:val="24"/>
        </w:rPr>
        <w:tab/>
        <w:t xml:space="preserve">4</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Planteamiento del problema</w:t>
      </w:r>
      <w:r>
        <w:rPr>
          <w:rFonts w:ascii="Times New Roman" w:cs="Times New Roman" w:eastAsia="Times New Roman" w:hAnsi="Times New Roman"/>
          <w:sz w:val="24"/>
          <w:szCs w:val="24"/>
        </w:rPr>
        <w:tab/>
        <w:t xml:space="preserve">5</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Formulación del problema</w:t>
      </w:r>
      <w:r>
        <w:rPr>
          <w:rFonts w:ascii="Times New Roman" w:cs="Times New Roman" w:eastAsia="Times New Roman" w:hAnsi="Times New Roman"/>
          <w:sz w:val="24"/>
          <w:szCs w:val="24"/>
        </w:rPr>
        <w:tab/>
        <w:t xml:space="preserve">7</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Sistematización del problema</w:t>
      </w:r>
      <w:r>
        <w:rPr>
          <w:rFonts w:ascii="Times New Roman" w:cs="Times New Roman" w:eastAsia="Times New Roman" w:hAnsi="Times New Roman"/>
          <w:sz w:val="24"/>
          <w:szCs w:val="24"/>
        </w:rPr>
        <w:tab/>
        <w:t xml:space="preserve">7</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Árbol causa-efecto del problema</w:t>
      </w:r>
      <w:r>
        <w:rPr>
          <w:rFonts w:ascii="Times New Roman" w:cs="Times New Roman" w:eastAsia="Times New Roman" w:hAnsi="Times New Roman"/>
          <w:sz w:val="24"/>
          <w:szCs w:val="24"/>
        </w:rPr>
        <w:tab/>
        <w:t xml:space="preserve">7</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Delimitación del proyecto</w:t>
      </w:r>
      <w:r>
        <w:rPr>
          <w:rFonts w:ascii="Times New Roman" w:cs="Times New Roman" w:eastAsia="Times New Roman" w:hAnsi="Times New Roman"/>
          <w:sz w:val="24"/>
          <w:szCs w:val="24"/>
        </w:rPr>
        <w:tab/>
        <w:t xml:space="preserve">9</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Justificación</w:t>
      </w:r>
      <w:r>
        <w:rPr>
          <w:rFonts w:ascii="Times New Roman" w:cs="Times New Roman" w:eastAsia="Times New Roman" w:hAnsi="Times New Roman"/>
          <w:sz w:val="24"/>
          <w:szCs w:val="24"/>
        </w:rPr>
        <w:tab/>
        <w:t xml:space="preserve">10</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Objetivos</w:t>
      </w:r>
      <w:r>
        <w:rPr>
          <w:rFonts w:ascii="Times New Roman" w:cs="Times New Roman" w:eastAsia="Times New Roman" w:hAnsi="Times New Roman"/>
          <w:sz w:val="24"/>
          <w:szCs w:val="24"/>
        </w:rPr>
        <w:tab/>
        <w:t xml:space="preserve">12</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Objetivo general</w:t>
      </w:r>
      <w:r>
        <w:rPr>
          <w:rFonts w:ascii="Times New Roman" w:cs="Times New Roman" w:eastAsia="Times New Roman" w:hAnsi="Times New Roman"/>
          <w:sz w:val="24"/>
          <w:szCs w:val="24"/>
        </w:rPr>
        <w:tab/>
        <w:t xml:space="preserve">12</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Objetivos específicos</w:t>
      </w:r>
      <w:r>
        <w:rPr>
          <w:rFonts w:ascii="Times New Roman" w:cs="Times New Roman" w:eastAsia="Times New Roman" w:hAnsi="Times New Roman"/>
          <w:sz w:val="24"/>
          <w:szCs w:val="24"/>
        </w:rPr>
        <w:tab/>
        <w:t xml:space="preserve">12</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Marco referencial</w:t>
      </w:r>
      <w:r>
        <w:rPr>
          <w:rFonts w:ascii="Times New Roman" w:cs="Times New Roman" w:eastAsia="Times New Roman" w:hAnsi="Times New Roman"/>
          <w:sz w:val="24"/>
          <w:szCs w:val="24"/>
        </w:rPr>
        <w:tab/>
        <w:t xml:space="preserve">13</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Marco teórico</w:t>
      </w:r>
      <w:r>
        <w:rPr>
          <w:rFonts w:ascii="Times New Roman" w:cs="Times New Roman" w:eastAsia="Times New Roman" w:hAnsi="Times New Roman"/>
          <w:sz w:val="24"/>
          <w:szCs w:val="24"/>
        </w:rPr>
        <w:tab/>
        <w:t xml:space="preserve">13</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Estado del arte</w:t>
      </w:r>
      <w:r>
        <w:rPr>
          <w:rFonts w:ascii="Times New Roman" w:cs="Times New Roman" w:eastAsia="Times New Roman" w:hAnsi="Times New Roman"/>
          <w:sz w:val="24"/>
          <w:szCs w:val="24"/>
        </w:rPr>
        <w:tab/>
        <w:t xml:space="preserve">18</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Marco conceptual</w:t>
      </w:r>
      <w:r>
        <w:rPr>
          <w:rFonts w:ascii="Times New Roman" w:cs="Times New Roman" w:eastAsia="Times New Roman" w:hAnsi="Times New Roman"/>
          <w:sz w:val="24"/>
          <w:szCs w:val="24"/>
        </w:rPr>
        <w:tab/>
        <w:t xml:space="preserve">20</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Marco jurídico</w:t>
      </w:r>
      <w:r>
        <w:rPr>
          <w:rFonts w:ascii="Times New Roman" w:cs="Times New Roman" w:eastAsia="Times New Roman" w:hAnsi="Times New Roman"/>
          <w:sz w:val="24"/>
          <w:szCs w:val="24"/>
        </w:rPr>
        <w:tab/>
        <w:t xml:space="preserve">24</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Marco tecnológico</w:t>
      </w:r>
      <w:r>
        <w:rPr>
          <w:rFonts w:ascii="Times New Roman" w:cs="Times New Roman" w:eastAsia="Times New Roman" w:hAnsi="Times New Roman"/>
          <w:sz w:val="24"/>
          <w:szCs w:val="24"/>
        </w:rPr>
        <w:tab/>
        <w:t xml:space="preserve">27</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Metodología</w:t>
      </w:r>
      <w:r>
        <w:rPr>
          <w:rFonts w:ascii="Times New Roman" w:cs="Times New Roman" w:eastAsia="Times New Roman" w:hAnsi="Times New Roman"/>
          <w:sz w:val="24"/>
          <w:szCs w:val="24"/>
        </w:rPr>
        <w:tab/>
        <w:t xml:space="preserve">30</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Metodología de investigación</w:t>
      </w:r>
      <w:r>
        <w:rPr>
          <w:rFonts w:ascii="Times New Roman" w:cs="Times New Roman" w:eastAsia="Times New Roman" w:hAnsi="Times New Roman"/>
          <w:sz w:val="24"/>
          <w:szCs w:val="24"/>
        </w:rPr>
        <w:tab/>
        <w:t xml:space="preserve">30</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Muestra y población del proyecto</w:t>
      </w:r>
      <w:r>
        <w:rPr>
          <w:rFonts w:ascii="Times New Roman" w:cs="Times New Roman" w:eastAsia="Times New Roman" w:hAnsi="Times New Roman"/>
          <w:sz w:val="24"/>
          <w:szCs w:val="24"/>
        </w:rPr>
        <w:tab/>
        <w:t xml:space="preserve">33</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Construcción e implementación del instrumento de medición y recolección de los datos</w:t>
      </w:r>
      <w:r>
        <w:rPr>
          <w:rFonts w:ascii="Times New Roman" w:cs="Times New Roman" w:eastAsia="Times New Roman" w:hAnsi="Times New Roman"/>
          <w:sz w:val="24"/>
          <w:szCs w:val="24"/>
        </w:rPr>
        <w:tab/>
        <w:t xml:space="preserve">35</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Procedimiento y fases de la investigación</w:t>
      </w:r>
      <w:r>
        <w:rPr>
          <w:rFonts w:ascii="Times New Roman" w:cs="Times New Roman" w:eastAsia="Times New Roman" w:hAnsi="Times New Roman"/>
          <w:sz w:val="24"/>
          <w:szCs w:val="24"/>
        </w:rPr>
        <w:tab/>
        <w:t xml:space="preserve">37</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Análisis y diagnóstico del proceso investigativo</w:t>
      </w:r>
      <w:r>
        <w:rPr>
          <w:rFonts w:ascii="Times New Roman" w:cs="Times New Roman" w:eastAsia="Times New Roman" w:hAnsi="Times New Roman"/>
          <w:sz w:val="24"/>
          <w:szCs w:val="24"/>
        </w:rPr>
        <w:tab/>
        <w:t xml:space="preserve">38</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Metodología de desarrollo tecnológico</w:t>
      </w:r>
      <w:r>
        <w:rPr>
          <w:rFonts w:ascii="Times New Roman" w:cs="Times New Roman" w:eastAsia="Times New Roman" w:hAnsi="Times New Roman"/>
          <w:sz w:val="24"/>
          <w:szCs w:val="24"/>
        </w:rPr>
        <w:tab/>
        <w:t xml:space="preserve">41</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Marco de trabajo Scrum</w:t>
      </w:r>
      <w:r>
        <w:rPr>
          <w:rFonts w:ascii="Times New Roman" w:cs="Times New Roman" w:eastAsia="Times New Roman" w:hAnsi="Times New Roman"/>
          <w:sz w:val="24"/>
          <w:szCs w:val="24"/>
        </w:rPr>
        <w:tab/>
        <w:t xml:space="preserve">42</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Análisis de requerimientos</w:t>
      </w:r>
      <w:r>
        <w:rPr>
          <w:rFonts w:ascii="Times New Roman" w:cs="Times New Roman" w:eastAsia="Times New Roman" w:hAnsi="Times New Roman"/>
          <w:sz w:val="24"/>
          <w:szCs w:val="24"/>
        </w:rPr>
        <w:tab/>
        <w:t xml:space="preserve">45</w:t>
      </w:r>
    </w:p>
    <w:p>
      <w:pPr>
        <w:tabs>
          <w:tab w:val="right" w:pos="9360" w:leader="dot"/>
        </w:tabs>
        <w:spacing w:after="70" w:before="0" w:line="276" w:lineRule="auto"/>
        <w:ind w:left="720" w:right="500" w:hanging="0"/>
      </w:pPr>
      <w:r>
        <w:rPr>
          <w:rFonts w:ascii="Times New Roman" w:cs="Times New Roman" w:eastAsia="Times New Roman" w:hAnsi="Times New Roman"/>
          <w:b w:val="false"/>
          <w:bCs w:val="false"/>
          <w:sz w:val="24"/>
          <w:szCs w:val="24"/>
        </w:rPr>
        <w:t xml:space="preserve">Diseño preliminar del prototipo</w:t>
      </w:r>
      <w:r>
        <w:rPr>
          <w:rFonts w:ascii="Times New Roman" w:cs="Times New Roman" w:eastAsia="Times New Roman" w:hAnsi="Times New Roman"/>
          <w:sz w:val="24"/>
          <w:szCs w:val="24"/>
        </w:rPr>
        <w:tab/>
        <w:t xml:space="preserve">51</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Cronograma de actividades</w:t>
      </w:r>
      <w:r>
        <w:rPr>
          <w:rFonts w:ascii="Times New Roman" w:cs="Times New Roman" w:eastAsia="Times New Roman" w:hAnsi="Times New Roman"/>
          <w:sz w:val="24"/>
          <w:szCs w:val="24"/>
        </w:rPr>
        <w:tab/>
        <w:t xml:space="preserve">62</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Recursos necesarios para la implementación</w:t>
      </w:r>
      <w:r>
        <w:rPr>
          <w:rFonts w:ascii="Times New Roman" w:cs="Times New Roman" w:eastAsia="Times New Roman" w:hAnsi="Times New Roman"/>
          <w:sz w:val="24"/>
          <w:szCs w:val="24"/>
        </w:rPr>
        <w:tab/>
        <w:t xml:space="preserve">65</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Resultados esperados</w:t>
      </w:r>
      <w:r>
        <w:rPr>
          <w:rFonts w:ascii="Times New Roman" w:cs="Times New Roman" w:eastAsia="Times New Roman" w:hAnsi="Times New Roman"/>
          <w:sz w:val="24"/>
          <w:szCs w:val="24"/>
        </w:rPr>
        <w:tab/>
        <w:t xml:space="preserve">67</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Conclusiones</w:t>
      </w:r>
      <w:r>
        <w:rPr>
          <w:rFonts w:ascii="Times New Roman" w:cs="Times New Roman" w:eastAsia="Times New Roman" w:hAnsi="Times New Roman"/>
          <w:sz w:val="24"/>
          <w:szCs w:val="24"/>
        </w:rPr>
        <w:tab/>
        <w:t xml:space="preserve">69</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Referencias</w:t>
      </w:r>
      <w:r>
        <w:rPr>
          <w:rFonts w:ascii="Times New Roman" w:cs="Times New Roman" w:eastAsia="Times New Roman" w:hAnsi="Times New Roman"/>
          <w:sz w:val="24"/>
          <w:szCs w:val="24"/>
        </w:rPr>
        <w:tab/>
        <w:t xml:space="preserve">70</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Anexos</w:t>
      </w:r>
      <w:r>
        <w:rPr>
          <w:rFonts w:ascii="Times New Roman" w:cs="Times New Roman" w:eastAsia="Times New Roman" w:hAnsi="Times New Roman"/>
          <w:sz w:val="24"/>
          <w:szCs w:val="24"/>
        </w:rPr>
        <w:tab/>
        <w:t xml:space="preserve">77</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Anexo A. Encuesta de diagnóstico (versión estudiantes)</w:t>
      </w:r>
      <w:r>
        <w:rPr>
          <w:rFonts w:ascii="Times New Roman" w:cs="Times New Roman" w:eastAsia="Times New Roman" w:hAnsi="Times New Roman"/>
          <w:sz w:val="24"/>
          <w:szCs w:val="24"/>
        </w:rPr>
        <w:tab/>
        <w:t xml:space="preserve">77</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Anexo B. Guion de entrevista semiestructurada</w:t>
      </w:r>
      <w:r>
        <w:rPr>
          <w:rFonts w:ascii="Times New Roman" w:cs="Times New Roman" w:eastAsia="Times New Roman" w:hAnsi="Times New Roman"/>
          <w:sz w:val="24"/>
          <w:szCs w:val="24"/>
        </w:rPr>
        <w:tab/>
        <w:t xml:space="preserve">78</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Anexo C. Lista de chequeo de infraestructura tecnológica</w:t>
      </w:r>
      <w:r>
        <w:rPr>
          <w:rFonts w:ascii="Times New Roman" w:cs="Times New Roman" w:eastAsia="Times New Roman" w:hAnsi="Times New Roman"/>
          <w:sz w:val="24"/>
          <w:szCs w:val="24"/>
        </w:rPr>
        <w:tab/>
        <w:t xml:space="preserve">78</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Anexo D. Escala de usabilidad del sistema (SUS)</w:t>
      </w:r>
      <w:r>
        <w:rPr>
          <w:rFonts w:ascii="Times New Roman" w:cs="Times New Roman" w:eastAsia="Times New Roman" w:hAnsi="Times New Roman"/>
          <w:sz w:val="24"/>
          <w:szCs w:val="24"/>
        </w:rPr>
        <w:tab/>
        <w:t xml:space="preserve">79</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Anexo E. Cuestionario de aceptación tecnológica (TAM)</w:t>
      </w:r>
      <w:r>
        <w:rPr>
          <w:rFonts w:ascii="Times New Roman" w:cs="Times New Roman" w:eastAsia="Times New Roman" w:hAnsi="Times New Roman"/>
          <w:sz w:val="24"/>
          <w:szCs w:val="24"/>
        </w:rPr>
        <w:tab/>
        <w:t xml:space="preserve">80</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Anexo F. Ficha de observación del piloto</w:t>
      </w:r>
      <w:r>
        <w:rPr>
          <w:rFonts w:ascii="Times New Roman" w:cs="Times New Roman" w:eastAsia="Times New Roman" w:hAnsi="Times New Roman"/>
          <w:sz w:val="24"/>
          <w:szCs w:val="24"/>
        </w:rPr>
        <w:tab/>
        <w:t xml:space="preserve">80</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Anexo G. Modelo de consentimiento y asentimiento informado</w:t>
      </w:r>
      <w:r>
        <w:rPr>
          <w:rFonts w:ascii="Times New Roman" w:cs="Times New Roman" w:eastAsia="Times New Roman" w:hAnsi="Times New Roman"/>
          <w:sz w:val="24"/>
          <w:szCs w:val="24"/>
        </w:rPr>
        <w:tab/>
        <w:t xml:space="preserve">81</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Anexo H. Escala de competencias digitales autopercibidas (ICDA)</w:t>
      </w:r>
      <w:r>
        <w:rPr>
          <w:rFonts w:ascii="Times New Roman" w:cs="Times New Roman" w:eastAsia="Times New Roman" w:hAnsi="Times New Roman"/>
          <w:sz w:val="24"/>
          <w:szCs w:val="24"/>
        </w:rPr>
        <w:tab/>
        <w:t xml:space="preserve">81</w:t>
      </w:r>
    </w:p>
    <w:p>
      <w:pPr>
        <w:tabs>
          <w:tab w:val="right" w:pos="9360" w:leader="dot"/>
        </w:tabs>
        <w:spacing w:after="70" w:before="0" w:line="276" w:lineRule="auto"/>
        <w:ind w:left="360" w:right="500" w:hanging="0"/>
      </w:pPr>
      <w:r>
        <w:rPr>
          <w:rFonts w:ascii="Times New Roman" w:cs="Times New Roman" w:eastAsia="Times New Roman" w:hAnsi="Times New Roman"/>
          <w:b w:val="false"/>
          <w:bCs w:val="false"/>
          <w:sz w:val="24"/>
          <w:szCs w:val="24"/>
        </w:rPr>
        <w:t xml:space="preserve">Anexo I. Evidencias de participación</w:t>
      </w:r>
      <w:r>
        <w:rPr>
          <w:rFonts w:ascii="Times New Roman" w:cs="Times New Roman" w:eastAsia="Times New Roman" w:hAnsi="Times New Roman"/>
          <w:sz w:val="24"/>
          <w:szCs w:val="24"/>
        </w:rPr>
        <w:tab/>
        <w:t xml:space="preserve">81</w:t>
      </w:r>
    </w:p>
    <w:p>
      <w:r>
        <w:br w:type="page"/>
      </w:r>
    </w:p>
    <w:p>
      <w:pPr>
        <w:spacing w:after="0" w:before="0" w:line="480" w:lineRule="auto"/>
        <w:jc w:val="center"/>
      </w:pPr>
      <w:r>
        <w:rPr>
          <w:rFonts w:ascii="Times New Roman" w:cs="Times New Roman" w:eastAsia="Times New Roman" w:hAnsi="Times New Roman"/>
          <w:b/>
          <w:bCs/>
          <w:sz w:val="24"/>
          <w:szCs w:val="24"/>
        </w:rPr>
        <w:t xml:space="preserve">Lista de Tablas</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 Relación de intereses investigativos, líneas y grupos de investigación.</w:t>
      </w:r>
      <w:r>
        <w:rPr>
          <w:rFonts w:ascii="Times New Roman" w:cs="Times New Roman" w:eastAsia="Times New Roman" w:hAnsi="Times New Roman"/>
          <w:sz w:val="24"/>
          <w:szCs w:val="24"/>
        </w:rPr>
        <w:tab/>
        <w:t xml:space="preserve">4</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 Correspondencia entre las causas del problema y los componentes de la solución.</w:t>
      </w:r>
      <w:r>
        <w:rPr>
          <w:rFonts w:ascii="Times New Roman" w:cs="Times New Roman" w:eastAsia="Times New Roman" w:hAnsi="Times New Roman"/>
          <w:sz w:val="24"/>
          <w:szCs w:val="24"/>
        </w:rPr>
        <w:tab/>
        <w:t xml:space="preserve">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 Delimitación del proyecto.</w:t>
      </w:r>
      <w:r>
        <w:rPr>
          <w:rFonts w:ascii="Times New Roman" w:cs="Times New Roman" w:eastAsia="Times New Roman" w:hAnsi="Times New Roman"/>
          <w:sz w:val="24"/>
          <w:szCs w:val="24"/>
        </w:rPr>
        <w:tab/>
        <w:t xml:space="preserve">9</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4. Alineación de los objetivos con las fases, los productos y los indicadores.</w:t>
      </w:r>
      <w:r>
        <w:rPr>
          <w:rFonts w:ascii="Times New Roman" w:cs="Times New Roman" w:eastAsia="Times New Roman" w:hAnsi="Times New Roman"/>
          <w:sz w:val="24"/>
          <w:szCs w:val="24"/>
        </w:rPr>
        <w:tab/>
        <w:t xml:space="preserve">12</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5. Matriz preliminar de actividades por nivel de la Taxonomía de Bloom.</w:t>
      </w:r>
      <w:r>
        <w:rPr>
          <w:rFonts w:ascii="Times New Roman" w:cs="Times New Roman" w:eastAsia="Times New Roman" w:hAnsi="Times New Roman"/>
          <w:sz w:val="24"/>
          <w:szCs w:val="24"/>
        </w:rPr>
        <w:tab/>
        <w:t xml:space="preserve">16</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6. Matriz de antecedentes del proyecto.</w:t>
      </w:r>
      <w:r>
        <w:rPr>
          <w:rFonts w:ascii="Times New Roman" w:cs="Times New Roman" w:eastAsia="Times New Roman" w:hAnsi="Times New Roman"/>
          <w:sz w:val="24"/>
          <w:szCs w:val="24"/>
        </w:rPr>
        <w:tab/>
        <w:t xml:space="preserve">18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7. Síntesis del marco jurídico del proyecto.</w:t>
      </w:r>
      <w:r>
        <w:rPr>
          <w:rFonts w:ascii="Times New Roman" w:cs="Times New Roman" w:eastAsia="Times New Roman" w:hAnsi="Times New Roman"/>
          <w:sz w:val="24"/>
          <w:szCs w:val="24"/>
        </w:rPr>
        <w:tab/>
        <w:t xml:space="preserve">27</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8. Componentes tecnológicos seleccionados y su justificación.</w:t>
      </w:r>
      <w:r>
        <w:rPr>
          <w:rFonts w:ascii="Times New Roman" w:cs="Times New Roman" w:eastAsia="Times New Roman" w:hAnsi="Times New Roman"/>
          <w:sz w:val="24"/>
          <w:szCs w:val="24"/>
        </w:rPr>
        <w:tab/>
        <w:t xml:space="preserve">28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9. Matriz ponderada de selección del sistema de gestión del aprendizaje (escala de 1 a 5).</w:t>
      </w:r>
      <w:r>
        <w:rPr>
          <w:rFonts w:ascii="Times New Roman" w:cs="Times New Roman" w:eastAsia="Times New Roman" w:hAnsi="Times New Roman"/>
          <w:sz w:val="24"/>
          <w:szCs w:val="24"/>
        </w:rPr>
        <w:tab/>
        <w:t xml:space="preserve">29</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10. Dimensionamiento tecnológico preliminar.</w:t>
      </w:r>
      <w:r>
        <w:rPr>
          <w:rFonts w:ascii="Times New Roman" w:cs="Times New Roman" w:eastAsia="Times New Roman" w:hAnsi="Times New Roman"/>
          <w:sz w:val="24"/>
          <w:szCs w:val="24"/>
        </w:rPr>
        <w:tab/>
        <w:t xml:space="preserve">30</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11. Síntesis de las decisiones metodológicas de la investigación.</w:t>
      </w:r>
      <w:r>
        <w:rPr>
          <w:rFonts w:ascii="Times New Roman" w:cs="Times New Roman" w:eastAsia="Times New Roman" w:hAnsi="Times New Roman"/>
          <w:sz w:val="24"/>
          <w:szCs w:val="24"/>
        </w:rPr>
        <w:tab/>
        <w:t xml:space="preserve">31</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12. Operacionalización de las variables del estudio.</w:t>
      </w:r>
      <w:r>
        <w:rPr>
          <w:rFonts w:ascii="Times New Roman" w:cs="Times New Roman" w:eastAsia="Times New Roman" w:hAnsi="Times New Roman"/>
          <w:sz w:val="24"/>
          <w:szCs w:val="24"/>
        </w:rPr>
        <w:tab/>
        <w:t xml:space="preserve">33</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13. Población, muestra y criterios de selección.</w:t>
      </w:r>
      <w:r>
        <w:rPr>
          <w:rFonts w:ascii="Times New Roman" w:cs="Times New Roman" w:eastAsia="Times New Roman" w:hAnsi="Times New Roman"/>
          <w:sz w:val="24"/>
          <w:szCs w:val="24"/>
        </w:rPr>
        <w:tab/>
        <w:t xml:space="preserve">34</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14. Instrumentos de recolección de datos.</w:t>
      </w:r>
      <w:r>
        <w:rPr>
          <w:rFonts w:ascii="Times New Roman" w:cs="Times New Roman" w:eastAsia="Times New Roman" w:hAnsi="Times New Roman"/>
          <w:sz w:val="24"/>
          <w:szCs w:val="24"/>
        </w:rPr>
        <w:tab/>
        <w:t xml:space="preserve">36</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15. Estructura de la encuesta de diagnóstico.</w:t>
      </w:r>
      <w:r>
        <w:rPr>
          <w:rFonts w:ascii="Times New Roman" w:cs="Times New Roman" w:eastAsia="Times New Roman" w:hAnsi="Times New Roman"/>
          <w:sz w:val="24"/>
          <w:szCs w:val="24"/>
        </w:rPr>
        <w:tab/>
        <w:t xml:space="preserve">36</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16. Fases del procedimiento investigativo.</w:t>
      </w:r>
      <w:r>
        <w:rPr>
          <w:rFonts w:ascii="Times New Roman" w:cs="Times New Roman" w:eastAsia="Times New Roman" w:hAnsi="Times New Roman"/>
          <w:sz w:val="24"/>
          <w:szCs w:val="24"/>
        </w:rPr>
        <w:tab/>
        <w:t xml:space="preserve">37</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17. Plan de análisis de datos por objetivo específico.</w:t>
      </w:r>
      <w:r>
        <w:rPr>
          <w:rFonts w:ascii="Times New Roman" w:cs="Times New Roman" w:eastAsia="Times New Roman" w:hAnsi="Times New Roman"/>
          <w:sz w:val="24"/>
          <w:szCs w:val="24"/>
        </w:rPr>
        <w:tab/>
        <w:t xml:space="preserve">38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18. Matriz de triangulación metodológica.</w:t>
      </w:r>
      <w:r>
        <w:rPr>
          <w:rFonts w:ascii="Times New Roman" w:cs="Times New Roman" w:eastAsia="Times New Roman" w:hAnsi="Times New Roman"/>
          <w:sz w:val="24"/>
          <w:szCs w:val="24"/>
        </w:rPr>
        <w:tab/>
        <w:t xml:space="preserve">39</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19. Reglas de decisión entre los hallazgos del diagnóstico y el diseño de la plataforma.</w:t>
      </w:r>
      <w:r>
        <w:rPr>
          <w:rFonts w:ascii="Times New Roman" w:cs="Times New Roman" w:eastAsia="Times New Roman" w:hAnsi="Times New Roman"/>
          <w:sz w:val="24"/>
          <w:szCs w:val="24"/>
        </w:rPr>
        <w:tab/>
        <w:t xml:space="preserve">40</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20. Amenazas a la validez y acciones de control.</w:t>
      </w:r>
      <w:r>
        <w:rPr>
          <w:rFonts w:ascii="Times New Roman" w:cs="Times New Roman" w:eastAsia="Times New Roman" w:hAnsi="Times New Roman"/>
          <w:sz w:val="24"/>
          <w:szCs w:val="24"/>
        </w:rPr>
        <w:tab/>
        <w:t xml:space="preserve">40</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21. Roles, eventos y artefactos de Scrum en el proyecto.</w:t>
      </w:r>
      <w:r>
        <w:rPr>
          <w:rFonts w:ascii="Times New Roman" w:cs="Times New Roman" w:eastAsia="Times New Roman" w:hAnsi="Times New Roman"/>
          <w:sz w:val="24"/>
          <w:szCs w:val="24"/>
        </w:rPr>
        <w:tab/>
        <w:t xml:space="preserve">43</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22. Plan de sprints del proyecto.</w:t>
      </w:r>
      <w:r>
        <w:rPr>
          <w:rFonts w:ascii="Times New Roman" w:cs="Times New Roman" w:eastAsia="Times New Roman" w:hAnsi="Times New Roman"/>
          <w:sz w:val="24"/>
          <w:szCs w:val="24"/>
        </w:rPr>
        <w:tab/>
        <w:t xml:space="preserve">44</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23. Partes interesadas del proyecto.</w:t>
      </w:r>
      <w:r>
        <w:rPr>
          <w:rFonts w:ascii="Times New Roman" w:cs="Times New Roman" w:eastAsia="Times New Roman" w:hAnsi="Times New Roman"/>
          <w:sz w:val="24"/>
          <w:szCs w:val="24"/>
        </w:rPr>
        <w:tab/>
        <w:t xml:space="preserve">45</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24. Historias de usuario del producto.</w:t>
      </w:r>
      <w:r>
        <w:rPr>
          <w:rFonts w:ascii="Times New Roman" w:cs="Times New Roman" w:eastAsia="Times New Roman" w:hAnsi="Times New Roman"/>
          <w:sz w:val="24"/>
          <w:szCs w:val="24"/>
        </w:rPr>
        <w:tab/>
        <w:t xml:space="preserve">46</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25. Requisitos funcionales preliminares.</w:t>
      </w:r>
      <w:r>
        <w:rPr>
          <w:rFonts w:ascii="Times New Roman" w:cs="Times New Roman" w:eastAsia="Times New Roman" w:hAnsi="Times New Roman"/>
          <w:sz w:val="24"/>
          <w:szCs w:val="24"/>
        </w:rPr>
        <w:tab/>
        <w:t xml:space="preserve">47</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26. Requisitos no funcionales preliminares.</w:t>
      </w:r>
      <w:r>
        <w:rPr>
          <w:rFonts w:ascii="Times New Roman" w:cs="Times New Roman" w:eastAsia="Times New Roman" w:hAnsi="Times New Roman"/>
          <w:sz w:val="24"/>
          <w:szCs w:val="24"/>
        </w:rPr>
        <w:tab/>
        <w:t xml:space="preserve">48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27. Descripción resumida de los casos de uso.</w:t>
      </w:r>
      <w:r>
        <w:rPr>
          <w:rFonts w:ascii="Times New Roman" w:cs="Times New Roman" w:eastAsia="Times New Roman" w:hAnsi="Times New Roman"/>
          <w:sz w:val="24"/>
          <w:szCs w:val="24"/>
        </w:rPr>
        <w:tab/>
        <w:t xml:space="preserve">49</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28. Matriz de trazabilidad de requisitos.</w:t>
      </w:r>
      <w:r>
        <w:rPr>
          <w:rFonts w:ascii="Times New Roman" w:cs="Times New Roman" w:eastAsia="Times New Roman" w:hAnsi="Times New Roman"/>
          <w:sz w:val="24"/>
          <w:szCs w:val="24"/>
        </w:rPr>
        <w:tab/>
        <w:t xml:space="preserve">50</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29. Roles y permisos de la plataforma.</w:t>
      </w:r>
      <w:r>
        <w:rPr>
          <w:rFonts w:ascii="Times New Roman" w:cs="Times New Roman" w:eastAsia="Times New Roman" w:hAnsi="Times New Roman"/>
          <w:sz w:val="24"/>
          <w:szCs w:val="24"/>
        </w:rPr>
        <w:tab/>
        <w:t xml:space="preserve">54</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30. Guía de estilo preliminar de la interfaz.</w:t>
      </w:r>
      <w:r>
        <w:rPr>
          <w:rFonts w:ascii="Times New Roman" w:cs="Times New Roman" w:eastAsia="Times New Roman" w:hAnsi="Times New Roman"/>
          <w:sz w:val="24"/>
          <w:szCs w:val="24"/>
        </w:rPr>
        <w:tab/>
        <w:t xml:space="preserve">55</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31. Estrategias de diseño para escenarios de baja conectividad.</w:t>
      </w:r>
      <w:r>
        <w:rPr>
          <w:rFonts w:ascii="Times New Roman" w:cs="Times New Roman" w:eastAsia="Times New Roman" w:hAnsi="Times New Roman"/>
          <w:sz w:val="24"/>
          <w:szCs w:val="24"/>
        </w:rPr>
        <w:tab/>
        <w:t xml:space="preserve">58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32. Casos de prueba preliminares.</w:t>
      </w:r>
      <w:r>
        <w:rPr>
          <w:rFonts w:ascii="Times New Roman" w:cs="Times New Roman" w:eastAsia="Times New Roman" w:hAnsi="Times New Roman"/>
          <w:sz w:val="24"/>
          <w:szCs w:val="24"/>
        </w:rPr>
        <w:tab/>
        <w:t xml:space="preserve">58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33. Plan de capacitación docente.</w:t>
      </w:r>
      <w:r>
        <w:rPr>
          <w:rFonts w:ascii="Times New Roman" w:cs="Times New Roman" w:eastAsia="Times New Roman" w:hAnsi="Times New Roman"/>
          <w:sz w:val="24"/>
          <w:szCs w:val="24"/>
        </w:rPr>
        <w:tab/>
        <w:t xml:space="preserve">59</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34. Registro de riesgos y estrategias de mitigación.</w:t>
      </w:r>
      <w:r>
        <w:rPr>
          <w:rFonts w:ascii="Times New Roman" w:cs="Times New Roman" w:eastAsia="Times New Roman" w:hAnsi="Times New Roman"/>
          <w:sz w:val="24"/>
          <w:szCs w:val="24"/>
        </w:rPr>
        <w:tab/>
        <w:t xml:space="preserve">60</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35. Cronograma de actividades por semanas.</w:t>
      </w:r>
      <w:r>
        <w:rPr>
          <w:rFonts w:ascii="Times New Roman" w:cs="Times New Roman" w:eastAsia="Times New Roman" w:hAnsi="Times New Roman"/>
          <w:sz w:val="24"/>
          <w:szCs w:val="24"/>
        </w:rPr>
        <w:tab/>
        <w:t xml:space="preserve">62</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36. Hitos del proyecto.</w:t>
      </w:r>
      <w:r>
        <w:rPr>
          <w:rFonts w:ascii="Times New Roman" w:cs="Times New Roman" w:eastAsia="Times New Roman" w:hAnsi="Times New Roman"/>
          <w:sz w:val="24"/>
          <w:szCs w:val="24"/>
        </w:rPr>
        <w:tab/>
        <w:t xml:space="preserve">65</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37. Presupuesto del proyecto por rubro.</w:t>
      </w:r>
      <w:r>
        <w:rPr>
          <w:rFonts w:ascii="Times New Roman" w:cs="Times New Roman" w:eastAsia="Times New Roman" w:hAnsi="Times New Roman"/>
          <w:sz w:val="24"/>
          <w:szCs w:val="24"/>
        </w:rPr>
        <w:tab/>
        <w:t xml:space="preserve">65</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38. Presupuesto según la fuente de financiación (en pesos colombianos).</w:t>
      </w:r>
      <w:r>
        <w:rPr>
          <w:rFonts w:ascii="Times New Roman" w:cs="Times New Roman" w:eastAsia="Times New Roman" w:hAnsi="Times New Roman"/>
          <w:sz w:val="24"/>
          <w:szCs w:val="24"/>
        </w:rPr>
        <w:tab/>
        <w:t xml:space="preserve">66</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39. Recursos no monetarios del proyecto.</w:t>
      </w:r>
      <w:r>
        <w:rPr>
          <w:rFonts w:ascii="Times New Roman" w:cs="Times New Roman" w:eastAsia="Times New Roman" w:hAnsi="Times New Roman"/>
          <w:sz w:val="24"/>
          <w:szCs w:val="24"/>
        </w:rPr>
        <w:tab/>
        <w:t xml:space="preserve">67</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40. Resultados o productos esperados.</w:t>
      </w:r>
      <w:r>
        <w:rPr>
          <w:rFonts w:ascii="Times New Roman" w:cs="Times New Roman" w:eastAsia="Times New Roman" w:hAnsi="Times New Roman"/>
          <w:sz w:val="24"/>
          <w:szCs w:val="24"/>
        </w:rPr>
        <w:tab/>
        <w:t xml:space="preserve">67</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41. Estructura de la encuesta de diagnóstico para estudiantes.</w:t>
      </w:r>
      <w:r>
        <w:rPr>
          <w:rFonts w:ascii="Times New Roman" w:cs="Times New Roman" w:eastAsia="Times New Roman" w:hAnsi="Times New Roman"/>
          <w:sz w:val="24"/>
          <w:szCs w:val="24"/>
        </w:rPr>
        <w:tab/>
        <w:t xml:space="preserve">77</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42. Lista de chequeo de infraestructura.</w:t>
      </w:r>
      <w:r>
        <w:rPr>
          <w:rFonts w:ascii="Times New Roman" w:cs="Times New Roman" w:eastAsia="Times New Roman" w:hAnsi="Times New Roman"/>
          <w:sz w:val="24"/>
          <w:szCs w:val="24"/>
        </w:rPr>
        <w:tab/>
        <w:t xml:space="preserve">78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43. Ítems de la escala SUS.</w:t>
      </w:r>
      <w:r>
        <w:rPr>
          <w:rFonts w:ascii="Times New Roman" w:cs="Times New Roman" w:eastAsia="Times New Roman" w:hAnsi="Times New Roman"/>
          <w:sz w:val="24"/>
          <w:szCs w:val="24"/>
        </w:rPr>
        <w:tab/>
        <w:t xml:space="preserve">79</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44. Ítems del cuestionario TAM.</w:t>
      </w:r>
      <w:r>
        <w:rPr>
          <w:rFonts w:ascii="Times New Roman" w:cs="Times New Roman" w:eastAsia="Times New Roman" w:hAnsi="Times New Roman"/>
          <w:sz w:val="24"/>
          <w:szCs w:val="24"/>
        </w:rPr>
        <w:tab/>
        <w:t xml:space="preserve">80</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45. Ficha de observación por sesión.</w:t>
      </w:r>
      <w:r>
        <w:rPr>
          <w:rFonts w:ascii="Times New Roman" w:cs="Times New Roman" w:eastAsia="Times New Roman" w:hAnsi="Times New Roman"/>
          <w:sz w:val="24"/>
          <w:szCs w:val="24"/>
        </w:rPr>
        <w:tab/>
        <w:t xml:space="preserve">80</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46. Ítems de la escala ICDA (escala de 1 a 5).</w:t>
      </w:r>
      <w:r>
        <w:rPr>
          <w:rFonts w:ascii="Times New Roman" w:cs="Times New Roman" w:eastAsia="Times New Roman" w:hAnsi="Times New Roman"/>
          <w:sz w:val="24"/>
          <w:szCs w:val="24"/>
        </w:rPr>
        <w:tab/>
        <w:t xml:space="preserve">81</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Tabla 47. Evidencias de participación requeridas por la guía.</w:t>
      </w:r>
      <w:r>
        <w:rPr>
          <w:rFonts w:ascii="Times New Roman" w:cs="Times New Roman" w:eastAsia="Times New Roman" w:hAnsi="Times New Roman"/>
          <w:sz w:val="24"/>
          <w:szCs w:val="24"/>
        </w:rPr>
        <w:tab/>
        <w:t xml:space="preserve">82</w:t>
      </w:r>
    </w:p>
    <w:p>
      <w:r>
        <w:br w:type="page"/>
      </w:r>
    </w:p>
    <w:p>
      <w:pPr>
        <w:spacing w:after="0" w:before="0" w:line="480" w:lineRule="auto"/>
        <w:jc w:val="center"/>
      </w:pPr>
      <w:r>
        <w:rPr>
          <w:rFonts w:ascii="Times New Roman" w:cs="Times New Roman" w:eastAsia="Times New Roman" w:hAnsi="Times New Roman"/>
          <w:b/>
          <w:bCs/>
          <w:sz w:val="24"/>
          <w:szCs w:val="24"/>
        </w:rPr>
        <w:t xml:space="preserve">Lista de Figuras</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 Árbol de problema.</w:t>
      </w:r>
      <w:r>
        <w:rPr>
          <w:rFonts w:ascii="Times New Roman" w:cs="Times New Roman" w:eastAsia="Times New Roman" w:hAnsi="Times New Roman"/>
          <w:sz w:val="24"/>
          <w:szCs w:val="24"/>
        </w:rPr>
        <w:tab/>
        <w:t xml:space="preserve">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2. Niveles de la Taxonomía de Bloom revisada y actividades previstas en la plataforma.</w:t>
      </w:r>
      <w:r>
        <w:rPr>
          <w:rFonts w:ascii="Times New Roman" w:cs="Times New Roman" w:eastAsia="Times New Roman" w:hAnsi="Times New Roman"/>
          <w:sz w:val="24"/>
          <w:szCs w:val="24"/>
        </w:rPr>
        <w:tab/>
        <w:t xml:space="preserve">16</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3. Escala de madurez tecnológica (TRL) y ruta del proyecto.</w:t>
      </w:r>
      <w:r>
        <w:rPr>
          <w:rFonts w:ascii="Times New Roman" w:cs="Times New Roman" w:eastAsia="Times New Roman" w:hAnsi="Times New Roman"/>
          <w:sz w:val="24"/>
          <w:szCs w:val="24"/>
        </w:rPr>
        <w:tab/>
        <w:t xml:space="preserve">18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4. Pila tecnológica de la plataforma por capas.</w:t>
      </w:r>
      <w:r>
        <w:rPr>
          <w:rFonts w:ascii="Times New Roman" w:cs="Times New Roman" w:eastAsia="Times New Roman" w:hAnsi="Times New Roman"/>
          <w:sz w:val="24"/>
          <w:szCs w:val="24"/>
        </w:rPr>
        <w:tab/>
        <w:t xml:space="preserve">28</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5. Flujo metodológico del proyecto aplicado.</w:t>
      </w:r>
      <w:r>
        <w:rPr>
          <w:rFonts w:ascii="Times New Roman" w:cs="Times New Roman" w:eastAsia="Times New Roman" w:hAnsi="Times New Roman"/>
          <w:sz w:val="24"/>
          <w:szCs w:val="24"/>
        </w:rPr>
        <w:tab/>
        <w:t xml:space="preserve">32</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6. Integración de las ciencias del diseño, Scrum, ADDIE e ingeniería de software por fase.</w:t>
      </w:r>
      <w:r>
        <w:rPr>
          <w:rFonts w:ascii="Times New Roman" w:cs="Times New Roman" w:eastAsia="Times New Roman" w:hAnsi="Times New Roman"/>
          <w:sz w:val="24"/>
          <w:szCs w:val="24"/>
        </w:rPr>
        <w:tab/>
        <w:t xml:space="preserve">42</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7. Ciclo de trabajo Scrum adaptado al proyecto.</w:t>
      </w:r>
      <w:r>
        <w:rPr>
          <w:rFonts w:ascii="Times New Roman" w:cs="Times New Roman" w:eastAsia="Times New Roman" w:hAnsi="Times New Roman"/>
          <w:sz w:val="24"/>
          <w:szCs w:val="24"/>
        </w:rPr>
        <w:tab/>
        <w:t xml:space="preserve">43</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8. Diagrama de casos de uso de la plataforma.</w:t>
      </w:r>
      <w:r>
        <w:rPr>
          <w:rFonts w:ascii="Times New Roman" w:cs="Times New Roman" w:eastAsia="Times New Roman" w:hAnsi="Times New Roman"/>
          <w:sz w:val="24"/>
          <w:szCs w:val="24"/>
        </w:rPr>
        <w:tab/>
        <w:t xml:space="preserve">49</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9. Arquitectura de despliegue de la plataforma.</w:t>
      </w:r>
      <w:r>
        <w:rPr>
          <w:rFonts w:ascii="Times New Roman" w:cs="Times New Roman" w:eastAsia="Times New Roman" w:hAnsi="Times New Roman"/>
          <w:sz w:val="24"/>
          <w:szCs w:val="24"/>
        </w:rPr>
        <w:tab/>
        <w:t xml:space="preserve">52</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10. Mapa de navegación de la plataforma.</w:t>
      </w:r>
      <w:r>
        <w:rPr>
          <w:rFonts w:ascii="Times New Roman" w:cs="Times New Roman" w:eastAsia="Times New Roman" w:hAnsi="Times New Roman"/>
          <w:sz w:val="24"/>
          <w:szCs w:val="24"/>
        </w:rPr>
        <w:tab/>
        <w:t xml:space="preserve">53</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11. Plantilla de curso basada en ADDIE y la Taxonomía de Bloom.</w:t>
      </w:r>
      <w:r>
        <w:rPr>
          <w:rFonts w:ascii="Times New Roman" w:cs="Times New Roman" w:eastAsia="Times New Roman" w:hAnsi="Times New Roman"/>
          <w:sz w:val="24"/>
          <w:szCs w:val="24"/>
        </w:rPr>
        <w:tab/>
        <w:t xml:space="preserve">54</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12. Modelo conceptual de datos de la plataforma.</w:t>
      </w:r>
      <w:r>
        <w:rPr>
          <w:rFonts w:ascii="Times New Roman" w:cs="Times New Roman" w:eastAsia="Times New Roman" w:hAnsi="Times New Roman"/>
          <w:sz w:val="24"/>
          <w:szCs w:val="24"/>
        </w:rPr>
        <w:tab/>
        <w:t xml:space="preserve">55</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13. Mockup 1. Tablero personal del estudiante (versión web y móvil).</w:t>
      </w:r>
      <w:r>
        <w:rPr>
          <w:rFonts w:ascii="Times New Roman" w:cs="Times New Roman" w:eastAsia="Times New Roman" w:hAnsi="Times New Roman"/>
          <w:sz w:val="24"/>
          <w:szCs w:val="24"/>
        </w:rPr>
        <w:tab/>
        <w:t xml:space="preserve">56</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14. Mockup 2. Vista de una unidad del curso con actividades por nivel de Bloom.</w:t>
      </w:r>
      <w:r>
        <w:rPr>
          <w:rFonts w:ascii="Times New Roman" w:cs="Times New Roman" w:eastAsia="Times New Roman" w:hAnsi="Times New Roman"/>
          <w:sz w:val="24"/>
          <w:szCs w:val="24"/>
        </w:rPr>
        <w:tab/>
        <w:t xml:space="preserve">57</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15. Mockup 3. Panel de informes del docente.</w:t>
      </w:r>
      <w:r>
        <w:rPr>
          <w:rFonts w:ascii="Times New Roman" w:cs="Times New Roman" w:eastAsia="Times New Roman" w:hAnsi="Times New Roman"/>
          <w:sz w:val="24"/>
          <w:szCs w:val="24"/>
        </w:rPr>
        <w:tab/>
        <w:t xml:space="preserve">57</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16. Matriz de probabilidad e impacto de los riesgos.</w:t>
      </w:r>
      <w:r>
        <w:rPr>
          <w:rFonts w:ascii="Times New Roman" w:cs="Times New Roman" w:eastAsia="Times New Roman" w:hAnsi="Times New Roman"/>
          <w:sz w:val="24"/>
          <w:szCs w:val="24"/>
        </w:rPr>
        <w:tab/>
        <w:t xml:space="preserve">60</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17. Diagrama de Gantt del proyecto.</w:t>
      </w:r>
      <w:r>
        <w:rPr>
          <w:rFonts w:ascii="Times New Roman" w:cs="Times New Roman" w:eastAsia="Times New Roman" w:hAnsi="Times New Roman"/>
          <w:sz w:val="24"/>
          <w:szCs w:val="24"/>
        </w:rPr>
        <w:tab/>
        <w:t xml:space="preserve">64</w:t>
      </w:r>
    </w:p>
    <w:p>
      <w:pPr>
        <w:tabs>
          <w:tab w:val="right" w:pos="9360" w:leader="dot"/>
        </w:tabs>
        <w:spacing w:after="70" w:before="0" w:line="276" w:lineRule="auto"/>
        <w:ind w:left="0" w:right="500" w:hanging="0"/>
      </w:pPr>
      <w:r>
        <w:rPr>
          <w:rFonts w:ascii="Times New Roman" w:cs="Times New Roman" w:eastAsia="Times New Roman" w:hAnsi="Times New Roman"/>
          <w:b w:val="false"/>
          <w:bCs w:val="false"/>
          <w:sz w:val="24"/>
          <w:szCs w:val="24"/>
        </w:rPr>
        <w:t xml:space="preserve">Figura 18. Distribución del presupuesto por categoría y por fuente de financiación.</w:t>
      </w:r>
      <w:r>
        <w:rPr>
          <w:rFonts w:ascii="Times New Roman" w:cs="Times New Roman" w:eastAsia="Times New Roman" w:hAnsi="Times New Roman"/>
          <w:sz w:val="24"/>
          <w:szCs w:val="24"/>
        </w:rPr>
        <w:tab/>
        <w:t xml:space="preserve">66</w:t>
      </w:r>
    </w:p>
    <w:p>
      <w:pPr>
        <w:sectPr>
          <w:headerReference w:type="default" r:id="rId7"/>
          <w:pgSz w:w="12240" w:h="15840" w:orient="portrait"/>
          <w:pgMar w:top="1440" w:right="1440" w:bottom="1440" w:left="1440" w:header="708" w:footer="708" w:gutter="0"/>
          <w:pgNumType w:start="2" w:fmt="lowerRoman"/>
          <w:docGrid w:linePitch="360"/>
        </w:sectPr>
      </w:pPr>
    </w:p>
    <w:p>
      <w:pPr>
        <w:pStyle w:val="Heading1"/>
        <w:keepNext/>
        <w:spacing w:after="0" w:before="0" w:line="480" w:lineRule="auto"/>
        <w:jc w:val="center"/>
      </w:pPr>
      <w:r>
        <w:rPr>
          <w:rFonts w:ascii="Times New Roman" w:cs="Times New Roman" w:eastAsia="Times New Roman" w:hAnsi="Times New Roman"/>
          <w:b/>
          <w:bCs/>
          <w:sz w:val="24"/>
          <w:szCs w:val="24"/>
        </w:rPr>
        <w:t xml:space="preserve">Resumen</w:t>
      </w:r>
    </w:p>
    <w:p>
      <w:pPr>
        <w:spacing w:after="0" w:before="0" w:line="480" w:lineRule="auto"/>
        <w:ind w:firstLine="720"/>
      </w:pPr>
      <w:r>
        <w:rPr>
          <w:rFonts w:ascii="Times New Roman" w:cs="Times New Roman" w:eastAsia="Times New Roman" w:hAnsi="Times New Roman"/>
          <w:sz w:val="24"/>
          <w:szCs w:val="24"/>
        </w:rPr>
        <w:t xml:space="preserve">Este documento maestro formula el proceso metodológico investigativo y de desarrollo tecnológico de un proyecto aplicado de Ingeniería de Sistemas orientado a diseñar, implementar y validar una plataforma digital de aprendizaje en la Institución Educativa (I.E.) El Carmelo de San Juan del Cesar (La Guajira). En la institución, el aprendizaje se apoya todavía en métodos tradicionales y presenciales, en un contexto regional marcado por la brecha digital de conectividad, dispositivos y competencias. La solución propuesta se basa en Moodle, un sistema de gestión del aprendizaje de software libre, con acceso desde el celular, recursos livianos y descargables, y actividades y evaluaciones diseñadas con la Taxonomía de Bloom revisada. La metodología de investigación es de enfoque mixto, con diseño de ciencias del diseño y evaluación preexperimental de un solo grupo con medición previa y posterior; se utilizan encuestas, entrevistas, una lista de chequeo, la Escala de Usabilidad del Sistema (SUS), el modelo de aceptación tecnológica (TAM) y los registros de la plataforma. El desarrollo tecnológico combina Scrum, en doce sprints de dos semanas, con el modelo de diseño instruccional ADDIE. El documento presenta el planteamiento del problema, los marcos de referencia, la población y la muestra, los instrumentos y el plan de análisis, el análisis de requerimientos, el diseño preliminar del prototipo, un cronograma de seis meses, un presupuesto estimado de $15.030.000 y los resultados esperados, con una meta de madurez tecnológica TRL 5 y una contribución a los ODS 4, 9, 10 y 17.</w:t>
      </w:r>
    </w:p>
    <w:p>
      <w:pPr>
        <w:spacing w:after="0" w:before="0" w:line="480" w:lineRule="auto"/>
        <w:ind w:firstLine="720"/>
      </w:pPr>
      <w:r>
        <w:rPr>
          <w:rFonts w:ascii="Times New Roman" w:cs="Times New Roman" w:eastAsia="Times New Roman" w:hAnsi="Times New Roman"/>
          <w:i/>
          <w:iCs/>
          <w:sz w:val="24"/>
          <w:szCs w:val="24"/>
        </w:rPr>
        <w:t xml:space="preserve">Palabras clave:</w:t>
      </w:r>
      <w:r>
        <w:rPr>
          <w:rFonts w:ascii="Times New Roman" w:cs="Times New Roman" w:eastAsia="Times New Roman" w:hAnsi="Times New Roman"/>
          <w:sz w:val="24"/>
          <w:szCs w:val="24"/>
        </w:rPr>
        <w:t xml:space="preserve"> plataforma digital de aprendizaje, sistema de gestión del aprendizaje (LMS), Moodle, transformación digital educativa, brecha digital, Taxonomía de Bloom.</w:t>
      </w:r>
    </w:p>
    <w:p>
      <w:r>
        <w:br w:type="page"/>
      </w:r>
    </w:p>
    <w:p>
      <w:pPr>
        <w:pStyle w:val="Heading1"/>
        <w:keepNext/>
        <w:spacing w:after="0" w:before="0" w:line="480" w:lineRule="auto"/>
        <w:jc w:val="center"/>
      </w:pPr>
      <w:r>
        <w:rPr>
          <w:rFonts w:ascii="Times New Roman" w:cs="Times New Roman" w:eastAsia="Times New Roman" w:hAnsi="Times New Roman"/>
          <w:b/>
          <w:bCs/>
          <w:sz w:val="24"/>
          <w:szCs w:val="24"/>
        </w:rPr>
        <w:t xml:space="preserve">Abstract</w:t>
      </w:r>
    </w:p>
    <w:p>
      <w:pPr>
        <w:spacing w:after="0" w:before="0" w:line="480" w:lineRule="auto"/>
        <w:ind w:firstLine="720"/>
      </w:pPr>
      <w:r>
        <w:rPr>
          <w:rFonts w:ascii="Times New Roman" w:cs="Times New Roman" w:eastAsia="Times New Roman" w:hAnsi="Times New Roman"/>
          <w:sz w:val="24"/>
          <w:szCs w:val="24"/>
        </w:rPr>
        <w:t xml:space="preserve">This master document defines the research and technological development methodology of an applied Systems Engineering project aimed at designing, implementing, and validating a digital learning platform at Institución Educativa El Carmelo in San Juan del Cesar (La Guajira, Colombia). The school still relies on traditional, face-to-face teaching methods within a regional context characterized by a digital divide in connectivity, devices, and skills. The proposed solution is based on Moodle, an open-source learning management system (LMS), with mobile access, lightweight downloadable resources, and activities and assessments designed with the revised Bloom's taxonomy. The research methodology follows a mixed-methods approach with a design science design and a one-group pre-experimental evaluation with pre- and post-measurements; the instruments include surveys, interviews, an infrastructure checklist, the System Usability Scale (SUS), the technology acceptance model (TAM), and platform logs. Technological development combines Scrum, in twelve two-week sprints, with the ADDIE instructional design model. The document presents the problem statement, the reference frameworks, the population and sample, the instruments and the analysis plan, the requirements analysis, the preliminary prototype design, a six-month schedule, an estimated budget of COP 15,030,000, and the expected results, aiming at technology readiness level (TRL) 5 and contributing to Sustainable Development Goals 4, 9, 10, and 17.</w:t>
      </w:r>
    </w:p>
    <w:p>
      <w:pPr>
        <w:spacing w:after="0" w:before="0" w:line="480" w:lineRule="auto"/>
        <w:ind w:firstLine="720"/>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digital learning platform, learning management system (LMS), Moodle, educational digital transformation, digital divide, Bloom's taxonomy.</w:t>
      </w:r>
    </w:p>
    <w:p>
      <w:r>
        <w:br w:type="page"/>
      </w:r>
    </w:p>
    <w:p>
      <w:pPr>
        <w:pStyle w:val="Heading1"/>
        <w:keepNext/>
        <w:spacing w:after="0" w:before="0" w:line="480" w:lineRule="auto"/>
        <w:jc w:val="center"/>
      </w:pPr>
      <w:r>
        <w:rPr>
          <w:rFonts w:ascii="Times New Roman" w:cs="Times New Roman" w:eastAsia="Times New Roman" w:hAnsi="Times New Roman"/>
          <w:b/>
          <w:bCs/>
          <w:sz w:val="24"/>
          <w:szCs w:val="24"/>
        </w:rPr>
        <w:t xml:space="preserve">Introducción</w:t>
      </w:r>
    </w:p>
    <w:p>
      <w:pPr>
        <w:spacing w:after="0" w:before="0" w:line="480" w:lineRule="auto"/>
        <w:ind w:firstLine="720"/>
        <w:jc w:val="left"/>
      </w:pPr>
      <w:r>
        <w:rPr>
          <w:rFonts w:ascii="Times New Roman" w:cs="Times New Roman" w:eastAsia="Times New Roman" w:hAnsi="Times New Roman"/>
          <w:sz w:val="24"/>
          <w:szCs w:val="24"/>
        </w:rPr>
        <w:t xml:space="preserve">La educación contemporánea atraviesa una transformación profunda impulsada por la incorporación de las tecnologías digitales en la gestión institucional y en la práctica pedagógica. Sin embargo, como advierte la UNESCO (2023), la tecnología educativa solo genera valor cuando responde a las condiciones del contexto y a las necesidades reales de quienes la usan. En Colombia, esa condición cobra especial relevancia en las zonas rurales y periféricas, donde la falta de conectividad, de dispositivos y de formación docente limita el aprovechamiento de las herramientas digitales (Mena Amado y Hernández, 2026; Parada, 2024).</w:t>
      </w:r>
    </w:p>
    <w:p>
      <w:pPr>
        <w:spacing w:after="0" w:before="0" w:line="480" w:lineRule="auto"/>
        <w:ind w:firstLine="720"/>
        <w:jc w:val="left"/>
      </w:pPr>
      <w:r>
        <w:rPr>
          <w:rFonts w:ascii="Times New Roman" w:cs="Times New Roman" w:eastAsia="Times New Roman" w:hAnsi="Times New Roman"/>
          <w:sz w:val="24"/>
          <w:szCs w:val="24"/>
        </w:rPr>
        <w:t xml:space="preserve">En la Institución Educativa El Carmelo, de carácter público y ubicada en San Juan del Cesar (La Guajira), los procesos de enseñanza y aprendizaje se desarrollan principalmente de manera presencial, con guías impresas, tareas en cuaderno y evaluaciones en papel. La institución no cuenta con una plataforma propia que centralice los contenidos, las actividades, la comunicación y el seguimiento del progreso de los estudiantes, por lo que la continuidad pedagógica depende casi por completo de la asistencia a clase y de la disponibilidad del docente. Esta situación motiva el presente proyecto aplicado, que propone una transición gradual y complementaria hacia el aprendizaje digital, sin reemplazar la clase presencial.</w:t>
      </w:r>
    </w:p>
    <w:p>
      <w:pPr>
        <w:spacing w:after="0" w:before="0" w:line="480" w:lineRule="auto"/>
        <w:ind w:firstLine="720"/>
        <w:jc w:val="left"/>
      </w:pPr>
      <w:r>
        <w:rPr>
          <w:rFonts w:ascii="Times New Roman" w:cs="Times New Roman" w:eastAsia="Times New Roman" w:hAnsi="Times New Roman"/>
          <w:sz w:val="24"/>
          <w:szCs w:val="24"/>
        </w:rPr>
        <w:t xml:space="preserve">La propuesta consiste en diseñar, implementar y validar una plataforma digital de aprendizaje basada en Moodle, un sistema de gestión del aprendizaje (LMS) de software libre que puede operarse con recursos técnicos modestos, consultarse desde el celular y ofrecer contenidos descargables para escenarios de baja conectividad (Linhalis y da Silva, 2023). El diseño de las actividades y de las evaluaciones se fundamenta en la Taxonomía de Bloom revisada (Anderson y Krathwohl, 2001), de modo que la plataforma no solo digitalice contenidos, sino que promueva procesos cognitivos de complejidad creciente.</w:t>
      </w:r>
    </w:p>
    <w:p>
      <w:pPr>
        <w:spacing w:after="0" w:before="0" w:line="480" w:lineRule="auto"/>
        <w:ind w:firstLine="720"/>
        <w:jc w:val="left"/>
      </w:pPr>
      <w:r>
        <w:rPr>
          <w:rFonts w:ascii="Times New Roman" w:cs="Times New Roman" w:eastAsia="Times New Roman" w:hAnsi="Times New Roman"/>
          <w:sz w:val="24"/>
          <w:szCs w:val="24"/>
        </w:rPr>
        <w:t xml:space="preserve">Este documento maestro corresponde a la Fase 3 del curso Proyecto de grado (202016907), denominada Formulación del proceso metodológico investigativo. En él se ajusta lo desarrollado en la fase anterior y se fortalece, atendiendo la recomendación recibida, el componente metodológico de implementación y evaluación. Se presentan el planteamiento del problema, los objetivos, la justificación y la delimitación, los marcos teórico, conceptual, jurídico y tecnológico, la metodología de investigación (población y muestra, instrumentos y plan de análisis), la metodología de desarrollo tecnológico (análisis de requerimientos y diseño preliminar del prototipo), el cronograma de seis meses, los recursos y los resultados esperados.</w:t>
      </w:r>
    </w:p>
    <w:p>
      <w:pPr>
        <w:spacing w:after="0" w:before="0" w:line="480" w:lineRule="auto"/>
        <w:ind w:firstLine="720"/>
        <w:jc w:val="left"/>
      </w:pPr>
      <w:r>
        <w:rPr>
          <w:rFonts w:ascii="Times New Roman" w:cs="Times New Roman" w:eastAsia="Times New Roman" w:hAnsi="Times New Roman"/>
          <w:sz w:val="24"/>
          <w:szCs w:val="24"/>
        </w:rPr>
        <w:t xml:space="preserve">El documento ofrece una ruta verificable para ejecutar el proyecto en las fases siguientes, con indicadores de éxito definidos, un plan de análisis coherente con el enfoque mixto y un prototipo preliminar que servirá de base para el desarrollo, hasta alcanzar un nivel de madurez tecnológica TRL 5 mediante una prueba piloto en el propio entorno de la institución.</w:t>
      </w:r>
    </w:p>
    <w:p>
      <w:pPr>
        <w:pStyle w:val="Heading2"/>
        <w:keepNext/>
        <w:spacing w:after="0" w:before="0" w:line="480" w:lineRule="auto"/>
      </w:pPr>
      <w:r>
        <w:rPr>
          <w:rFonts w:ascii="Times New Roman" w:cs="Times New Roman" w:eastAsia="Times New Roman" w:hAnsi="Times New Roman"/>
          <w:b/>
          <w:bCs/>
          <w:sz w:val="24"/>
          <w:szCs w:val="24"/>
        </w:rPr>
        <w:t xml:space="preserve">Líneas y grupos de interés investigativo</w:t>
      </w:r>
    </w:p>
    <w:p>
      <w:pPr>
        <w:spacing w:after="0" w:before="0" w:line="480" w:lineRule="auto"/>
        <w:ind w:firstLine="720"/>
        <w:jc w:val="left"/>
      </w:pPr>
      <w:r>
        <w:rPr>
          <w:rFonts w:ascii="Times New Roman" w:cs="Times New Roman" w:eastAsia="Times New Roman" w:hAnsi="Times New Roman"/>
          <w:sz w:val="24"/>
          <w:szCs w:val="24"/>
        </w:rPr>
        <w:t xml:space="preserve">El proyecto se inscribe en la cadena de formación en Sistemas de la Escuela de Ciencias Básicas, Tecnología e Ingeniería (ECBTI) de la UNAD, en la línea de Ingeniería de Software, y se relaciona con la temática de tecnología para la educación. La Tabla 1 resume los intereses investigativos que motivan la propuesta y su correspondencia con las líneas y los grupos de investigación.</w:t>
      </w:r>
    </w:p>
    <w:p>
      <w:pPr>
        <w:keepNext/>
        <w:spacing w:after="100" w:before="200" w:line="240" w:lineRule="auto"/>
      </w:pPr>
      <w:r>
        <w:rPr>
          <w:rFonts w:ascii="Times New Roman" w:cs="Times New Roman" w:eastAsia="Times New Roman" w:hAnsi="Times New Roman"/>
          <w:b/>
          <w:bCs/>
          <w:sz w:val="24"/>
          <w:szCs w:val="24"/>
        </w:rPr>
        <w:t xml:space="preserve">Tabla 1. </w:t>
      </w:r>
      <w:r>
        <w:rPr>
          <w:rFonts w:ascii="Times New Roman" w:cs="Times New Roman" w:eastAsia="Times New Roman" w:hAnsi="Times New Roman"/>
          <w:i/>
          <w:iCs/>
          <w:sz w:val="24"/>
          <w:szCs w:val="24"/>
        </w:rPr>
        <w:t xml:space="preserve">Relación de intereses investigativos, líneas y grupos de investigación.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cantSplit/>
          <w:tblHeader/>
        </w:trPr>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Intereses en ingeniería e investigación</w:t>
            </w:r>
          </w:p>
        </w:tc>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Línea de investigación y áreas temáticas</w:t>
            </w:r>
          </w:p>
        </w:tc>
        <w:tc>
          <w:tcPr>
            <w:tcW w:type="dxa" w:w="2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Grupo de investigación</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Desarrollo e implementación de plataformas de aprendizaje de software libre para instituciones educativas públicas</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Ingeniería del Software – Tecnología para la educación</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Grupo de Investigación en Desarrollo Tecnológico (GIDESTEC)</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Evaluación de la usabilidad y la aceptación de soluciones de software en contextos reales</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Ingeniería del Software – Desarrollo de soluciones de software de calidad</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GIA</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Estrategias de aprendizaje mediadas por TIC en contextos con recursos tecnológicos y conectividad limitados</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Ingeniería del Software – Sistemas inteligentes / Tecnología para la educación</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Byte In Design</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a partir de las líneas y grupos de la cadena de formación en Sistemas de la ECBTI-UNAD.</w:t>
      </w:r>
    </w:p>
    <w:p>
      <w:pPr>
        <w:pStyle w:val="Heading2"/>
        <w:keepNext/>
        <w:spacing w:after="0" w:before="0" w:line="480" w:lineRule="auto"/>
      </w:pPr>
      <w:r>
        <w:rPr>
          <w:rFonts w:ascii="Times New Roman" w:cs="Times New Roman" w:eastAsia="Times New Roman" w:hAnsi="Times New Roman"/>
          <w:b/>
          <w:bCs/>
          <w:sz w:val="24"/>
          <w:szCs w:val="24"/>
        </w:rPr>
        <w:t xml:space="preserve">Planteamiento del problema</w:t>
      </w:r>
    </w:p>
    <w:p>
      <w:pPr>
        <w:spacing w:after="0" w:before="0" w:line="480" w:lineRule="auto"/>
        <w:ind w:firstLine="720"/>
        <w:jc w:val="left"/>
      </w:pPr>
      <w:r>
        <w:rPr>
          <w:rFonts w:ascii="Times New Roman" w:cs="Times New Roman" w:eastAsia="Times New Roman" w:hAnsi="Times New Roman"/>
          <w:b/>
          <w:bCs/>
          <w:sz w:val="24"/>
          <w:szCs w:val="24"/>
        </w:rPr>
        <w:t xml:space="preserve">¿Cuál es el problema?</w:t>
      </w:r>
      <w:r>
        <w:rPr>
          <w:rFonts w:ascii="Times New Roman" w:cs="Times New Roman" w:eastAsia="Times New Roman" w:hAnsi="Times New Roman"/>
          <w:sz w:val="24"/>
          <w:szCs w:val="24"/>
        </w:rPr>
        <w:t xml:space="preserve"> En la I.E. El Carmelo, el aprendizaje se desarrolla de forma tradicional: clases presenciales centradas en el docente, guías impresas y evaluaciones en papel. La institución no dispone de una plataforma que centralice contenidos, actividades, comunicación y seguimiento, de modo que el proceso educativo depende de la presencialidad y de la disponibilidad del docente. Esto limita la continuidad pedagógica ante ausencias o dificultades de desplazamiento, restringe el acceso a materiales actualizados y a retroalimentación oportuna, y reduce las oportunidades de desarrollar las competencias digitales que exigen la educación media, la superior y el mundo laboral (UNESCO, 2023).</w:t>
      </w:r>
    </w:p>
    <w:p>
      <w:pPr>
        <w:spacing w:after="0" w:before="0" w:line="480" w:lineRule="auto"/>
        <w:ind w:firstLine="720"/>
        <w:jc w:val="left"/>
      </w:pPr>
      <w:r>
        <w:rPr>
          <w:rFonts w:ascii="Times New Roman" w:cs="Times New Roman" w:eastAsia="Times New Roman" w:hAnsi="Times New Roman"/>
          <w:b/>
          <w:bCs/>
          <w:sz w:val="24"/>
          <w:szCs w:val="24"/>
        </w:rPr>
        <w:t xml:space="preserve">¿Quién vive el problema y dónde ocurre?</w:t>
      </w:r>
      <w:r>
        <w:rPr>
          <w:rFonts w:ascii="Times New Roman" w:cs="Times New Roman" w:eastAsia="Times New Roman" w:hAnsi="Times New Roman"/>
          <w:sz w:val="24"/>
          <w:szCs w:val="24"/>
        </w:rPr>
        <w:t xml:space="preserve"> Lo viven los estudiantes de básica secundaria y media y los docentes de la I.E. El Carmelo, institución pública del municipio de San Juan del Cesar, en el departamento de La Guajira. La situación forma parte de la brecha digital que afecta a las zonas rurales y periféricas del país: un estudio de la Universidad Javeriana, citado por Parada (2024), señala que el 79 % de las sedes educativas rurales no tiene acceso a internet y que cerca del 60 % carece de salas de cómputo. Mena Amado y Hernández (2026) confirman, con un instrumento validado, que la falta de conectividad, de dispositivos adecuados y de recursos digitales es la principal barrera en zonas remotas de Colombia.</w:t>
      </w:r>
    </w:p>
    <w:p>
      <w:pPr>
        <w:spacing w:after="0" w:before="0" w:line="480" w:lineRule="auto"/>
        <w:ind w:firstLine="720"/>
        <w:jc w:val="left"/>
      </w:pPr>
      <w:r>
        <w:rPr>
          <w:rFonts w:ascii="Times New Roman" w:cs="Times New Roman" w:eastAsia="Times New Roman" w:hAnsi="Times New Roman"/>
          <w:b/>
          <w:bCs/>
          <w:sz w:val="24"/>
          <w:szCs w:val="24"/>
        </w:rPr>
        <w:t xml:space="preserve">¿Cuándo ocurre?</w:t>
      </w:r>
      <w:r>
        <w:rPr>
          <w:rFonts w:ascii="Times New Roman" w:cs="Times New Roman" w:eastAsia="Times New Roman" w:hAnsi="Times New Roman"/>
          <w:sz w:val="24"/>
          <w:szCs w:val="24"/>
        </w:rPr>
        <w:t xml:space="preserve"> De manera permanente durante el año lectivo, con mayor intensidad en los periodos de evaluación y cuando el estudiante o el docente no pueden asistir a clase, momentos en que la institución no tiene un medio alterno para sostener el aprendizaje.</w:t>
      </w:r>
    </w:p>
    <w:p>
      <w:pPr>
        <w:spacing w:after="0" w:before="0" w:line="480" w:lineRule="auto"/>
        <w:ind w:firstLine="720"/>
        <w:jc w:val="left"/>
      </w:pPr>
      <w:r>
        <w:rPr>
          <w:rFonts w:ascii="Times New Roman" w:cs="Times New Roman" w:eastAsia="Times New Roman" w:hAnsi="Times New Roman"/>
          <w:b/>
          <w:bCs/>
          <w:sz w:val="24"/>
          <w:szCs w:val="24"/>
        </w:rPr>
        <w:t xml:space="preserve">¿Por qué ocurre?</w:t>
      </w:r>
      <w:r>
        <w:rPr>
          <w:rFonts w:ascii="Times New Roman" w:cs="Times New Roman" w:eastAsia="Times New Roman" w:hAnsi="Times New Roman"/>
          <w:sz w:val="24"/>
          <w:szCs w:val="24"/>
        </w:rPr>
        <w:t xml:space="preserve"> Se identifican cuatro causas, que se validarán en el diagnóstico: (a) la ausencia de una plataforma institucional para gestionar cursos, contenidos y evaluaciones; (b) la conectividad limitada y la disponibilidad desigual de dispositivos; (c) la formación docente insuficiente en el uso pedagógico de las TIC, aspecto que las revisiones recientes asocian con el aprovechamiento real de las plataformas (Cardona-Acevedo et al., 2025) y que el Ministerio de Educación Nacional (MEN, 2013) aborda mediante sus competencias TIC docentes; y (d) el predominio de prácticas pedagógicas tradicionales y de materiales impresos. Como efectos se observan la dependencia de la presencialidad, el menor acceso a recursos y retroalimentación, la poca trazabilidad del progreso de cada estudiante y menores oportunidades de desarrollo de competencias digitales frente a contextos mejor conectados.</w:t>
      </w:r>
    </w:p>
    <w:p>
      <w:pPr>
        <w:spacing w:after="0" w:before="0" w:line="480" w:lineRule="auto"/>
        <w:ind w:firstLine="720"/>
        <w:jc w:val="left"/>
      </w:pPr>
      <w:r>
        <w:rPr>
          <w:rFonts w:ascii="Times New Roman" w:cs="Times New Roman" w:eastAsia="Times New Roman" w:hAnsi="Times New Roman"/>
          <w:b/>
          <w:bCs/>
          <w:sz w:val="24"/>
          <w:szCs w:val="24"/>
        </w:rPr>
        <w:t xml:space="preserve">Alcance de la solución y viabilidad.</w:t>
      </w:r>
      <w:r>
        <w:rPr>
          <w:rFonts w:ascii="Times New Roman" w:cs="Times New Roman" w:eastAsia="Times New Roman" w:hAnsi="Times New Roman"/>
          <w:sz w:val="24"/>
          <w:szCs w:val="24"/>
        </w:rPr>
        <w:t xml:space="preserve"> Siguiendo las recomendaciones para formular un problema de investigación (Acosta-Sánchez, 2019), se parte de una situación concreta y se delimita su alcance. La solución no puede suponer una conexión permanente a internet: debe funcionar con conectividad limitada, ser accesible desde el celular y ofrecer contenidos que puedan consultarse sin conexión continua. Por ello se propone una plataforma digital de aprendizaje basada en software libre, apropiable por docentes y estudiantes y sostenible para la institución. El problema puede resolverse con la Ingeniería de Sistemas, pues requiere análisis de requisitos, diseño, desarrollo, pruebas y despliegue, y se relaciona directamente con la línea de Ingeniería de Software y la temática de tecnología para la educación. Es viable en seis meses porque emplea Moodle y H5P, no exige licencias, requiere un servidor en la nube y un equipo de desarrollo, y delimita el alcance a un número reducido de áreas y grupos. Los datos propios de la institución (número de docentes y estudiantes, dispositivos, calidad de la conectividad y uso actual de las TIC) se levantarán en el diagnóstico; por eso las cifras presentadas se toman como referencia nacional y regional.</w:t>
      </w:r>
    </w:p>
    <w:p>
      <w:pPr>
        <w:pStyle w:val="Heading3"/>
        <w:keepNext/>
        <w:spacing w:after="0" w:before="0" w:line="480" w:lineRule="auto"/>
      </w:pPr>
      <w:r>
        <w:rPr>
          <w:rFonts w:ascii="Times New Roman" w:cs="Times New Roman" w:eastAsia="Times New Roman" w:hAnsi="Times New Roman"/>
          <w:b/>
          <w:bCs/>
          <w:i/>
          <w:iCs/>
          <w:sz w:val="24"/>
          <w:szCs w:val="24"/>
        </w:rPr>
        <w:t xml:space="preserve">Formulación del problema</w:t>
      </w:r>
    </w:p>
    <w:p>
      <w:pPr>
        <w:spacing w:after="0" w:before="0" w:line="480" w:lineRule="auto"/>
        <w:ind w:firstLine="720"/>
        <w:jc w:val="left"/>
      </w:pPr>
      <w:r>
        <w:rPr>
          <w:rFonts w:ascii="Times New Roman" w:cs="Times New Roman" w:eastAsia="Times New Roman" w:hAnsi="Times New Roman"/>
          <w:sz w:val="24"/>
          <w:szCs w:val="24"/>
        </w:rPr>
        <w:t xml:space="preserve">¿Cómo diseñar e implementar una plataforma digital de aprendizaje, adecuada a las condiciones de conectividad y recursos de la I.E. El Carmelo, que permita transformar de manera gradual el aprendizaje tradicional en digital y que sea apropiada por docentes y estudiantes?</w:t>
      </w:r>
    </w:p>
    <w:p>
      <w:pPr>
        <w:pStyle w:val="Heading3"/>
        <w:keepNext/>
        <w:spacing w:after="0" w:before="0" w:line="480" w:lineRule="auto"/>
      </w:pPr>
      <w:r>
        <w:rPr>
          <w:rFonts w:ascii="Times New Roman" w:cs="Times New Roman" w:eastAsia="Times New Roman" w:hAnsi="Times New Roman"/>
          <w:b/>
          <w:bCs/>
          <w:i/>
          <w:iCs/>
          <w:sz w:val="24"/>
          <w:szCs w:val="24"/>
        </w:rPr>
        <w:t xml:space="preserve">Sistematización del problema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¿Cuál es el estado actual de los procesos de enseñanza, del acceso a dispositivos y conectividad y de las competencias digitales en la institución, y qué requisitos debe cumplir la plataforma?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¿Qué arquitectura, estructura pedagógica y contenidos permiten construir una plataforma útil y utilizable con baja conectividad?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¿Qué nivel de usabilidad, aceptación y apropiación alcanza la plataforma en una prueba piloto con docentes y estudiantes de la institución?</w:t>
      </w:r>
    </w:p>
    <w:p>
      <w:pPr>
        <w:pStyle w:val="Heading3"/>
        <w:keepNext/>
        <w:spacing w:after="0" w:before="0" w:line="480" w:lineRule="auto"/>
      </w:pPr>
      <w:r>
        <w:rPr>
          <w:rFonts w:ascii="Times New Roman" w:cs="Times New Roman" w:eastAsia="Times New Roman" w:hAnsi="Times New Roman"/>
          <w:b/>
          <w:bCs/>
          <w:i/>
          <w:iCs/>
          <w:sz w:val="24"/>
          <w:szCs w:val="24"/>
        </w:rPr>
        <w:t xml:space="preserve">Árbol causa-efecto del problema</w:t>
      </w:r>
    </w:p>
    <w:p>
      <w:pPr>
        <w:spacing w:after="0" w:before="0" w:line="480" w:lineRule="auto"/>
        <w:ind w:firstLine="720"/>
        <w:jc w:val="left"/>
      </w:pPr>
      <w:r>
        <w:rPr>
          <w:rFonts w:ascii="Times New Roman" w:cs="Times New Roman" w:eastAsia="Times New Roman" w:hAnsi="Times New Roman"/>
          <w:sz w:val="24"/>
          <w:szCs w:val="24"/>
        </w:rPr>
        <w:t xml:space="preserve">Con el fin de analizar de manera sistemática la situación descrita, se elaboró el árbol de problemas de la Figura 1. Esta herramienta, propia de la metodología de marco lógico, permite distinguir tres niveles: las causas que originan el problema central y que se dividen en causas directas e indirectas, el problema central que se busca resolver y los efectos negativos que produce en el corto y en el largo plazo. El problema central se formuló de manera que admita varias alternativas de solución y no una única respuesta tecnológica; la plataforma basada en Moodle es la alternativa seleccionada por su viabilidad técnica, económica y contextual.</w:t>
      </w:r>
    </w:p>
    <w:p>
      <w:pPr>
        <w:keepNext/>
        <w:spacing w:after="100" w:before="200" w:line="240" w:lineRule="auto"/>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i/>
          <w:iCs/>
          <w:sz w:val="24"/>
          <w:szCs w:val="24"/>
        </w:rPr>
        <w:t xml:space="preserve">Árbol de problema.</w:t>
      </w:r>
    </w:p>
    <w:p>
      <w:pPr>
        <w:keepNext/>
        <w:spacing w:after="60" w:before="60" w:line="240" w:lineRule="auto"/>
        <w:jc w:val="center"/>
      </w:pPr>
      <w:r>
        <w:drawing>
          <wp:inline distT="0" distB="0" distL="0" distR="0">
            <wp:extent cx="5943600" cy="4457700"/>
            <wp:effectExtent t="0" r="0" b="0" l="0"/>
            <wp:docPr id="1" name="Árbol de problema." descr="Árbol de problema." title="Árbol de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5770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el planteamiento del problema y en Parada (2024), Mena Amado y Hernández (2026) y Cardona-Acevedo et al. (2025).</w:t>
      </w:r>
    </w:p>
    <w:p>
      <w:pPr>
        <w:spacing w:after="0" w:before="0" w:line="480" w:lineRule="auto"/>
        <w:ind w:firstLine="720"/>
        <w:jc w:val="left"/>
      </w:pPr>
      <w:r>
        <w:rPr>
          <w:rFonts w:ascii="Times New Roman" w:cs="Times New Roman" w:eastAsia="Times New Roman" w:hAnsi="Times New Roman"/>
          <w:sz w:val="24"/>
          <w:szCs w:val="24"/>
        </w:rPr>
        <w:t xml:space="preserve">La Tabla 2 relaciona cada causa del árbol con el componente de la solución que la atiende y con el objetivo específico responsable, lo que garantiza la coherencia entre el problema, los objetivos y los productos del proyecto.</w:t>
      </w:r>
    </w:p>
    <w:p>
      <w:pPr>
        <w:keepNext/>
        <w:spacing w:after="100" w:before="200" w:line="240" w:lineRule="auto"/>
      </w:pPr>
      <w:r>
        <w:rPr>
          <w:rFonts w:ascii="Times New Roman" w:cs="Times New Roman" w:eastAsia="Times New Roman" w:hAnsi="Times New Roman"/>
          <w:b/>
          <w:bCs/>
          <w:sz w:val="24"/>
          <w:szCs w:val="24"/>
        </w:rPr>
        <w:t xml:space="preserve">Tabla 2. </w:t>
      </w:r>
      <w:r>
        <w:rPr>
          <w:rFonts w:ascii="Times New Roman" w:cs="Times New Roman" w:eastAsia="Times New Roman" w:hAnsi="Times New Roman"/>
          <w:i/>
          <w:iCs/>
          <w:sz w:val="24"/>
          <w:szCs w:val="24"/>
        </w:rPr>
        <w:t xml:space="preserve">Correspondencia entre las causas del problema y los componentes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300"/>
        <w:gridCol w:w="286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Causa</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Componente de la solución</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Objetivo específico</w:t>
            </w:r>
          </w:p>
        </w:tc>
        <w:tc>
          <w:tcPr>
            <w:tcW w:type="dxa" w:w="28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Producto verificable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C1. Ausencia de una plataforma institucional</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Plataforma Moodle configurada, con roles, cursos y evaluaciones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OE2</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Plataforma funcional con contenidos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C2. Conectividad limitada y dispositivos desiguales</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Acceso desde el celular, recursos livianos y descargables, uso de la sala de cómputo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OE1 y OE2</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Documento de diagnóstico y requisitos no funcionales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C3. Formación docente insuficiente</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Talleres de capacitación, acompañamiento en el piloto y manual de usuario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OE3</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Docentes capacitados y manual de usuario</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C4. Predominio de prácticas tradicionales</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Diseño instruccional con la Taxonomía de Bloom y guía de transición digital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OE2 y OE3</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Cursos digitales y guía de transición</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pStyle w:val="Heading2"/>
        <w:keepNext/>
        <w:spacing w:after="0" w:before="0" w:line="480" w:lineRule="auto"/>
      </w:pPr>
      <w:r>
        <w:rPr>
          <w:rFonts w:ascii="Times New Roman" w:cs="Times New Roman" w:eastAsia="Times New Roman" w:hAnsi="Times New Roman"/>
          <w:b/>
          <w:bCs/>
          <w:sz w:val="24"/>
          <w:szCs w:val="24"/>
        </w:rPr>
        <w:t xml:space="preserve">Delimitación del proyecto</w:t>
      </w:r>
    </w:p>
    <w:p>
      <w:pPr>
        <w:spacing w:after="0" w:before="0" w:line="480" w:lineRule="auto"/>
        <w:ind w:firstLine="720"/>
        <w:jc w:val="left"/>
      </w:pPr>
      <w:r>
        <w:rPr>
          <w:rFonts w:ascii="Times New Roman" w:cs="Times New Roman" w:eastAsia="Times New Roman" w:hAnsi="Times New Roman"/>
          <w:sz w:val="24"/>
          <w:szCs w:val="24"/>
        </w:rPr>
        <w:t xml:space="preserve">La delimitación establece los límites dentro de los cuales se ejecuta el proyecto y evita expectativas que excedan sus posibilidades reales. La Tabla 3 sintetiza las dimensiones consideradas, que se explican a continuación.</w:t>
      </w:r>
    </w:p>
    <w:p>
      <w:pPr>
        <w:keepNext/>
        <w:spacing w:after="100" w:before="200" w:line="240" w:lineRule="auto"/>
      </w:pPr>
      <w:r>
        <w:rPr>
          <w:rFonts w:ascii="Times New Roman" w:cs="Times New Roman" w:eastAsia="Times New Roman" w:hAnsi="Times New Roman"/>
          <w:b/>
          <w:bCs/>
          <w:sz w:val="24"/>
          <w:szCs w:val="24"/>
        </w:rPr>
        <w:t xml:space="preserve">Tabla 3. </w:t>
      </w:r>
      <w:r>
        <w:rPr>
          <w:rFonts w:ascii="Times New Roman" w:cs="Times New Roman" w:eastAsia="Times New Roman" w:hAnsi="Times New Roman"/>
          <w:i/>
          <w:iCs/>
          <w:sz w:val="24"/>
          <w:szCs w:val="24"/>
        </w:rPr>
        <w:t xml:space="preserve">Delimitación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Dimensión</w:t>
            </w:r>
          </w:p>
        </w:tc>
        <w:tc>
          <w:tcPr>
            <w:tcW w:type="dxa" w:w="7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Alcance definido</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Espacial</w:t>
            </w:r>
          </w:p>
        </w:tc>
        <w:tc>
          <w:tcPr>
            <w:tcW w:type="dxa" w:w="7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I.E. El Carmelo, municipio de San Juan del Cesar, departamento de La Guajira (Colombia).</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Temporal</w:t>
            </w:r>
          </w:p>
        </w:tc>
        <w:tc>
          <w:tcPr>
            <w:tcW w:type="dxa" w:w="7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Máximo de 6 meses a partir de la aprobación de la propuesta, distribuidos en 12 sprints de dos semanas, durante el año lectivo 2026.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Poblacional</w:t>
            </w:r>
          </w:p>
        </w:tc>
        <w:tc>
          <w:tcPr>
            <w:tcW w:type="dxa" w:w="7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Docentes de las áreas priorizadas y estudiantes de uno a tres grupos de básica secundaria y media definidos con la rectoría.</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Conceptual y técnica</w:t>
            </w:r>
          </w:p>
        </w:tc>
        <w:tc>
          <w:tcPr>
            <w:tcW w:type="dxa" w:w="7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LMS de código abierto, diseño instruccional con la Taxonomía de Bloom, evaluación de usabilidad y aceptación. Madurez tecnológica TRL 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Funcional</w:t>
            </w:r>
          </w:p>
        </w:tc>
        <w:tc>
          <w:tcPr>
            <w:tcW w:type="dxa" w:w="7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Gestión de usuarios y roles, cursos, recursos, cuestionarios, foros, tareas, calificaciones, informes y acceso móvil.</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Exclusiones</w:t>
            </w:r>
          </w:p>
        </w:tc>
        <w:tc>
          <w:tcPr>
            <w:tcW w:type="dxa" w:w="7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Compra de equipos o de conectividad, sustitución de los sistemas oficiales de matrícula y calificaciones, y despliegue en otras sedes.</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ind w:firstLine="720"/>
        <w:jc w:val="left"/>
      </w:pPr>
      <w:r>
        <w:rPr>
          <w:rFonts w:ascii="Times New Roman" w:cs="Times New Roman" w:eastAsia="Times New Roman" w:hAnsi="Times New Roman"/>
          <w:b/>
          <w:bCs/>
          <w:sz w:val="24"/>
          <w:szCs w:val="24"/>
        </w:rPr>
        <w:t xml:space="preserve">Delimitación espacial.</w:t>
      </w:r>
      <w:r>
        <w:rPr>
          <w:rFonts w:ascii="Times New Roman" w:cs="Times New Roman" w:eastAsia="Times New Roman" w:hAnsi="Times New Roman"/>
          <w:sz w:val="24"/>
          <w:szCs w:val="24"/>
        </w:rPr>
        <w:t xml:space="preserve"> El proyecto se ejecuta en la I.E. El Carmelo, institución pública ubicada en San Juan del Cesar, La Guajira. El servidor de la plataforma estará alojado en la nube, pero los usuarios, los contenidos y las pruebas corresponden exclusivamente a esta institución.</w:t>
      </w:r>
    </w:p>
    <w:p>
      <w:pPr>
        <w:spacing w:after="0" w:before="0" w:line="480" w:lineRule="auto"/>
        <w:ind w:firstLine="720"/>
        <w:jc w:val="left"/>
      </w:pPr>
      <w:r>
        <w:rPr>
          <w:rFonts w:ascii="Times New Roman" w:cs="Times New Roman" w:eastAsia="Times New Roman" w:hAnsi="Times New Roman"/>
          <w:b/>
          <w:bCs/>
          <w:sz w:val="24"/>
          <w:szCs w:val="24"/>
        </w:rPr>
        <w:t xml:space="preserve">Delimitación temporal.</w:t>
      </w:r>
      <w:r>
        <w:rPr>
          <w:rFonts w:ascii="Times New Roman" w:cs="Times New Roman" w:eastAsia="Times New Roman" w:hAnsi="Times New Roman"/>
          <w:sz w:val="24"/>
          <w:szCs w:val="24"/>
        </w:rPr>
        <w:t xml:space="preserve"> La ejecución tiene una duración máxima de seis meses. Los dos primeros meses se dedican al diagnóstico, los requisitos y el diseño; los meses dos a cuatro, al desarrollo y las pruebas; y los meses cuatro a seis, a la capacitación, el piloto y la evaluación. Se tendrá en cuenta el calendario escolar para programar las actividades con los estudiantes.</w:t>
      </w:r>
    </w:p>
    <w:p>
      <w:pPr>
        <w:spacing w:after="0" w:before="0" w:line="480" w:lineRule="auto"/>
        <w:ind w:firstLine="720"/>
        <w:jc w:val="left"/>
      </w:pPr>
      <w:r>
        <w:rPr>
          <w:rFonts w:ascii="Times New Roman" w:cs="Times New Roman" w:eastAsia="Times New Roman" w:hAnsi="Times New Roman"/>
          <w:b/>
          <w:bCs/>
          <w:sz w:val="24"/>
          <w:szCs w:val="24"/>
        </w:rPr>
        <w:t xml:space="preserve">Delimitación poblacional.</w:t>
      </w:r>
      <w:r>
        <w:rPr>
          <w:rFonts w:ascii="Times New Roman" w:cs="Times New Roman" w:eastAsia="Times New Roman" w:hAnsi="Times New Roman"/>
          <w:sz w:val="24"/>
          <w:szCs w:val="24"/>
        </w:rPr>
        <w:t xml:space="preserve"> Participan los docentes de las áreas priorizadas con la rectoría y los estudiantes de uno a tres grupos, que intervienen en la prueba piloto. Los resultados no se generalizan a otras instituciones; se documentan como una experiencia replicable.</w:t>
      </w:r>
    </w:p>
    <w:p>
      <w:pPr>
        <w:spacing w:after="0" w:before="0" w:line="480" w:lineRule="auto"/>
        <w:ind w:firstLine="720"/>
        <w:jc w:val="left"/>
      </w:pPr>
      <w:r>
        <w:rPr>
          <w:rFonts w:ascii="Times New Roman" w:cs="Times New Roman" w:eastAsia="Times New Roman" w:hAnsi="Times New Roman"/>
          <w:b/>
          <w:bCs/>
          <w:sz w:val="24"/>
          <w:szCs w:val="24"/>
        </w:rPr>
        <w:t xml:space="preserve">Delimitación conceptual y técnica.</w:t>
      </w:r>
      <w:r>
        <w:rPr>
          <w:rFonts w:ascii="Times New Roman" w:cs="Times New Roman" w:eastAsia="Times New Roman" w:hAnsi="Times New Roman"/>
          <w:sz w:val="24"/>
          <w:szCs w:val="24"/>
        </w:rPr>
        <w:t xml:space="preserve"> Se abordan los sistemas de gestión del aprendizaje de código abierto, el diseño instruccional basado en la Taxonomía de Bloom y la evaluación de usabilidad y aceptación tecnológica. No se desarrolla un LMS desde cero: se configura, se personaliza y se complementa una solución existente. El alcance de madurez es TRL 5, es decir, validación en un entorno relevante, que es la propia institución.</w:t>
      </w:r>
    </w:p>
    <w:p>
      <w:pPr>
        <w:spacing w:after="0" w:before="0" w:line="480" w:lineRule="auto"/>
        <w:ind w:firstLine="720"/>
        <w:jc w:val="left"/>
      </w:pPr>
      <w:r>
        <w:rPr>
          <w:rFonts w:ascii="Times New Roman" w:cs="Times New Roman" w:eastAsia="Times New Roman" w:hAnsi="Times New Roman"/>
          <w:b/>
          <w:bCs/>
          <w:sz w:val="24"/>
          <w:szCs w:val="24"/>
        </w:rPr>
        <w:t xml:space="preserve">Supuestos y restricciones.</w:t>
      </w:r>
      <w:r>
        <w:rPr>
          <w:rFonts w:ascii="Times New Roman" w:cs="Times New Roman" w:eastAsia="Times New Roman" w:hAnsi="Times New Roman"/>
          <w:sz w:val="24"/>
          <w:szCs w:val="24"/>
        </w:rPr>
        <w:t xml:space="preserve"> Se asume que la rectoría y los docentes autorizan y acompañan el piloto y que se dispone de la sala de cómputo o de los dispositivos móviles de los estudiantes. Como restricciones, la conectividad de la institución es limitada, por lo que se priorizan contenidos livianos, y el tiempo de seis meses obliga a priorizar un número reducido de áreas y de cursos.</w:t>
      </w:r>
    </w:p>
    <w:p>
      <w:pPr>
        <w:pStyle w:val="Heading2"/>
        <w:keepNext/>
        <w:spacing w:after="0" w:before="0" w:line="480" w:lineRule="auto"/>
      </w:pPr>
      <w:r>
        <w:rPr>
          <w:rFonts w:ascii="Times New Roman" w:cs="Times New Roman" w:eastAsia="Times New Roman" w:hAnsi="Times New Roman"/>
          <w:b/>
          <w:bCs/>
          <w:sz w:val="24"/>
          <w:szCs w:val="24"/>
        </w:rPr>
        <w:t xml:space="preserve">Justificación</w:t>
      </w:r>
    </w:p>
    <w:p>
      <w:pPr>
        <w:spacing w:after="0" w:before="0" w:line="480" w:lineRule="auto"/>
        <w:ind w:firstLine="720"/>
        <w:jc w:val="left"/>
      </w:pPr>
      <w:r>
        <w:rPr>
          <w:rFonts w:ascii="Times New Roman" w:cs="Times New Roman" w:eastAsia="Times New Roman" w:hAnsi="Times New Roman"/>
          <w:sz w:val="24"/>
          <w:szCs w:val="24"/>
        </w:rPr>
        <w:t xml:space="preserve">El proyecto se justifica desde tres dimensiones: la pertinencia académica y disciplinar, la pertinencia social y la pertinencia personal. Todas parten de una premisa: la tecnología educativa solo es valiosa cuando responde a las condiciones de quienes la usan (UNESCO, 2023).</w:t>
      </w:r>
    </w:p>
    <w:p>
      <w:pPr>
        <w:spacing w:after="0" w:before="0" w:line="480" w:lineRule="auto"/>
        <w:ind w:firstLine="720"/>
        <w:jc w:val="left"/>
      </w:pPr>
      <w:r>
        <w:rPr>
          <w:rFonts w:ascii="Times New Roman" w:cs="Times New Roman" w:eastAsia="Times New Roman" w:hAnsi="Times New Roman"/>
          <w:b/>
          <w:bCs/>
          <w:sz w:val="24"/>
          <w:szCs w:val="24"/>
        </w:rPr>
        <w:t xml:space="preserve">Pertinencia académica y disciplinar.</w:t>
      </w:r>
      <w:r>
        <w:rPr>
          <w:rFonts w:ascii="Times New Roman" w:cs="Times New Roman" w:eastAsia="Times New Roman" w:hAnsi="Times New Roman"/>
          <w:sz w:val="24"/>
          <w:szCs w:val="24"/>
        </w:rPr>
        <w:t xml:space="preserve"> El proyecto integra la ingeniería de software (análisis de requisitos, diseño, desarrollo, pruebas y despliegue), el diseño instruccional y la evaluación de usabilidad, y permite aplicar los conocimientos del programa de Ingeniería de Sistemas a un problema real del contexto regional. Es coherente con la iniciativa CDIO (Concebir, Diseñar, Implementar y Operar) que adopta la ECBTI (Bucheli, 2019; Crawley et al., 2014) y con la línea de Ingeniería de Software de la cadena de formación en Sistemas. Además, el diseño de las actividades y las evaluaciones se fundamenta en la Taxonomía de Bloom revisada (Anderson y Krathwohl, 2001), de modo que la plataforma promueva procesos cognitivos de orden superior y no solo la digitalización de contenidos.</w:t>
      </w:r>
    </w:p>
    <w:p>
      <w:pPr>
        <w:spacing w:after="0" w:before="0" w:line="480" w:lineRule="auto"/>
        <w:ind w:firstLine="720"/>
        <w:jc w:val="left"/>
      </w:pPr>
      <w:r>
        <w:rPr>
          <w:rFonts w:ascii="Times New Roman" w:cs="Times New Roman" w:eastAsia="Times New Roman" w:hAnsi="Times New Roman"/>
          <w:b/>
          <w:bCs/>
          <w:sz w:val="24"/>
          <w:szCs w:val="24"/>
        </w:rPr>
        <w:t xml:space="preserve">Pertinencia social.</w:t>
      </w:r>
      <w:r>
        <w:rPr>
          <w:rFonts w:ascii="Times New Roman" w:cs="Times New Roman" w:eastAsia="Times New Roman" w:hAnsi="Times New Roman"/>
          <w:sz w:val="24"/>
          <w:szCs w:val="24"/>
        </w:rPr>
        <w:t xml:space="preserve"> El proyecto responde a una necesidad concreta de una institución pública y contribuye a cerrar la brecha digital en un municipio de La Guajira. Ofrece a los estudiantes un espacio permanente de aprendizaje que no depende únicamente del salón de clase, a los docentes una herramienta para organizar y enriquecer su enseñanza, y a la comunidad educativa un modelo de transición digital replicable. Contribuye principalmente al ODS 4 (educación de calidad) y, de manera complementaria, a los ODS 9, 10 y 17 (Naciones Unidas, 2015), y se relaciona con los proyectos de inclusión educativa y de gestión académica del Plan de Desarrollo de la UNAD 2019-2023 (UNAD, 2019).</w:t>
      </w:r>
    </w:p>
    <w:p>
      <w:pPr>
        <w:spacing w:after="0" w:before="0" w:line="480" w:lineRule="auto"/>
        <w:ind w:firstLine="720"/>
        <w:jc w:val="left"/>
      </w:pPr>
      <w:r>
        <w:rPr>
          <w:rFonts w:ascii="Times New Roman" w:cs="Times New Roman" w:eastAsia="Times New Roman" w:hAnsi="Times New Roman"/>
          <w:b/>
          <w:bCs/>
          <w:sz w:val="24"/>
          <w:szCs w:val="24"/>
        </w:rPr>
        <w:t xml:space="preserve">Viabilidad y sostenibilidad.</w:t>
      </w:r>
      <w:r>
        <w:rPr>
          <w:rFonts w:ascii="Times New Roman" w:cs="Times New Roman" w:eastAsia="Times New Roman" w:hAnsi="Times New Roman"/>
          <w:sz w:val="24"/>
          <w:szCs w:val="24"/>
        </w:rPr>
        <w:t xml:space="preserve"> La propuesta utiliza software libre (Moodle y H5P), lo que evita costos de licencias y permite que la institución continúe la operación sin depender de pagos a terceros. Requiere recursos técnicos modestos y cuenta con el aval de la línea de investigación de la cadena de formación en Sistemas. Su sostenibilidad se apoya en la capacitación docente, el manual de usuario y la guía de transición digital que se entregarán a la institución.</w:t>
      </w:r>
    </w:p>
    <w:p>
      <w:pPr>
        <w:spacing w:after="0" w:before="0" w:line="480" w:lineRule="auto"/>
        <w:ind w:firstLine="720"/>
        <w:jc w:val="left"/>
      </w:pPr>
      <w:r>
        <w:rPr>
          <w:rFonts w:ascii="Times New Roman" w:cs="Times New Roman" w:eastAsia="Times New Roman" w:hAnsi="Times New Roman"/>
          <w:b/>
          <w:bCs/>
          <w:sz w:val="24"/>
          <w:szCs w:val="24"/>
        </w:rPr>
        <w:t xml:space="preserve">Pertinencia personal.</w:t>
      </w:r>
      <w:r>
        <w:rPr>
          <w:rFonts w:ascii="Times New Roman" w:cs="Times New Roman" w:eastAsia="Times New Roman" w:hAnsi="Times New Roman"/>
          <w:sz w:val="24"/>
          <w:szCs w:val="24"/>
        </w:rPr>
        <w:t xml:space="preserve"> El proyecto permite a los estudiantes ejecutores consolidar su perfil profesional en desarrollo tecnológico con impacto social, enfrentar un proyecto completo de ingeniería con usuarios reales y generar un producto verificable que fortalece su portafolio profesional.</w:t>
      </w:r>
    </w:p>
    <w:p>
      <w:pPr>
        <w:pStyle w:val="Heading2"/>
        <w:keepNext/>
        <w:spacing w:after="0" w:before="0" w:line="480" w:lineRule="auto"/>
      </w:pPr>
      <w:r>
        <w:rPr>
          <w:rFonts w:ascii="Times New Roman" w:cs="Times New Roman" w:eastAsia="Times New Roman" w:hAnsi="Times New Roman"/>
          <w:b/>
          <w:bCs/>
          <w:sz w:val="24"/>
          <w:szCs w:val="24"/>
        </w:rPr>
        <w:t xml:space="preserve">Objetivos</w:t>
      </w:r>
    </w:p>
    <w:p>
      <w:pPr>
        <w:pStyle w:val="Heading3"/>
        <w:keepNext/>
        <w:spacing w:after="0" w:before="0" w:line="480" w:lineRule="auto"/>
      </w:pPr>
      <w:r>
        <w:rPr>
          <w:rFonts w:ascii="Times New Roman" w:cs="Times New Roman" w:eastAsia="Times New Roman" w:hAnsi="Times New Roman"/>
          <w:b/>
          <w:bCs/>
          <w:i/>
          <w:iCs/>
          <w:sz w:val="24"/>
          <w:szCs w:val="24"/>
        </w:rPr>
        <w:t xml:space="preserve">Objetivo general</w:t>
      </w:r>
    </w:p>
    <w:p>
      <w:pPr>
        <w:spacing w:after="0" w:before="0" w:line="480" w:lineRule="auto"/>
        <w:ind w:firstLine="720"/>
        <w:jc w:val="left"/>
      </w:pPr>
      <w:r>
        <w:rPr>
          <w:rFonts w:ascii="Times New Roman" w:cs="Times New Roman" w:eastAsia="Times New Roman" w:hAnsi="Times New Roman"/>
          <w:sz w:val="24"/>
          <w:szCs w:val="24"/>
        </w:rPr>
        <w:t xml:space="preserve">Diseñar, implementar y validar una plataforma digital de aprendizaje basada en software libre que permita a la Institución Educativa El Carmelo de San Juan del Cesar (La Guajira) transformar progresivamente sus procesos de aprendizaje tradicionales en procesos digitales, alcanzando un nivel de madurez tecnológica TRL 5 (validación en un entorno relevante).</w:t>
      </w:r>
    </w:p>
    <w:p>
      <w:pPr>
        <w:pStyle w:val="Heading3"/>
        <w:keepNext/>
        <w:spacing w:after="0" w:before="0" w:line="480" w:lineRule="auto"/>
      </w:pPr>
      <w:r>
        <w:rPr>
          <w:rFonts w:ascii="Times New Roman" w:cs="Times New Roman" w:eastAsia="Times New Roman" w:hAnsi="Times New Roman"/>
          <w:b/>
          <w:bCs/>
          <w:i/>
          <w:iCs/>
          <w:sz w:val="24"/>
          <w:szCs w:val="24"/>
        </w:rPr>
        <w:t xml:space="preserve">Objetivos específicos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Diagnosticar el estado actual de los procesos de enseñanza, el acceso a dispositivos y conectividad y las competencias digitales de docentes y estudiantes de la institución, para definir los requisitos funcionales y no funcionales de la plataforma.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Diseñar y desarrollar la plataforma digital, definiendo su arquitectura y su estructura pedagógica alineada con los niveles de la Taxonomía de Bloom, con acceso desde celular y recursos de bajo consumo de datos, y cargando los contenidos digitales de las áreas priorizadas.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Implementar la plataforma mediante la capacitación de los docentes y una prueba piloto con estudiantes, y evaluar su usabilidad, aceptación y apropiación, entregando una guía de transición digital replicable en otras instituciones públicas.</w:t>
      </w:r>
    </w:p>
    <w:p>
      <w:pPr>
        <w:spacing w:after="0" w:before="0" w:line="480" w:lineRule="auto"/>
        <w:ind w:firstLine="0"/>
        <w:jc w:val="left"/>
      </w:pPr>
      <w:r>
        <w:rPr>
          <w:rFonts w:ascii="Times New Roman" w:cs="Times New Roman" w:eastAsia="Times New Roman" w:hAnsi="Times New Roman"/>
          <w:sz w:val="24"/>
          <w:szCs w:val="24"/>
        </w:rPr>
        <w:t xml:space="preserve">Los objetivos responden a las preguntas qué, cómo y para qué, son evaluables y están alineados con las tres fases de la metodología. La Tabla 4 muestra cómo se verifica el cumplimiento de cada uno.</w:t>
      </w:r>
    </w:p>
    <w:p>
      <w:pPr>
        <w:keepNext/>
        <w:spacing w:after="100" w:before="200" w:line="240" w:lineRule="auto"/>
      </w:pPr>
      <w:r>
        <w:rPr>
          <w:rFonts w:ascii="Times New Roman" w:cs="Times New Roman" w:eastAsia="Times New Roman" w:hAnsi="Times New Roman"/>
          <w:b/>
          <w:bCs/>
          <w:sz w:val="24"/>
          <w:szCs w:val="24"/>
        </w:rPr>
        <w:t xml:space="preserve">Tabla 4. </w:t>
      </w:r>
      <w:r>
        <w:rPr>
          <w:rFonts w:ascii="Times New Roman" w:cs="Times New Roman" w:eastAsia="Times New Roman" w:hAnsi="Times New Roman"/>
          <w:i/>
          <w:iCs/>
          <w:sz w:val="24"/>
          <w:szCs w:val="24"/>
        </w:rPr>
        <w:t xml:space="preserve">Alineación de los objetivos con las fases, los productos y los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2800"/>
        <w:gridCol w:w="366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Objetivo</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Fase</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Producto</w:t>
            </w:r>
          </w:p>
        </w:tc>
        <w:tc>
          <w:tcPr>
            <w:tcW w:type="dxa" w:w="3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Indicador de cumplimiento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OE1. Diagnosticar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Fase 1</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Documento de diagnóstico y de requisitos</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1 documento aprobado; encuestas aplicadas al 100 % de los docentes de las áreas priorizadas y a la muestra de estudiantes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OE2. Diseñar y desarrollar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Fase 2</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Plataforma funcional con cursos y contenidos (TRL 3–4)</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 90 % de pruebas funcionales superadas; ≥ 3 áreas con cursos digitales; actividades en los 6 niveles de Bloom</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OE3. Implementar y evaluar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Fase 3</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Plataforma validada (TRL 5), manual, informe final y guía de transición</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 80 % de docentes capacitados; puntaje SUS ≥ 68; aceptación (TAM) favorable en ≥ 70 % de los encuestados</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a partir de la propuesta de la Fase 2.</w:t>
      </w:r>
    </w:p>
    <w:p>
      <w:pPr>
        <w:pStyle w:val="Heading2"/>
        <w:keepNext/>
        <w:spacing w:after="0" w:before="0" w:line="480" w:lineRule="auto"/>
      </w:pPr>
      <w:r>
        <w:rPr>
          <w:rFonts w:ascii="Times New Roman" w:cs="Times New Roman" w:eastAsia="Times New Roman" w:hAnsi="Times New Roman"/>
          <w:b/>
          <w:bCs/>
          <w:sz w:val="24"/>
          <w:szCs w:val="24"/>
        </w:rPr>
        <w:t xml:space="preserve">Marco referencial</w:t>
      </w:r>
    </w:p>
    <w:p>
      <w:pPr>
        <w:spacing w:after="0" w:before="0" w:line="480" w:lineRule="auto"/>
        <w:ind w:firstLine="720"/>
        <w:jc w:val="left"/>
      </w:pPr>
      <w:r>
        <w:rPr>
          <w:rFonts w:ascii="Times New Roman" w:cs="Times New Roman" w:eastAsia="Times New Roman" w:hAnsi="Times New Roman"/>
          <w:sz w:val="24"/>
          <w:szCs w:val="24"/>
        </w:rPr>
        <w:t xml:space="preserve">El marco referencial reúne los fundamentos que sustentan el diseño, el desarrollo y la validación de la plataforma. Se organiza en cuatro componentes: el marco teórico, que incluye el estado del arte; el marco conceptual; el marco jurídico; y el marco tecnológico.</w:t>
      </w:r>
    </w:p>
    <w:p>
      <w:pPr>
        <w:pStyle w:val="Heading3"/>
        <w:keepNext/>
        <w:spacing w:after="0" w:before="0" w:line="480" w:lineRule="auto"/>
      </w:pPr>
      <w:r>
        <w:rPr>
          <w:rFonts w:ascii="Times New Roman" w:cs="Times New Roman" w:eastAsia="Times New Roman" w:hAnsi="Times New Roman"/>
          <w:b/>
          <w:bCs/>
          <w:i/>
          <w:iCs/>
          <w:sz w:val="24"/>
          <w:szCs w:val="24"/>
        </w:rPr>
        <w:t xml:space="preserve">Marco teórico</w:t>
      </w:r>
    </w:p>
    <w:p>
      <w:pPr>
        <w:spacing w:after="0" w:before="0" w:line="480" w:lineRule="auto"/>
        <w:ind w:firstLine="720"/>
        <w:jc w:val="left"/>
      </w:pPr>
      <w:r>
        <w:rPr>
          <w:rFonts w:ascii="Times New Roman" w:cs="Times New Roman" w:eastAsia="Times New Roman" w:hAnsi="Times New Roman"/>
          <w:sz w:val="24"/>
          <w:szCs w:val="24"/>
        </w:rPr>
        <w:t xml:space="preserve">El marco teórico integra los fundamentos pedagógicos, tecnológicos y de ingeniería del proyecto. Se parte de la transformación digital de la educación, se revisan los enfoques de aprendizaje en entornos digitales y los sistemas de gestión del aprendizaje, y se presentan los modelos que orientan el diseño de actividades, la evaluación de usabilidad y aceptación, y la gestión del desarrollo.</w:t>
      </w:r>
    </w:p>
    <w:p>
      <w:pPr>
        <w:spacing w:after="0" w:before="0" w:line="480" w:lineRule="auto"/>
      </w:pPr>
      <w:r>
        <w:rPr>
          <w:rFonts w:ascii="Times New Roman" w:cs="Times New Roman" w:eastAsia="Times New Roman" w:hAnsi="Times New Roman"/>
          <w:b/>
          <w:bCs/>
          <w:sz w:val="24"/>
          <w:szCs w:val="24"/>
        </w:rPr>
        <w:t xml:space="preserve">Transformación digital y educación.</w:t>
      </w:r>
    </w:p>
    <w:p>
      <w:pPr>
        <w:spacing w:after="0" w:before="0" w:line="480" w:lineRule="auto"/>
        <w:ind w:firstLine="720"/>
        <w:jc w:val="left"/>
      </w:pPr>
      <w:r>
        <w:rPr>
          <w:rFonts w:ascii="Times New Roman" w:cs="Times New Roman" w:eastAsia="Times New Roman" w:hAnsi="Times New Roman"/>
          <w:sz w:val="24"/>
          <w:szCs w:val="24"/>
        </w:rPr>
        <w:t xml:space="preserve">La transformación digital de la educación no consiste en comprar equipos o instalar software, sino en integrar las tecnologías en la gestión y en la práctica pedagógica de manera intencionada, equitativa y sostenible. El informe de seguimiento de la educación en el mundo de la UNESCO (2023) advierte que la tecnología educativa debe valorarse según su aporte real al aprendizaje y a la inclusión, y que su implementación debe considerar las condiciones de acceso del contexto. En Colombia, el Plan Nacional Decenal de Educación 2016-2026 plantea como desafío impulsar el uso pertinente, pedagógico y generalizado de las tecnologías para apoyar la enseñanza, el aprendizaje, la investigación y la innovación (MEN, 2017). Este proyecto asume esa perspectiva: la plataforma es un medio para ampliar y enriquecer la clase presencial, y su éxito se mide por la apropiación que logran docentes y estudiantes, no por la mera instalación del software.</w:t>
      </w:r>
    </w:p>
    <w:p>
      <w:pPr>
        <w:spacing w:after="0" w:before="0" w:line="480" w:lineRule="auto"/>
      </w:pPr>
      <w:r>
        <w:rPr>
          <w:rFonts w:ascii="Times New Roman" w:cs="Times New Roman" w:eastAsia="Times New Roman" w:hAnsi="Times New Roman"/>
          <w:b/>
          <w:bCs/>
          <w:sz w:val="24"/>
          <w:szCs w:val="24"/>
        </w:rPr>
        <w:t xml:space="preserve">Enfoques del aprendizaje en entornos digitales.</w:t>
      </w:r>
    </w:p>
    <w:p>
      <w:pPr>
        <w:spacing w:after="0" w:before="0" w:line="480" w:lineRule="auto"/>
        <w:ind w:firstLine="720"/>
        <w:jc w:val="left"/>
      </w:pPr>
      <w:r>
        <w:rPr>
          <w:rFonts w:ascii="Times New Roman" w:cs="Times New Roman" w:eastAsia="Times New Roman" w:hAnsi="Times New Roman"/>
          <w:sz w:val="24"/>
          <w:szCs w:val="24"/>
        </w:rPr>
        <w:t xml:space="preserve">Para el constructivismo, el aprendizaje es un proceso activo en el que el estudiante construye conocimiento a partir de la interacción con su entorno, con otras personas y con herramientas culturales; en la perspectiva sociocultural de Vygotsky (1978), el aprendizaje se potencia en la interacción social y con la guía de un mediador. Una plataforma que ofrece foros, trabajo colaborativo y actividades con retroalimentación del docente favorece este tipo de aprendizaje. Siemens (2005), por su parte, propone el conectivismo como teoría para la era digital: el conocimiento se distribuye en redes de personas y de fuentes de información, y aprender implica acceder a esas redes y conectarlas. Este enfoque justifica incorporar recursos externos, comunicación entre pares y actividades de búsqueda y curaduría de información.</w:t>
      </w:r>
    </w:p>
    <w:p>
      <w:pPr>
        <w:spacing w:after="0" w:before="0" w:line="480" w:lineRule="auto"/>
        <w:ind w:firstLine="720"/>
        <w:jc w:val="left"/>
      </w:pPr>
      <w:r>
        <w:rPr>
          <w:rFonts w:ascii="Times New Roman" w:cs="Times New Roman" w:eastAsia="Times New Roman" w:hAnsi="Times New Roman"/>
          <w:sz w:val="24"/>
          <w:szCs w:val="24"/>
        </w:rPr>
        <w:t xml:space="preserve">A estos enfoques se suma el modelo TPACK, según el cual la enseñanza eficaz con tecnología exige integrar el conocimiento tecnológico, el pedagógico y el disciplinar (Mishra y Koehler, 2006). Por esa razón el proyecto incluye la capacitación docente y el acompañamiento pedagógico como componente central y no solo el desarrollo de software. La motivación del estudiante también es un factor determinante: la teoría de la autodeterminación plantea que se fortalece cuando se satisfacen las necesidades de autonomía, competencia y relación con otros (Ryan y Deci, 2000). Una plataforma bien diseñada contribuye a ello al ofrecer retos progresivos, retroalimentación inmediata y espacios de participación, aspectos que la revisión de Cardona-Acevedo et al. (2025) asocia con mayor motivación en la educación secundaria.</w:t>
      </w:r>
    </w:p>
    <w:p>
      <w:pPr>
        <w:spacing w:after="0" w:before="0" w:line="480" w:lineRule="auto"/>
      </w:pPr>
      <w:r>
        <w:rPr>
          <w:rFonts w:ascii="Times New Roman" w:cs="Times New Roman" w:eastAsia="Times New Roman" w:hAnsi="Times New Roman"/>
          <w:b/>
          <w:bCs/>
          <w:sz w:val="24"/>
          <w:szCs w:val="24"/>
        </w:rPr>
        <w:t xml:space="preserve">Sistemas de gestión del aprendizaje y baja conectividad.</w:t>
      </w:r>
    </w:p>
    <w:p>
      <w:pPr>
        <w:spacing w:after="0" w:before="0" w:line="480" w:lineRule="auto"/>
        <w:ind w:firstLine="720"/>
        <w:jc w:val="left"/>
      </w:pPr>
      <w:r>
        <w:rPr>
          <w:rFonts w:ascii="Times New Roman" w:cs="Times New Roman" w:eastAsia="Times New Roman" w:hAnsi="Times New Roman"/>
          <w:sz w:val="24"/>
          <w:szCs w:val="24"/>
        </w:rPr>
        <w:t xml:space="preserve">Un sistema de gestión del aprendizaje (LMS, por sus siglas en inglés) centraliza cursos, contenidos, actividades, comunicación, evaluación y seguimiento. Moodle es un LMS de código abierto desarrollado desde una perspectiva pedagógica de comunidades de aprendizaje (Dougiamas y Taylor, 2003), con aplicación móvil y posibilidad de descargar contenidos (Moodle Pty Ltd., s. f.). La revisión de Linhalis y da Silva (2023) concluye que Moodle es una de las soluciones que mejor se adapta al aprendizaje asincrónico cuando la conexión a internet es inestable, y Mena Amado y Hernández (2026) proponen que las plataformas para zonas remotas deben ser fáciles de usar, sincronizar contenidos y funcionar sin depender de una conexión permanente. Las experiencias nacionales con Moodle en instituciones educativas muestran beneficios operativos y pedagógicos, como el apoyo a la gestión del aprendizaje de niños de primaria en Bogotá (Salgado Ruiz, 2020) y, en Medellín, la capacitación docente, los bancos de preguntas, las pruebas en línea y el ahorro de impresión (Grisales Pérez, 2013). También muestran la necesidad de medir resultados de aprendizaje y apropiación, aspecto que este proyecto incorpora en su evaluación.</w:t>
      </w:r>
    </w:p>
    <w:p>
      <w:pPr>
        <w:spacing w:after="0" w:before="0" w:line="480" w:lineRule="auto"/>
      </w:pPr>
      <w:r>
        <w:rPr>
          <w:rFonts w:ascii="Times New Roman" w:cs="Times New Roman" w:eastAsia="Times New Roman" w:hAnsi="Times New Roman"/>
          <w:b/>
          <w:bCs/>
          <w:sz w:val="24"/>
          <w:szCs w:val="24"/>
        </w:rPr>
        <w:t xml:space="preserve">Taxonomía de Bloom y diseño de actividades.</w:t>
      </w:r>
    </w:p>
    <w:p>
      <w:pPr>
        <w:spacing w:after="0" w:before="0" w:line="480" w:lineRule="auto"/>
        <w:ind w:firstLine="720"/>
        <w:jc w:val="left"/>
      </w:pPr>
      <w:r>
        <w:rPr>
          <w:rFonts w:ascii="Times New Roman" w:cs="Times New Roman" w:eastAsia="Times New Roman" w:hAnsi="Times New Roman"/>
          <w:sz w:val="24"/>
          <w:szCs w:val="24"/>
        </w:rPr>
        <w:t xml:space="preserve">La Taxonomía de Bloom, en su versión revisada por Anderson y Krathwohl (2001), organiza los procesos cognitivos en seis niveles de complejidad creciente: recordar, comprender, aplicar, analizar, evaluar y crear. Esta jerarquía permite formular objetivos de aprendizaje y diseñar actividades y evaluaciones coherentes con cada nivel. En la plataforma se prevé, por ejemplo, que los niveles inferiores se trabajen con glosarios, cuestionarios y lecciones interactivas; los intermedios, con ejercicios prácticos, estudios de caso y foros guiados; y los superiores, con evaluación entre pares y productos digitales elaborados por los estudiantes. La Figura 2 presenta la correspondencia prevista y la Tabla 5 la traduce en actividades concretas de Moodle y en evidencias de aprendizaje.</w:t>
      </w:r>
    </w:p>
    <w:p>
      <w:pPr>
        <w:keepNext/>
        <w:spacing w:after="100" w:before="200" w:line="240" w:lineRule="auto"/>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i/>
          <w:iCs/>
          <w:sz w:val="24"/>
          <w:szCs w:val="24"/>
        </w:rPr>
        <w:t xml:space="preserve">Niveles de la Taxonomía de Bloom revisada y actividades previstas en la plataforma.</w:t>
      </w:r>
    </w:p>
    <w:p>
      <w:pPr>
        <w:keepNext/>
        <w:spacing w:after="60" w:before="60" w:line="240" w:lineRule="auto"/>
        <w:jc w:val="center"/>
      </w:pPr>
      <w:r>
        <w:drawing>
          <wp:inline distT="0" distB="0" distL="0" distR="0">
            <wp:extent cx="5667375" cy="3114675"/>
            <wp:effectExtent t="0" r="0" b="0" l="0"/>
            <wp:docPr id="1" name="Niveles de la Taxonomía de Bloom revisada y actividades previstas en la plataforma." descr="Niveles de la Taxonomía de Bloom revisada y actividades previstas en la plataforma." title="Niveles de la Taxonomía de Bloom revisada y actividades previstas en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11467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a partir de Anderson y Krathwohl (2001).</w:t>
      </w:r>
    </w:p>
    <w:p>
      <w:pPr>
        <w:keepNext/>
        <w:spacing w:after="100" w:before="200" w:line="240" w:lineRule="auto"/>
      </w:pPr>
      <w:r>
        <w:rPr>
          <w:rFonts w:ascii="Times New Roman" w:cs="Times New Roman" w:eastAsia="Times New Roman" w:hAnsi="Times New Roman"/>
          <w:b/>
          <w:bCs/>
          <w:sz w:val="24"/>
          <w:szCs w:val="24"/>
        </w:rPr>
        <w:t xml:space="preserve">Tabla 5. </w:t>
      </w:r>
      <w:r>
        <w:rPr>
          <w:rFonts w:ascii="Times New Roman" w:cs="Times New Roman" w:eastAsia="Times New Roman" w:hAnsi="Times New Roman"/>
          <w:i/>
          <w:iCs/>
          <w:sz w:val="24"/>
          <w:szCs w:val="24"/>
        </w:rPr>
        <w:t xml:space="preserve">Matriz preliminar de actividades por nivel de la Taxonomía de Bloom.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700"/>
        <w:gridCol w:w="206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Nivel</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Actividad en la plataforma</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Evidencia de aprendizaje</w:t>
            </w:r>
          </w:p>
        </w:tc>
        <w:tc>
          <w:tcPr>
            <w:tcW w:type="dxa" w:w="20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20"/>
                <w:szCs w:val="20"/>
              </w:rPr>
              <w:t xml:space="preserve">Modo de acceso</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Recordar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Glosario; cuestionario de selección múltiple y de verdadero o falso</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Porcentaje de aciertos</w:t>
            </w:r>
          </w:p>
        </w:tc>
        <w:tc>
          <w:tcPr>
            <w:tcW w:type="dxa" w:w="2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Descargable / sin conexión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Comprender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Lección interactiva H5P; resumen guiado; cuestionario de relacionar</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Resultado de la lección y explicación con sus palabras</w:t>
            </w:r>
          </w:p>
        </w:tc>
        <w:tc>
          <w:tcPr>
            <w:tcW w:type="dxa" w:w="2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Descargable / sin conexión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Aplicar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Ejercicios con situaciones reales; tarea práctica</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Entrega calificada con rúbrica</w:t>
            </w:r>
          </w:p>
        </w:tc>
        <w:tc>
          <w:tcPr>
            <w:tcW w:type="dxa" w:w="2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Descargable; entrega en línea</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Analizar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Estudio de caso; foro de discusión guiado; actividad H5P de clasificación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Calidad de los argumentos en el foro</w:t>
            </w:r>
          </w:p>
        </w:tc>
        <w:tc>
          <w:tcPr>
            <w:tcW w:type="dxa" w:w="2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En línea</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Evaluar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Taller de evaluación entre pares con rúbrica; autoevaluación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Retroalimentación emitida y recibida</w:t>
            </w:r>
          </w:p>
        </w:tc>
        <w:tc>
          <w:tcPr>
            <w:tcW w:type="dxa" w:w="2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En línea</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20"/>
                <w:szCs w:val="20"/>
              </w:rPr>
              <w:t xml:space="preserve">Crear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Proyecto o producto digital (infografía, presentación o video corto)</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Producto final calificado con rúbrica</w:t>
            </w:r>
          </w:p>
        </w:tc>
        <w:tc>
          <w:tcPr>
            <w:tcW w:type="dxa" w:w="2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20"/>
                <w:szCs w:val="20"/>
              </w:rPr>
              <w:t xml:space="preserve">En línea; entrega diferida</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Los contenidos específicos se definirán con los docentes de las áreas priorizadas.</w:t>
      </w:r>
    </w:p>
    <w:p>
      <w:pPr>
        <w:spacing w:after="0" w:before="0" w:line="480" w:lineRule="auto"/>
      </w:pPr>
      <w:r>
        <w:rPr>
          <w:rFonts w:ascii="Times New Roman" w:cs="Times New Roman" w:eastAsia="Times New Roman" w:hAnsi="Times New Roman"/>
          <w:b/>
          <w:bCs/>
          <w:sz w:val="24"/>
          <w:szCs w:val="24"/>
        </w:rPr>
        <w:t xml:space="preserve">Usabilidad, accesibilidad y aceptación tecnológica.</w:t>
      </w:r>
    </w:p>
    <w:p>
      <w:pPr>
        <w:spacing w:after="0" w:before="0" w:line="480" w:lineRule="auto"/>
        <w:ind w:firstLine="720"/>
        <w:jc w:val="left"/>
      </w:pPr>
      <w:r>
        <w:rPr>
          <w:rFonts w:ascii="Times New Roman" w:cs="Times New Roman" w:eastAsia="Times New Roman" w:hAnsi="Times New Roman"/>
          <w:sz w:val="24"/>
          <w:szCs w:val="24"/>
        </w:rPr>
        <w:t xml:space="preserve">La usabilidad se refiere a la facilidad con la que los usuarios logran sus objetivos con un sistema de manera eficaz y satisfactoria (Nielsen, 1993) y puede medirse con la Escala de Usabilidad del Sistema, SUS (Brooke, 1996), cuya interpretación ha sido estudiada empíricamente por Bangor et al. (2008). La aceptación de la tecnología se explica, según el modelo TAM, por la utilidad percibida y la facilidad de uso percibida (Davis, 1989), y su extensión incorpora factores sociales y de contexto (Venkatesh y Davis, 2000). En cuanto a la accesibilidad, se toman como referencia las Pautas de Accesibilidad para el Contenido Web (WCAG) 2.1 (World Wide Web Consortium, 2018), en especial las relativas a contenido legible, navegación clara y alternativas textuales.</w:t>
      </w:r>
    </w:p>
    <w:p>
      <w:pPr>
        <w:spacing w:after="0" w:before="0" w:line="480" w:lineRule="auto"/>
      </w:pPr>
      <w:r>
        <w:rPr>
          <w:rFonts w:ascii="Times New Roman" w:cs="Times New Roman" w:eastAsia="Times New Roman" w:hAnsi="Times New Roman"/>
          <w:b/>
          <w:bCs/>
          <w:sz w:val="24"/>
          <w:szCs w:val="24"/>
        </w:rPr>
        <w:t xml:space="preserve">Ingeniería de software, metodologías ágiles y diseño instruccional.</w:t>
      </w:r>
    </w:p>
    <w:p>
      <w:pPr>
        <w:spacing w:after="0" w:before="0" w:line="480" w:lineRule="auto"/>
        <w:ind w:firstLine="720"/>
        <w:jc w:val="left"/>
      </w:pPr>
      <w:r>
        <w:rPr>
          <w:rFonts w:ascii="Times New Roman" w:cs="Times New Roman" w:eastAsia="Times New Roman" w:hAnsi="Times New Roman"/>
          <w:sz w:val="24"/>
          <w:szCs w:val="24"/>
        </w:rPr>
        <w:t xml:space="preserve">Sommerville (2011) describe el proceso de software como el conjunto de actividades de especificación, diseño e implementación, validación y evolución. Para gestionarlo se adopta Scrum, un marco ligero que organiza el trabajo en ciclos cortos (sprints), con roles, eventos y artefactos definidos, y que entrega incrementos funcionales revisados con los interesados (Schwaber y Sutherland, 2020). Para el diseño de los cursos se emplea el modelo ADDIE (análisis, diseño, desarrollo, implementación y evaluación), que estructura de forma sistemática los recursos de aprendizaje (Branch, 2009). Por último, la investigación en ciencias del diseño propone construir y evaluar artefactos tecnológicos que resuelven problemas reales, con ciclos de identificación del problema, diseño, demostración y evaluación (Hevner et al., 2004; Peffers et al., 2007), un enfoque coherente con la iniciativa CDIO (Crawley et al., 2014).</w:t>
      </w:r>
    </w:p>
    <w:p>
      <w:pPr>
        <w:spacing w:after="0" w:before="0" w:line="480" w:lineRule="auto"/>
      </w:pPr>
      <w:r>
        <w:rPr>
          <w:rFonts w:ascii="Times New Roman" w:cs="Times New Roman" w:eastAsia="Times New Roman" w:hAnsi="Times New Roman"/>
          <w:b/>
          <w:bCs/>
          <w:sz w:val="24"/>
          <w:szCs w:val="24"/>
        </w:rPr>
        <w:t xml:space="preserve">Madurez tecnológica (TRL).</w:t>
      </w:r>
    </w:p>
    <w:p>
      <w:pPr>
        <w:spacing w:after="0" w:before="0" w:line="480" w:lineRule="auto"/>
        <w:ind w:firstLine="720"/>
        <w:jc w:val="left"/>
      </w:pPr>
      <w:r>
        <w:rPr>
          <w:rFonts w:ascii="Times New Roman" w:cs="Times New Roman" w:eastAsia="Times New Roman" w:hAnsi="Times New Roman"/>
          <w:sz w:val="24"/>
          <w:szCs w:val="24"/>
        </w:rPr>
        <w:t xml:space="preserve">Los niveles de madurez tecnológica (Technology Readiness Levels), creados por la NASA y adaptados por COLCIENCIAS (2018), permiten ubicar el grado de desarrollo de una tecnología en una escala de nueve niveles. El TRL 3 corresponde a la prueba de concepto, el TRL 4 a la validación de componentes en laboratorio y el TRL 5 a la validación en un entorno relevante. El proyecto parte de un nivel TRL 2–3 y proyecta alcanzar el TRL 5 mediante la prueba piloto en la propia institución, como se aprecia en la Figura 3.</w:t>
      </w:r>
    </w:p>
    <w:p>
      <w:pPr>
        <w:keepNext/>
        <w:spacing w:after="100" w:before="200" w:line="240" w:lineRule="auto"/>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i/>
          <w:iCs/>
          <w:sz w:val="24"/>
          <w:szCs w:val="24"/>
        </w:rPr>
        <w:t xml:space="preserve">Escala de madurez tecnológica (TRL) y ruta del proyecto.</w:t>
      </w:r>
    </w:p>
    <w:p>
      <w:pPr>
        <w:keepNext/>
        <w:spacing w:after="60" w:before="60" w:line="240" w:lineRule="auto"/>
        <w:jc w:val="center"/>
      </w:pPr>
      <w:r>
        <w:drawing>
          <wp:inline distT="0" distB="0" distL="0" distR="0">
            <wp:extent cx="5667375" cy="2971800"/>
            <wp:effectExtent t="0" r="0" b="0" l="0"/>
            <wp:docPr id="1" name="Escala de madurez tecnológica (TRL) y ruta del proyecto." descr="Escala de madurez tecnológica (TRL) y ruta del proyecto." title="Escala de madurez tecnológica (TRL) y rut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97180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COLCIENCIAS (2018).</w:t>
      </w:r>
    </w:p>
    <w:p>
      <w:pPr>
        <w:pStyle w:val="Heading3"/>
        <w:keepNext/>
        <w:spacing w:after="0" w:before="0" w:line="480" w:lineRule="auto"/>
      </w:pPr>
      <w:r>
        <w:rPr>
          <w:rFonts w:ascii="Times New Roman" w:cs="Times New Roman" w:eastAsia="Times New Roman" w:hAnsi="Times New Roman"/>
          <w:b/>
          <w:bCs/>
          <w:i/>
          <w:iCs/>
          <w:sz w:val="24"/>
          <w:szCs w:val="24"/>
        </w:rPr>
        <w:t xml:space="preserve">Estado del arte</w:t>
      </w:r>
    </w:p>
    <w:p>
      <w:pPr>
        <w:spacing w:after="0" w:before="0" w:line="480" w:lineRule="auto"/>
        <w:ind w:firstLine="720"/>
        <w:jc w:val="left"/>
      </w:pPr>
      <w:r>
        <w:rPr>
          <w:rFonts w:ascii="Times New Roman" w:cs="Times New Roman" w:eastAsia="Times New Roman" w:hAnsi="Times New Roman"/>
          <w:sz w:val="24"/>
          <w:szCs w:val="24"/>
        </w:rPr>
        <w:t xml:space="preserve">Se revisaron antecedentes internacionales, nacionales y regionales sobre plataformas de aprendizaje en educación básica y media y sobre soluciones para zonas de baja conectividad. La Tabla 6 sintetiza los seis antecedentes seleccionados y su aporte al proyecto.</w:t>
      </w:r>
    </w:p>
    <w:p>
      <w:pPr>
        <w:keepNext/>
        <w:spacing w:after="100" w:before="200" w:line="240" w:lineRule="auto"/>
      </w:pPr>
      <w:r>
        <w:rPr>
          <w:rFonts w:ascii="Times New Roman" w:cs="Times New Roman" w:eastAsia="Times New Roman" w:hAnsi="Times New Roman"/>
          <w:b/>
          <w:bCs/>
          <w:sz w:val="24"/>
          <w:szCs w:val="24"/>
        </w:rPr>
        <w:t xml:space="preserve">Tabla 6. </w:t>
      </w:r>
      <w:r>
        <w:rPr>
          <w:rFonts w:ascii="Times New Roman" w:cs="Times New Roman" w:eastAsia="Times New Roman" w:hAnsi="Times New Roman"/>
          <w:i/>
          <w:iCs/>
          <w:sz w:val="24"/>
          <w:szCs w:val="24"/>
        </w:rPr>
        <w:t xml:space="preserve">Matriz de antecedentes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800"/>
        <w:gridCol w:w="25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Autor y año</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Contexto y tipo de estudio</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Hallazgo principal</w:t>
            </w:r>
          </w:p>
        </w:tc>
        <w:tc>
          <w:tcPr>
            <w:tcW w:type="dxa" w:w="2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Aporte y vacío frente al proyecto</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Cardona-Acevedo et al. (2025)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Revisión sistemática de tecnologías de e-learning en educación secundaria</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Las plataformas y los recursos interactivos favorecen la autonomía, la motivación y el aprendizaje personalizado, aunque persisten brechas de recursos y de capacitación docente</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Sustenta la importancia de la capacitación docente. Es una revisión general que no aborda contextos de baja conectividad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Mena Amado y Hernández (2026)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Prospectiva de una plataforma educativa para zonas remotas de Colombia, con instrumento validado</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Las barreras son la falta de conectividad, de dispositivos adecuados y de recursos digitales; la plataforma debe funcionar sin depender de internet y sincronizar contenidos</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Define características de diseño para el contexto. No implementa ni evalúa una plataforma en una institución concreta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Linhalis y da Silva (2023)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Revisión de la literatura sobre soluciones de TIC para regiones con baja conectividad</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Moodle es la solución que mejor considera el aislamiento social y soporta el aprendizaje asincrónico con acceso inestable</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Respalda la elección de la tecnología. No mide usabilidad ni aceptación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Salgado Ruiz (2020)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Trabajo de grado: aula virtual con Moodle en un centro de desarrollo infantil de Ciudad Bolívar (Bogotá)</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Moodle funciona como soporte tecnológico a la gestión del aprendizaje de niños de primaria</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Experiencia nacional viable. No reporta resultados medidos de aprendizaje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Grisales Pérez (2013)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Tesis de maestría: Moodle en una institución educativa de Medellín (grados 8.º a 11.º)</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Respuesta positiva de los docentes, 418 estudiantes matriculados y ahorro de más de 8.100 hojas impresas por periodo; el libro de calificaciones no se implementó del todo</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Muestra beneficios operativos y la importancia de implementar todos los módulos. Es anterior a 2018 y se incluye como antecedente nacional de referencia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Parada (2024)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Nota periodística sobre el modelo Colegios de Gtd Colombia, que lleva conectividad y servicios TI a colegios</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Cita un estudio de la Universidad Javeriana: 79 % de las sedes rurales sin internet y cerca de 60 % sin salas de cómputo</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Aporta cifras de contexto de la brecha digital. Es una fuente periodística, por lo que se usa como referencia contextual</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a partir de los documentos citados.</w:t>
      </w:r>
    </w:p>
    <w:p>
      <w:pPr>
        <w:spacing w:after="0" w:before="0" w:line="480" w:lineRule="auto"/>
        <w:ind w:firstLine="720"/>
        <w:jc w:val="left"/>
      </w:pPr>
      <w:r>
        <w:rPr>
          <w:rFonts w:ascii="Times New Roman" w:cs="Times New Roman" w:eastAsia="Times New Roman" w:hAnsi="Times New Roman"/>
          <w:sz w:val="24"/>
          <w:szCs w:val="24"/>
        </w:rPr>
        <w:t xml:space="preserve">El análisis comparativo permite extraer tres conclusiones. Primero, las plataformas digitales favorecen la autonomía, la motivación y el acceso al conocimiento en secundaria, pero su efecto depende de la capacitación docente (Cardona-Acevedo et al., 2025). Segundo, en zonas con baja conectividad se requieren plataformas livianas que funcionen sin conexión permanente y Moodle es una de las opciones más adecuadas (Linhalis y da Silva, 2023; Mena Amado y Hernández, 2026). Tercero, las experiencias colombianas con Moodle en instituciones educativas son viables, aunque pocas miden resultados de aprendizaje y de apropiación (Grisales Pérez, 2013; Salgado Ruiz, 2020).</w:t>
      </w:r>
    </w:p>
    <w:p>
      <w:pPr>
        <w:spacing w:after="0" w:before="0" w:line="480" w:lineRule="auto"/>
        <w:ind w:firstLine="720"/>
        <w:jc w:val="left"/>
      </w:pPr>
      <w:r>
        <w:rPr>
          <w:rFonts w:ascii="Times New Roman" w:cs="Times New Roman" w:eastAsia="Times New Roman" w:hAnsi="Times New Roman"/>
          <w:sz w:val="24"/>
          <w:szCs w:val="24"/>
        </w:rPr>
        <w:t xml:space="preserve">Este proyecto se ubica en el vacío identificado: diseña una plataforma para las condiciones específicas de la I.E. El Carmelo, con acceso móvil y contenidos descargables, y evalúa de manera sistemática su usabilidad, su aceptación y su apropiación mediante instrumentos validados. En consecuencia, no se limita a instalar un LMS, sino que genera evidencia sobre su funcionamiento en un contexto real.</w:t>
      </w:r>
    </w:p>
    <w:p>
      <w:pPr>
        <w:pStyle w:val="Heading3"/>
        <w:keepNext/>
        <w:spacing w:after="0" w:before="0" w:line="480" w:lineRule="auto"/>
      </w:pPr>
      <w:r>
        <w:rPr>
          <w:rFonts w:ascii="Times New Roman" w:cs="Times New Roman" w:eastAsia="Times New Roman" w:hAnsi="Times New Roman"/>
          <w:b/>
          <w:bCs/>
          <w:i/>
          <w:iCs/>
          <w:sz w:val="24"/>
          <w:szCs w:val="24"/>
        </w:rPr>
        <w:t xml:space="preserve">Marco conceptual</w:t>
      </w:r>
    </w:p>
    <w:p>
      <w:pPr>
        <w:spacing w:after="0" w:before="0" w:line="480" w:lineRule="auto"/>
        <w:ind w:firstLine="720"/>
        <w:jc w:val="left"/>
      </w:pPr>
      <w:r>
        <w:rPr>
          <w:rFonts w:ascii="Times New Roman" w:cs="Times New Roman" w:eastAsia="Times New Roman" w:hAnsi="Times New Roman"/>
          <w:sz w:val="24"/>
          <w:szCs w:val="24"/>
        </w:rPr>
        <w:t xml:space="preserve">A continuación se definen los conceptos clave que intervienen en el problema y en la solución propuesta. Cada definición se presenta en relación con el proyecto.</w:t>
      </w:r>
    </w:p>
    <w:p>
      <w:pPr>
        <w:spacing w:after="0" w:before="0" w:line="480" w:lineRule="auto"/>
      </w:pPr>
      <w:r>
        <w:rPr>
          <w:rFonts w:ascii="Times New Roman" w:cs="Times New Roman" w:eastAsia="Times New Roman" w:hAnsi="Times New Roman"/>
          <w:b/>
          <w:bCs/>
          <w:sz w:val="24"/>
          <w:szCs w:val="24"/>
        </w:rPr>
        <w:t xml:space="preserve">Transformación digital educativa.</w:t>
      </w:r>
    </w:p>
    <w:p>
      <w:pPr>
        <w:spacing w:after="0" w:before="0" w:line="480" w:lineRule="auto"/>
        <w:ind w:firstLine="720"/>
        <w:jc w:val="left"/>
      </w:pPr>
      <w:r>
        <w:rPr>
          <w:rFonts w:ascii="Times New Roman" w:cs="Times New Roman" w:eastAsia="Times New Roman" w:hAnsi="Times New Roman"/>
          <w:sz w:val="24"/>
          <w:szCs w:val="24"/>
        </w:rPr>
        <w:t xml:space="preserve">Es el proceso de integración de tecnologías digitales en la gestión y en la práctica pedagógica de una institución para mejorar el acceso, la calidad y la pertinencia del aprendizaje. Implica cambios en la cultura institucional, en los roles docentes y en los recursos disponibles, y no se agota en la compra de equipos o en la instalación de software (UNESCO, 2023). En este proyecto, la transformación se entiende como un proceso gradual en el que la I.E. El Carmelo incorpora una plataforma, capacita a sus docentes y reorganiza parte de sus actividades de aprendizaje en el entorno digital. La experiencia se documentará en una guía de transición que permita a otras instituciones públicas recorrer un camino similar, adaptándolo a sus propias condiciones.</w:t>
      </w:r>
    </w:p>
    <w:p>
      <w:pPr>
        <w:spacing w:after="0" w:before="0" w:line="480" w:lineRule="auto"/>
      </w:pPr>
      <w:r>
        <w:rPr>
          <w:rFonts w:ascii="Times New Roman" w:cs="Times New Roman" w:eastAsia="Times New Roman" w:hAnsi="Times New Roman"/>
          <w:b/>
          <w:bCs/>
          <w:sz w:val="24"/>
          <w:szCs w:val="24"/>
        </w:rPr>
        <w:t xml:space="preserve">Aprendizaje tradicional y aprendizaje digital.</w:t>
      </w:r>
    </w:p>
    <w:p>
      <w:pPr>
        <w:spacing w:after="0" w:before="0" w:line="480" w:lineRule="auto"/>
        <w:ind w:firstLine="720"/>
        <w:jc w:val="left"/>
      </w:pPr>
      <w:r>
        <w:rPr>
          <w:rFonts w:ascii="Times New Roman" w:cs="Times New Roman" w:eastAsia="Times New Roman" w:hAnsi="Times New Roman"/>
          <w:sz w:val="24"/>
          <w:szCs w:val="24"/>
        </w:rPr>
        <w:t xml:space="preserve">El aprendizaje tradicional se desarrolla de forma presencial, con el docente como principal fuente de información y con recursos físicos como el tablero, el cuaderno y las guías impresas. El aprendizaje digital incorpora recursos, actividades y evaluaciones mediados por tecnología que pueden consultarse en cualquier momento y lugar, y que amplían la interacción y la retroalimentación (UNESCO, 2023). En este proyecto la transición es gradual y complementaria: la plataforma apoya y extiende la clase presencial, no la reemplaza. Esta decisión responde a las condiciones de la institución, donde la presencialidad seguirá siendo el eje del proceso, y a la evidencia de que el valor de la tecnología depende de su integración pedagógica (Mishra y Koehler, 2006).</w:t>
      </w:r>
    </w:p>
    <w:p>
      <w:pPr>
        <w:spacing w:after="0" w:before="0" w:line="480" w:lineRule="auto"/>
      </w:pPr>
      <w:r>
        <w:rPr>
          <w:rFonts w:ascii="Times New Roman" w:cs="Times New Roman" w:eastAsia="Times New Roman" w:hAnsi="Times New Roman"/>
          <w:b/>
          <w:bCs/>
          <w:sz w:val="24"/>
          <w:szCs w:val="24"/>
        </w:rPr>
        <w:t xml:space="preserve">Sistema de gestión del aprendizaje (LMS) y Moodle.</w:t>
      </w:r>
    </w:p>
    <w:p>
      <w:pPr>
        <w:spacing w:after="0" w:before="0" w:line="480" w:lineRule="auto"/>
        <w:ind w:firstLine="720"/>
        <w:jc w:val="left"/>
      </w:pPr>
      <w:r>
        <w:rPr>
          <w:rFonts w:ascii="Times New Roman" w:cs="Times New Roman" w:eastAsia="Times New Roman" w:hAnsi="Times New Roman"/>
          <w:sz w:val="24"/>
          <w:szCs w:val="24"/>
        </w:rPr>
        <w:t xml:space="preserve">Un LMS es una aplicación informática que permite crear, administrar y evaluar cursos en línea, así como gestionar usuarios, comunicación y seguimiento. Moodle es un LMS de software libre que ofrece gestión de usuarios y roles, cursos, recursos, actividades, cuestionarios, foros, calificaciones, informes y una aplicación móvil (Moodle Pty Ltd., s. f.), y fue concebido desde una perspectiva pedagógica de comunidades de aprendizaje (Dougiamas y Taylor, 2003). En el proyecto, Moodle es el núcleo tecnológico de la solución: se configurará con los roles de administrador, docente y estudiante, y se complementará con contenidos interactivos para constituir la plataforma institucional de aprendizaje.</w:t>
      </w:r>
    </w:p>
    <w:p>
      <w:pPr>
        <w:spacing w:after="0" w:before="0" w:line="480" w:lineRule="auto"/>
      </w:pPr>
      <w:r>
        <w:rPr>
          <w:rFonts w:ascii="Times New Roman" w:cs="Times New Roman" w:eastAsia="Times New Roman" w:hAnsi="Times New Roman"/>
          <w:b/>
          <w:bCs/>
          <w:sz w:val="24"/>
          <w:szCs w:val="24"/>
        </w:rPr>
        <w:t xml:space="preserve">Brecha digital.</w:t>
      </w:r>
    </w:p>
    <w:p>
      <w:pPr>
        <w:spacing w:after="0" w:before="0" w:line="480" w:lineRule="auto"/>
        <w:ind w:firstLine="720"/>
        <w:jc w:val="left"/>
      </w:pPr>
      <w:r>
        <w:rPr>
          <w:rFonts w:ascii="Times New Roman" w:cs="Times New Roman" w:eastAsia="Times New Roman" w:hAnsi="Times New Roman"/>
          <w:sz w:val="24"/>
          <w:szCs w:val="24"/>
        </w:rPr>
        <w:t xml:space="preserve">Es la desigualdad en el acceso, el uso y la apropiación de las tecnologías de la información y las comunicaciones. En las zonas rurales y periféricas se asocia con conectividad deficiente, falta de dispositivos y baja alfabetización digital (Mena Amado y Hernández, 2026; Parada, 2024). Para el proyecto, este concepto define las restricciones de diseño: la plataforma debe poder usarse desde el celular, consumir pocos datos y ofrecer contenidos descargables. Además, la brecha no es solo de infraestructura, sino también de competencias; por ello el diagnóstico incluye la medición de las competencias digitales de docentes y estudiantes, tomando como referencia las competencias TIC del MEN (2013).</w:t>
      </w:r>
    </w:p>
    <w:p>
      <w:pPr>
        <w:spacing w:after="0" w:before="0" w:line="480" w:lineRule="auto"/>
      </w:pPr>
      <w:r>
        <w:rPr>
          <w:rFonts w:ascii="Times New Roman" w:cs="Times New Roman" w:eastAsia="Times New Roman" w:hAnsi="Times New Roman"/>
          <w:b/>
          <w:bCs/>
          <w:sz w:val="24"/>
          <w:szCs w:val="24"/>
        </w:rPr>
        <w:t xml:space="preserve">Aprendizaje móvil y acceso sin conexión continua.</w:t>
      </w:r>
    </w:p>
    <w:p>
      <w:pPr>
        <w:spacing w:after="0" w:before="0" w:line="480" w:lineRule="auto"/>
        <w:ind w:firstLine="720"/>
        <w:jc w:val="left"/>
      </w:pPr>
      <w:r>
        <w:rPr>
          <w:rFonts w:ascii="Times New Roman" w:cs="Times New Roman" w:eastAsia="Times New Roman" w:hAnsi="Times New Roman"/>
          <w:sz w:val="24"/>
          <w:szCs w:val="24"/>
        </w:rPr>
        <w:t xml:space="preserve">El aprendizaje móvil consiste en el uso de dispositivos móviles, principalmente teléfonos celulares, para acceder a contenidos y actividades de aprendizaje. En contextos de baja conectividad implica diseñar recursos livianos, descargables y sincronizables, de modo que el estudiante pueda trabajar sin conexión permanente y enviar sus respuestas cuando disponga de red (Linhalis y da Silva, 2023; Mena Amado y Hernández, 2026). El proyecto adopta este enfoque porque el celular es el dispositivo más disponible entre los estudiantes y porque Moodle cuenta con una aplicación móvil que permite descargar contenidos. La eficacia de esta estrategia se verificará durante las pruebas de acceso con conectividad limitada.</w:t>
      </w:r>
    </w:p>
    <w:p>
      <w:pPr>
        <w:spacing w:after="0" w:before="0" w:line="480" w:lineRule="auto"/>
      </w:pPr>
      <w:r>
        <w:rPr>
          <w:rFonts w:ascii="Times New Roman" w:cs="Times New Roman" w:eastAsia="Times New Roman" w:hAnsi="Times New Roman"/>
          <w:b/>
          <w:bCs/>
          <w:sz w:val="24"/>
          <w:szCs w:val="24"/>
        </w:rPr>
        <w:t xml:space="preserve">Taxonomía de Bloom revisada.</w:t>
      </w:r>
    </w:p>
    <w:p>
      <w:pPr>
        <w:spacing w:after="0" w:before="0" w:line="480" w:lineRule="auto"/>
        <w:ind w:firstLine="720"/>
        <w:jc w:val="left"/>
      </w:pPr>
      <w:r>
        <w:rPr>
          <w:rFonts w:ascii="Times New Roman" w:cs="Times New Roman" w:eastAsia="Times New Roman" w:hAnsi="Times New Roman"/>
          <w:sz w:val="24"/>
          <w:szCs w:val="24"/>
        </w:rPr>
        <w:t xml:space="preserve">Es una clasificación jerárquica de los objetivos y procesos cognitivos del aprendizaje, que distingue seis niveles: recordar, comprender, aplicar, analizar, evaluar y crear (Anderson y Krathwohl, 2001). Sirve para formular objetivos de aprendizaje medibles y para diseñar actividades y evaluaciones coherentes con cada nivel de complejidad. En el proyecto se utiliza como criterio de diseño instruccional: cada unidad de los cursos incluye actividades que cubren los distintos niveles, y la matriz de actividades permite verificar que la plataforma no se limite a la memorización. Así, el indicador de que las actividades abarcan los seis niveles se convierte en un criterio de calidad del producto.</w:t>
      </w:r>
    </w:p>
    <w:p>
      <w:pPr>
        <w:spacing w:after="0" w:before="0" w:line="480" w:lineRule="auto"/>
      </w:pPr>
      <w:r>
        <w:rPr>
          <w:rFonts w:ascii="Times New Roman" w:cs="Times New Roman" w:eastAsia="Times New Roman" w:hAnsi="Times New Roman"/>
          <w:b/>
          <w:bCs/>
          <w:sz w:val="24"/>
          <w:szCs w:val="24"/>
        </w:rPr>
        <w:t xml:space="preserve">Usabilidad.</w:t>
      </w:r>
    </w:p>
    <w:p>
      <w:pPr>
        <w:spacing w:after="0" w:before="0" w:line="480" w:lineRule="auto"/>
        <w:ind w:firstLine="720"/>
        <w:jc w:val="left"/>
      </w:pPr>
      <w:r>
        <w:rPr>
          <w:rFonts w:ascii="Times New Roman" w:cs="Times New Roman" w:eastAsia="Times New Roman" w:hAnsi="Times New Roman"/>
          <w:sz w:val="24"/>
          <w:szCs w:val="24"/>
        </w:rPr>
        <w:t xml:space="preserve">La usabilidad es el grado en que un sistema puede ser usado por usuarios específicos para lograr objetivos concretos con eficacia, eficiencia y satisfacción (Nielsen, 1993). Se mide con instrumentos como la Escala de Usabilidad del Sistema (SUS), un cuestionario de diez ítems que produce un puntaje entre 0 y 100 (Brooke, 1996). En el contexto educativo es un factor crítico, pues una interfaz poco intuitiva se convierte en barrera para el aprendizaje en lugar de facilitarlo. En este proyecto la usabilidad se evalúa durante las pruebas y al final del piloto, con el umbral de aceptabilidad de 68 puntos definido como indicador de éxito.</w:t>
      </w:r>
    </w:p>
    <w:p>
      <w:pPr>
        <w:spacing w:after="0" w:before="0" w:line="480" w:lineRule="auto"/>
      </w:pPr>
      <w:r>
        <w:rPr>
          <w:rFonts w:ascii="Times New Roman" w:cs="Times New Roman" w:eastAsia="Times New Roman" w:hAnsi="Times New Roman"/>
          <w:b/>
          <w:bCs/>
          <w:sz w:val="24"/>
          <w:szCs w:val="24"/>
        </w:rPr>
        <w:t xml:space="preserve">Aceptación tecnológica (TAM).</w:t>
      </w:r>
    </w:p>
    <w:p>
      <w:pPr>
        <w:spacing w:after="0" w:before="0" w:line="480" w:lineRule="auto"/>
        <w:ind w:firstLine="720"/>
        <w:jc w:val="left"/>
      </w:pPr>
      <w:r>
        <w:rPr>
          <w:rFonts w:ascii="Times New Roman" w:cs="Times New Roman" w:eastAsia="Times New Roman" w:hAnsi="Times New Roman"/>
          <w:sz w:val="24"/>
          <w:szCs w:val="24"/>
        </w:rPr>
        <w:t xml:space="preserve">El modelo de aceptación tecnológica (TAM) explica la disposición de los usuarios a adoptar una tecnología a partir de dos percepciones: la utilidad percibida y la facilidad de uso percibida (Davis, 1989). Su extensión incorpora variables sociales y de contexto que influyen en la intención de uso (Venkatesh y Davis, 2000). En el proyecto, el cuestionario TAM permitirá medir si docentes y estudiantes consideran que la plataforma es útil y fácil de usar, y si tienen la intención de seguir utilizándola, información esencial para valorar la apropiación y la sostenibilidad de la solución una vez concluya el piloto.</w:t>
      </w:r>
    </w:p>
    <w:p>
      <w:pPr>
        <w:spacing w:after="0" w:before="0" w:line="480" w:lineRule="auto"/>
      </w:pPr>
      <w:r>
        <w:rPr>
          <w:rFonts w:ascii="Times New Roman" w:cs="Times New Roman" w:eastAsia="Times New Roman" w:hAnsi="Times New Roman"/>
          <w:b/>
          <w:bCs/>
          <w:sz w:val="24"/>
          <w:szCs w:val="24"/>
        </w:rPr>
        <w:t xml:space="preserve">Software libre y licenciamiento.</w:t>
      </w:r>
    </w:p>
    <w:p>
      <w:pPr>
        <w:spacing w:after="0" w:before="0" w:line="480" w:lineRule="auto"/>
        <w:ind w:firstLine="720"/>
        <w:jc w:val="left"/>
      </w:pPr>
      <w:r>
        <w:rPr>
          <w:rFonts w:ascii="Times New Roman" w:cs="Times New Roman" w:eastAsia="Times New Roman" w:hAnsi="Times New Roman"/>
          <w:sz w:val="24"/>
          <w:szCs w:val="24"/>
        </w:rPr>
        <w:t xml:space="preserve">El software libre es aquel cuyo código fuente puede ser usado, estudiado, modificado y distribuido bajo una licencia que lo permite. Moodle se distribuye bajo la licencia pública general GNU (Free Software Foundation, 2007), lo que evita costos de licenciamiento y favorece la sostenibilidad en instituciones públicas, que no dependen de pagos recurrentes a terceros. Para el proyecto, este concepto sustenta la viabilidad económica y la posibilidad de replicar la solución en otras instituciones sin barreras de costo, siempre que se respeten las condiciones de la licencia y los derechos de autor de los contenidos que se incorporen a la plataforma.</w:t>
      </w:r>
    </w:p>
    <w:p>
      <w:pPr>
        <w:spacing w:after="0" w:before="0" w:line="480" w:lineRule="auto"/>
      </w:pPr>
      <w:r>
        <w:rPr>
          <w:rFonts w:ascii="Times New Roman" w:cs="Times New Roman" w:eastAsia="Times New Roman" w:hAnsi="Times New Roman"/>
          <w:b/>
          <w:bCs/>
          <w:sz w:val="24"/>
          <w:szCs w:val="24"/>
        </w:rPr>
        <w:t xml:space="preserve">Nivel de madurez tecnológica (TRL).</w:t>
      </w:r>
    </w:p>
    <w:p>
      <w:pPr>
        <w:spacing w:after="0" w:before="0" w:line="480" w:lineRule="auto"/>
        <w:ind w:firstLine="720"/>
        <w:jc w:val="left"/>
      </w:pPr>
      <w:r>
        <w:rPr>
          <w:rFonts w:ascii="Times New Roman" w:cs="Times New Roman" w:eastAsia="Times New Roman" w:hAnsi="Times New Roman"/>
          <w:sz w:val="24"/>
          <w:szCs w:val="24"/>
        </w:rPr>
        <w:t xml:space="preserve">El TRL es una escala de nueve niveles que indica el grado de desarrollo de una tecnología, desde los principios básicos observados (TRL 1) hasta su demostración en un entorno operativo real (TRL 9) (COLCIENCIAS, 2018). Permite comunicar con precisión hasta dónde llega un desarrollo tecnológico y qué evidencia lo respalda. El proyecto se propone alcanzar el TRL 5, que exige validar el prototipo en un entorno relevante; en este caso, la propia institución educativa, con usuarios reales, contenidos reales y conectividad real. La prueba piloto es, por tanto, el medio de verificación de esta meta.</w:t>
      </w:r>
    </w:p>
    <w:p>
      <w:pPr>
        <w:spacing w:after="0" w:before="0" w:line="480" w:lineRule="auto"/>
      </w:pPr>
      <w:r>
        <w:rPr>
          <w:rFonts w:ascii="Times New Roman" w:cs="Times New Roman" w:eastAsia="Times New Roman" w:hAnsi="Times New Roman"/>
          <w:b/>
          <w:bCs/>
          <w:sz w:val="24"/>
          <w:szCs w:val="24"/>
        </w:rPr>
        <w:t xml:space="preserve">Ciencias del diseño y Scrum.</w:t>
      </w:r>
    </w:p>
    <w:p>
      <w:pPr>
        <w:spacing w:after="0" w:before="0" w:line="480" w:lineRule="auto"/>
        <w:ind w:firstLine="720"/>
        <w:jc w:val="left"/>
      </w:pPr>
      <w:r>
        <w:rPr>
          <w:rFonts w:ascii="Times New Roman" w:cs="Times New Roman" w:eastAsia="Times New Roman" w:hAnsi="Times New Roman"/>
          <w:sz w:val="24"/>
          <w:szCs w:val="24"/>
        </w:rPr>
        <w:t xml:space="preserve">La investigación en ciencias del diseño busca construir y evaluar artefactos tecnológicos que resuelvan problemas reales mediante ciclos de identificación del problema, diseño, demostración y evaluación (Hevner et al., 2004; Peffers et al., 2007). Scrum es un marco ligero de trabajo que organiza el desarrollo en sprints, con roles, eventos y artefactos definidos, para entregar incrementos funcionales revisados con los interesados (Schwaber y Sutherland, 2020). En el proyecto se combinan: las ciencias del diseño estructuran el proceso investigativo y Scrum gestiona el desarrollo del artefacto, con la institución como dueña del producto y el estudiante como desarrollador.</w:t>
      </w:r>
    </w:p>
    <w:p>
      <w:pPr>
        <w:pStyle w:val="Heading3"/>
        <w:keepNext/>
        <w:spacing w:after="0" w:before="0" w:line="480" w:lineRule="auto"/>
      </w:pPr>
      <w:r>
        <w:rPr>
          <w:rFonts w:ascii="Times New Roman" w:cs="Times New Roman" w:eastAsia="Times New Roman" w:hAnsi="Times New Roman"/>
          <w:b/>
          <w:bCs/>
          <w:i/>
          <w:iCs/>
          <w:sz w:val="24"/>
          <w:szCs w:val="24"/>
        </w:rPr>
        <w:t xml:space="preserve">Marco jurídico</w:t>
      </w:r>
    </w:p>
    <w:p>
      <w:pPr>
        <w:spacing w:after="0" w:before="0" w:line="480" w:lineRule="auto"/>
        <w:ind w:firstLine="720"/>
        <w:jc w:val="left"/>
      </w:pPr>
      <w:r>
        <w:rPr>
          <w:rFonts w:ascii="Times New Roman" w:cs="Times New Roman" w:eastAsia="Times New Roman" w:hAnsi="Times New Roman"/>
          <w:sz w:val="24"/>
          <w:szCs w:val="24"/>
        </w:rPr>
        <w:t xml:space="preserve">El proyecto se enmarca en disposiciones legales y normativas colombianas e institucionales que regulan el derecho a la educación, la integración de las TIC en el sistema educativo, la protección de los datos personales, los derechos de autor y la ética de la investigación con seres humanos. Cada referente se presenta con su relación directa con el proyecto, y la Tabla 7 los resume.</w:t>
      </w:r>
    </w:p>
    <w:p>
      <w:pPr>
        <w:spacing w:after="0" w:before="0" w:line="480" w:lineRule="auto"/>
      </w:pPr>
      <w:r>
        <w:rPr>
          <w:rFonts w:ascii="Times New Roman" w:cs="Times New Roman" w:eastAsia="Times New Roman" w:hAnsi="Times New Roman"/>
          <w:b/>
          <w:bCs/>
          <w:sz w:val="24"/>
          <w:szCs w:val="24"/>
        </w:rPr>
        <w:t xml:space="preserve">Derecho a la educación y políticas de integración de las TIC.</w:t>
      </w:r>
    </w:p>
    <w:p>
      <w:pPr>
        <w:spacing w:after="0" w:before="0" w:line="480" w:lineRule="auto"/>
        <w:ind w:firstLine="720"/>
        <w:jc w:val="left"/>
      </w:pPr>
      <w:r>
        <w:rPr>
          <w:rFonts w:ascii="Times New Roman" w:cs="Times New Roman" w:eastAsia="Times New Roman" w:hAnsi="Times New Roman"/>
          <w:sz w:val="24"/>
          <w:szCs w:val="24"/>
        </w:rPr>
        <w:t xml:space="preserve">La Constitución Política de Colombia de 1991 establece en su artículo 67 que la educación es un derecho de la persona y un servicio público que tiene una función social. Este mandato respalda la propuesta, pues una plataforma que amplía el acceso a contenidos y a seguimiento académico en una institución pública contribuye a hacer efectivo ese derecho. La Ley 115 de 1994 (Ley General de Educación; Congreso de la República de Colombia, 1994) define los fines de la educación, entre los cuales se encuentra promover la capacidad para crear, investigar y adoptar la tecnología necesaria para el desarrollo del país, y reconoce la autonomía escolar y el proyecto educativo institucional (PEI), dentro de los cuales se inscribe la adopción de una plataforma digital. El Decreto 1075 de 2015, Decreto Único Reglamentario del sector Educación (Ministerio de Educación Nacional, 2015), compila la reglamentación aplicable.</w:t>
      </w:r>
    </w:p>
    <w:p>
      <w:pPr>
        <w:spacing w:after="0" w:before="0" w:line="480" w:lineRule="auto"/>
        <w:ind w:firstLine="720"/>
        <w:jc w:val="left"/>
      </w:pPr>
      <w:r>
        <w:rPr>
          <w:rFonts w:ascii="Times New Roman" w:cs="Times New Roman" w:eastAsia="Times New Roman" w:hAnsi="Times New Roman"/>
          <w:sz w:val="24"/>
          <w:szCs w:val="24"/>
        </w:rPr>
        <w:t xml:space="preserve">La Ley 1341 de 2009, modificada por la Ley 1978 de 2019, define los principios y conceptos sobre la sociedad de la información y la organización de las TIC, y promueve (Congreso de la República de Colombia, 2009b, 2019) su uso y acceso. La Ley 2108 de 2021 declara el internet como servicio público esencial y universal (Congreso de la República de Colombia, 2021), lo que respalda el acceso a la educación mediada por tecnología. El Plan Nacional Decenal de Educación 2016-2026 plantea el desafío estratégico de impulsar el uso pertinente, pedagógico y generalizado de las tecnologías (MEN, 2017), y el Decreto 1008 de 2018 establece los lineamientos de la Política de Gobierno Digital (Presidencia de la República de Colombia, 2018), que promueve el uso de las tecnologías digitales en la prestación de servicios públicos. Estas normas legitiman que una institución pública adopte una plataforma digital de aprendizaje y orientan el diseño hacia la inclusión y el acceso.</w:t>
      </w:r>
    </w:p>
    <w:p>
      <w:pPr>
        <w:spacing w:after="0" w:before="0" w:line="480" w:lineRule="auto"/>
      </w:pPr>
      <w:r>
        <w:rPr>
          <w:rFonts w:ascii="Times New Roman" w:cs="Times New Roman" w:eastAsia="Times New Roman" w:hAnsi="Times New Roman"/>
          <w:b/>
          <w:bCs/>
          <w:sz w:val="24"/>
          <w:szCs w:val="24"/>
        </w:rPr>
        <w:t xml:space="preserve">Protección de datos personales, menores de edad y seguridad de la información.</w:t>
      </w:r>
    </w:p>
    <w:p>
      <w:pPr>
        <w:spacing w:after="0" w:before="0" w:line="480" w:lineRule="auto"/>
        <w:ind w:firstLine="720"/>
        <w:jc w:val="left"/>
      </w:pPr>
      <w:r>
        <w:rPr>
          <w:rFonts w:ascii="Times New Roman" w:cs="Times New Roman" w:eastAsia="Times New Roman" w:hAnsi="Times New Roman"/>
          <w:sz w:val="24"/>
          <w:szCs w:val="24"/>
        </w:rPr>
        <w:t xml:space="preserve">La Constitución, en su artículo 15, reconoce el derecho a la intimidad y al habeas data. La Ley 1581 de 2012 y el Decreto 1377 de 2013 regulan la protección de los datos personales (Congreso de la República de Colombia, 2012; Presidencia de la República de Colombia, 2013) y exigen que su tratamiento cuente con autorización previa, expresa e informada del titular y respete los principios de finalidad, veracidad, acceso restringido, seguridad y confidencialidad. Como la plataforma y los instrumentos de investigación tratarán datos de docentes y de estudiantes, en su mayoría menores de edad, se aplicará además la Ley 1098 de 2006 (Código de la Infancia y la Adolescencia; Congreso de la República de Colombia, 2006), que impone respetar el interés superior del niño, la niña y el adolescente. Por ello se solicitará consentimiento informado a los docentes y asentimiento y autorización de los acudientes de los estudiantes menores de edad. La Ley 1273 de 2009 protege la información y los datos como bien jurídico tutelado (Congreso de la República de Colombia, 2009a), aspecto relevante para la seguridad de las cuentas y de la información de la plataforma, que contará con control de roles, contraseñas robustas y copias de respaldo.</w:t>
      </w:r>
    </w:p>
    <w:p>
      <w:pPr>
        <w:spacing w:after="0" w:before="0" w:line="480" w:lineRule="auto"/>
      </w:pPr>
      <w:r>
        <w:rPr>
          <w:rFonts w:ascii="Times New Roman" w:cs="Times New Roman" w:eastAsia="Times New Roman" w:hAnsi="Times New Roman"/>
          <w:b/>
          <w:bCs/>
          <w:sz w:val="24"/>
          <w:szCs w:val="24"/>
        </w:rPr>
        <w:t xml:space="preserve">Derechos de autor y licenciamiento.</w:t>
      </w:r>
    </w:p>
    <w:p>
      <w:pPr>
        <w:spacing w:after="0" w:before="0" w:line="480" w:lineRule="auto"/>
        <w:ind w:firstLine="720"/>
        <w:jc w:val="left"/>
      </w:pPr>
      <w:r>
        <w:rPr>
          <w:rFonts w:ascii="Times New Roman" w:cs="Times New Roman" w:eastAsia="Times New Roman" w:hAnsi="Times New Roman"/>
          <w:sz w:val="24"/>
          <w:szCs w:val="24"/>
        </w:rPr>
        <w:t xml:space="preserve">La Ley 23 de 1982, modificada por la Ley 1915 de 2018, regula los derechos de autor, incluidos los de los programas de computador (Congreso de la República de Colombia, 1982, 2018). Los contenidos digitales de la plataforma serán de elaboración propia, de licencia abierta o contarán con autorización de uso, y se indicará la atribución correspondiente. Moodle se distribuye bajo la licencia pública general GNU (Free Software Foundation, 2007), cuyas condiciones se respetarán al configurarlo y personalizarlo. El Acuerdo 06 de 2008 de la UNAD (Estatuto de Propiedad Intelectual) regula la cesión y el uso de los productos generados a partir de la presente propuesta.</w:t>
      </w:r>
    </w:p>
    <w:p>
      <w:pPr>
        <w:spacing w:after="0" w:before="0" w:line="480" w:lineRule="auto"/>
      </w:pPr>
      <w:r>
        <w:rPr>
          <w:rFonts w:ascii="Times New Roman" w:cs="Times New Roman" w:eastAsia="Times New Roman" w:hAnsi="Times New Roman"/>
          <w:b/>
          <w:bCs/>
          <w:sz w:val="24"/>
          <w:szCs w:val="24"/>
        </w:rPr>
        <w:t xml:space="preserve">Ética de la investigación.</w:t>
      </w:r>
    </w:p>
    <w:p>
      <w:pPr>
        <w:spacing w:after="0" w:before="0" w:line="480" w:lineRule="auto"/>
        <w:ind w:firstLine="720"/>
        <w:jc w:val="left"/>
      </w:pPr>
      <w:r>
        <w:rPr>
          <w:rFonts w:ascii="Times New Roman" w:cs="Times New Roman" w:eastAsia="Times New Roman" w:hAnsi="Times New Roman"/>
          <w:sz w:val="24"/>
          <w:szCs w:val="24"/>
        </w:rPr>
        <w:t xml:space="preserve">La Resolución 8430 de 1993 del Ministerio de Salud (Ministerio de Salud de Colombia, 1993) establece las normas científicas, técnicas y administrativas para la investigación con seres humanos y clasifica las investigaciones según su nivel de riesgo. El proyecto se considera una investigación sin riesgo, pues se limita a aplicar encuestas, entrevistas, escalas de percepción y a observar el uso de una herramienta educativa, sin intervenir en variables biológicas, fisiológicas o psicológicas. No obstante, sus principios de respeto a la dignidad, protección de la intimidad y participación voluntaria orientarán todo el proceso, con especial cuidado por tratarse de menores de edad.</w:t>
      </w:r>
    </w:p>
    <w:p>
      <w:pPr>
        <w:keepNext/>
        <w:spacing w:after="100" w:before="200" w:line="240" w:lineRule="auto"/>
      </w:pPr>
      <w:r>
        <w:rPr>
          <w:rFonts w:ascii="Times New Roman" w:cs="Times New Roman" w:eastAsia="Times New Roman" w:hAnsi="Times New Roman"/>
          <w:b/>
          <w:bCs/>
          <w:sz w:val="24"/>
          <w:szCs w:val="24"/>
        </w:rPr>
        <w:t xml:space="preserve">Tabla 7. </w:t>
      </w:r>
      <w:r>
        <w:rPr>
          <w:rFonts w:ascii="Times New Roman" w:cs="Times New Roman" w:eastAsia="Times New Roman" w:hAnsi="Times New Roman"/>
          <w:i/>
          <w:iCs/>
          <w:sz w:val="24"/>
          <w:szCs w:val="24"/>
        </w:rPr>
        <w:t xml:space="preserve">Síntesis del marco jurídico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Norma</w:t>
            </w:r>
          </w:p>
        </w:tc>
        <w:tc>
          <w:tcPr>
            <w:tcW w:type="dxa" w:w="3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Asunto que regula</w:t>
            </w:r>
          </w:p>
        </w:tc>
        <w:tc>
          <w:tcPr>
            <w:tcW w:type="dxa" w:w="32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Aplicación en el proyecto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Constitución Política de 1991, arts. 15 y 67</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Derecho a la educación; intimidad y habeas data</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Fundamento del acceso a la educación y del cuidado de los datos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Ley 115 de 1994 y Decreto 1075 de 2015</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Ley General de Educación y reglamentación del sector</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Adopción de la plataforma dentro de la autonomía escolar y el PEI</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Ley 1341 de 2009, Ley 1978 de 2019 y Ley 2108 de 2021</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Sociedad de la información y TIC; internet como servicio esencial</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Respaldo al uso y acceso a las TIC en la educación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Plan Nacional Decenal de Educación 2016-2026 (MEN, 2017)</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Uso pertinente y pedagógico de las tecnologías</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Alineación estratégica de la propuesta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Decreto 1008 de 2018</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Política de Gobierno Digital</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Contexto de modernización y uso de tecnologías digitales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Ley 1581 de 2012 y Decreto 1377 de 2013</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Protección de datos personales</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Consentimiento, finalidad, seguridad y confidencialidad de los datos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Ley 1098 de 2006</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Código de la Infancia y la Adolescencia</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Autorización de acudientes y asentimiento de los estudiantes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Ley 1273 de 2009</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Protección de la información y de los datos</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Seguridad de cuentas y de la información de la plataforma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Ley 23 de 1982 y Ley 1915 de 2018</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Derechos de autor</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Licencias y autorización de los contenidos digitales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Resolución 8430 de 1993</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Investigación en salud con seres humanos</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Clasificación como investigación sin riesgo y principios éticos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Acuerdo 06 de 2008 (UNAD)</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Estatuto de Propiedad Intelectual</w:t>
            </w:r>
          </w:p>
        </w:tc>
        <w:tc>
          <w:tcPr>
            <w:tcW w:type="dxa" w:w="3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Cesión y uso de los productos del proyecto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a partir de las normas citadas.</w:t>
      </w:r>
    </w:p>
    <w:p>
      <w:pPr>
        <w:pStyle w:val="Heading3"/>
        <w:keepNext/>
        <w:spacing w:after="0" w:before="0" w:line="480" w:lineRule="auto"/>
      </w:pPr>
      <w:r>
        <w:rPr>
          <w:rFonts w:ascii="Times New Roman" w:cs="Times New Roman" w:eastAsia="Times New Roman" w:hAnsi="Times New Roman"/>
          <w:b/>
          <w:bCs/>
          <w:i/>
          <w:iCs/>
          <w:sz w:val="24"/>
          <w:szCs w:val="24"/>
        </w:rPr>
        <w:t xml:space="preserve">Marco tecnológico</w:t>
      </w:r>
    </w:p>
    <w:p>
      <w:pPr>
        <w:spacing w:after="0" w:before="0" w:line="480" w:lineRule="auto"/>
        <w:ind w:firstLine="720"/>
        <w:jc w:val="left"/>
      </w:pPr>
      <w:r>
        <w:rPr>
          <w:rFonts w:ascii="Times New Roman" w:cs="Times New Roman" w:eastAsia="Times New Roman" w:hAnsi="Times New Roman"/>
          <w:sz w:val="24"/>
          <w:szCs w:val="24"/>
        </w:rPr>
        <w:t xml:space="preserve">El proyecto no desarrolla un LMS desde cero: configura, personaliza y complementa una solución existente de software libre. Esta decisión responde a criterios de viabilidad técnica, económica y contextual, dado que la institución tiene recursos limitados y un tiempo de ejecución de seis meses. La Figura 4 presenta la pila tecnológica por capas y la Tabla 8 justifica cada componente.</w:t>
      </w:r>
    </w:p>
    <w:p>
      <w:pPr>
        <w:keepNext/>
        <w:spacing w:after="100" w:before="200" w:line="240" w:lineRule="auto"/>
      </w:pPr>
      <w:r>
        <w:rPr>
          <w:rFonts w:ascii="Times New Roman" w:cs="Times New Roman" w:eastAsia="Times New Roman" w:hAnsi="Times New Roman"/>
          <w:b/>
          <w:bCs/>
          <w:sz w:val="24"/>
          <w:szCs w:val="24"/>
        </w:rPr>
        <w:t xml:space="preserve">Figura 4. </w:t>
      </w:r>
      <w:r>
        <w:rPr>
          <w:rFonts w:ascii="Times New Roman" w:cs="Times New Roman" w:eastAsia="Times New Roman" w:hAnsi="Times New Roman"/>
          <w:i/>
          <w:iCs/>
          <w:sz w:val="24"/>
          <w:szCs w:val="24"/>
        </w:rPr>
        <w:t xml:space="preserve">Pila tecnológica de la plataforma por capas.</w:t>
      </w:r>
    </w:p>
    <w:p>
      <w:pPr>
        <w:keepNext/>
        <w:spacing w:after="60" w:before="60" w:line="240" w:lineRule="auto"/>
        <w:jc w:val="center"/>
      </w:pPr>
      <w:r>
        <w:drawing>
          <wp:inline distT="0" distB="0" distL="0" distR="0">
            <wp:extent cx="5667375" cy="3400425"/>
            <wp:effectExtent t="0" r="0" b="0" l="0"/>
            <wp:docPr id="1" name="Pila tecnológica de la plataforma por capas." descr="Pila tecnológica de la plataforma por capas." title="Pila tecnológica de la plataforma por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4004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keepNext/>
        <w:spacing w:after="100" w:before="200" w:line="240" w:lineRule="auto"/>
      </w:pPr>
      <w:r>
        <w:rPr>
          <w:rFonts w:ascii="Times New Roman" w:cs="Times New Roman" w:eastAsia="Times New Roman" w:hAnsi="Times New Roman"/>
          <w:b/>
          <w:bCs/>
          <w:sz w:val="24"/>
          <w:szCs w:val="24"/>
        </w:rPr>
        <w:t xml:space="preserve">Tabla 8. </w:t>
      </w:r>
      <w:r>
        <w:rPr>
          <w:rFonts w:ascii="Times New Roman" w:cs="Times New Roman" w:eastAsia="Times New Roman" w:hAnsi="Times New Roman"/>
          <w:i/>
          <w:iCs/>
          <w:sz w:val="24"/>
          <w:szCs w:val="24"/>
        </w:rPr>
        <w:t xml:space="preserve">Componentes tecnológicos seleccionados y su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Componente</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Función en el proyecto</w:t>
            </w:r>
          </w:p>
        </w:tc>
        <w:tc>
          <w:tcPr>
            <w:tcW w:type="dxa" w:w="3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Justificación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Moodle (LMS)</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Gestión de usuarios, cursos, actividades, evaluaciones, calificaciones e informes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Software libre, con aplicación móvil y descarga de contenidos; adecuado para aprendizaje asincrónico con conexión inestable (Linhalis y da Silva, 2023; Moodle Pty Ltd., s. f.)</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Moodle App</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Acceso desde el celular y consulta de contenidos descargados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El celular es el dispositivo más disponible entre los estudiantes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H5P</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Contenidos interactivos (lecciones, arrastrar y soltar, líneas de tiempo, preguntas)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Contenido de código abierto, liviano y reutilizable, que se integra con Moodle y cubre los niveles de Bloom</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Servidor Linux (VPS) con Apache o Nginx</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Alojamiento de la plataforma en la nube</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Bajo costo, control de la configuración y posibilidad de copias de respaldo automáticas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PHP y MariaDB/MySQL</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Lenguaje de ejecución de Moodle y base de datos relacional</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Componentes estándar admitidos por Moodle; amplia documentación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Certificado SSL/TLS y dominio</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Cifrado de la comunicación y dirección institucional de acceso</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Seguridad de las credenciales y de los datos personales (Ley 1581 de 2012)</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GitHub</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Control de versiones de la configuración, los temas y la documentación</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Trazabilidad de cambios y trabajo colaborativo del equipo</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Herramientas de prototipado y ofimática</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Diseño de maquetas, análisis de datos con hoja de cálculo o Python, y elaboración de documentos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Herramientas de uso común y de bajo costo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ind w:firstLine="720"/>
        <w:jc w:val="left"/>
      </w:pPr>
      <w:r>
        <w:rPr>
          <w:rFonts w:ascii="Times New Roman" w:cs="Times New Roman" w:eastAsia="Times New Roman" w:hAnsi="Times New Roman"/>
          <w:sz w:val="24"/>
          <w:szCs w:val="24"/>
        </w:rPr>
        <w:t xml:space="preserve">Para sustentar la elección del LMS se comparó Moodle con otras alternativas frecuentes, mediante una matriz de decisión ponderada. Los criterios y su peso se definieron según las restricciones del contexto: el costo y la licencia, el funcionamiento con baja conectividad y desde el celular, el control de los datos mediante alojamiento propio, la capacidad de personalización y de actividades, la comunidad y la documentación en español, y la facilidad de mantenimiento. Las valoraciones corresponden al criterio del equipo, sustentado en la documentación de cada plataforma y en la revisión de Linhalis y da Silva (2023), y se confirmarán con la institución durante el diagnóstico.</w:t>
      </w:r>
    </w:p>
    <w:p>
      <w:pPr>
        <w:keepNext/>
        <w:spacing w:after="100" w:before="200" w:line="240" w:lineRule="auto"/>
      </w:pPr>
      <w:r>
        <w:rPr>
          <w:rFonts w:ascii="Times New Roman" w:cs="Times New Roman" w:eastAsia="Times New Roman" w:hAnsi="Times New Roman"/>
          <w:b/>
          <w:bCs/>
          <w:sz w:val="24"/>
          <w:szCs w:val="24"/>
        </w:rPr>
        <w:t xml:space="preserve">Tabla 9. </w:t>
      </w:r>
      <w:r>
        <w:rPr>
          <w:rFonts w:ascii="Times New Roman" w:cs="Times New Roman" w:eastAsia="Times New Roman" w:hAnsi="Times New Roman"/>
          <w:i/>
          <w:iCs/>
          <w:sz w:val="24"/>
          <w:szCs w:val="24"/>
        </w:rPr>
        <w:t xml:space="preserve">Matriz ponderada de selección del sistema de gestión del aprendizaje (escala de 1 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1160"/>
        <w:gridCol w:w="1200"/>
        <w:gridCol w:w="1100"/>
        <w:gridCol w:w="1200"/>
        <w:gridCol w:w="1300"/>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Criterio</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Peso</w:t>
            </w:r>
          </w:p>
        </w:tc>
        <w:tc>
          <w:tcPr>
            <w:tcW w:type="dxa" w:w="1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Moodle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Google Classroom</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Chamilo</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Open edX</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Canvas LMS (código abierto)</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Costo y licencia</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25 %</w:t>
            </w:r>
          </w:p>
        </w:tc>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Baja conectividad y acceso móvil</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25 %</w:t>
            </w:r>
          </w:p>
        </w:tc>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Alojamiento propio y control de datos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15 %</w:t>
            </w:r>
          </w:p>
        </w:tc>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Personalización y variedad de actividades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15 %</w:t>
            </w:r>
          </w:p>
        </w:tc>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Comunidad y documentación en español</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10 %</w:t>
            </w:r>
          </w:p>
        </w:tc>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Facilidad de mantenimiento</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10 %</w:t>
            </w:r>
          </w:p>
        </w:tc>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w:t>
            </w:r>
          </w:p>
        </w:tc>
      </w:tr>
      <w:tr>
        <w:trPr>
          <w:cantSplit/>
        </w:trPr>
        <w:tc>
          <w:tcPr>
            <w:tcW w:type="dxa" w:w="27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Puntaje ponderado</w:t>
            </w:r>
          </w:p>
        </w:tc>
        <w:tc>
          <w:tcPr>
            <w:tcW w:type="dxa" w:w="7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100 %</w:t>
            </w:r>
          </w:p>
        </w:tc>
        <w:tc>
          <w:tcPr>
            <w:tcW w:type="dxa" w:w="1160"/>
            <w:tcBorders>
              <w:top w:val="single" w:color="808080" w:sz="4"/>
              <w:left w:val="single" w:color="808080" w:sz="4"/>
              <w:bottom w:val="single" w:color="808080" w:sz="4"/>
              <w:right w:val="single" w:color="808080" w:sz="4"/>
            </w:tcBorders>
            <w:shd w:fill="D5EFE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4,55</w:t>
            </w:r>
          </w:p>
        </w:tc>
        <w:tc>
          <w:tcPr>
            <w:tcW w:type="dxa" w:w="1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3,10</w:t>
            </w:r>
          </w:p>
        </w:tc>
        <w:tc>
          <w:tcPr>
            <w:tcW w:type="dxa" w:w="11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3,90</w:t>
            </w:r>
          </w:p>
        </w:tc>
        <w:tc>
          <w:tcPr>
            <w:tcW w:type="dxa" w:w="1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3,75</w:t>
            </w:r>
          </w:p>
        </w:tc>
        <w:tc>
          <w:tcPr>
            <w:tcW w:type="dxa" w:w="13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3,70</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Valoración preliminar: 1 = muy desfavorable, 5 = muy favorable.</w:t>
      </w:r>
    </w:p>
    <w:p>
      <w:pPr>
        <w:spacing w:after="0" w:before="0" w:line="480" w:lineRule="auto"/>
        <w:ind w:firstLine="720"/>
        <w:jc w:val="left"/>
      </w:pPr>
      <w:r>
        <w:rPr>
          <w:rFonts w:ascii="Times New Roman" w:cs="Times New Roman" w:eastAsia="Times New Roman" w:hAnsi="Times New Roman"/>
          <w:sz w:val="24"/>
          <w:szCs w:val="24"/>
        </w:rPr>
        <w:t xml:space="preserve">El resultado favorece a Moodle (4,55 puntos), principalmente por su licencia libre, su aplicación móvil con contenidos descargables, la posibilidad de alojarlo en un servidor propio y su amplia comunidad. Su principal desventaja, una mayor complejidad de mantenimiento, se mitiga con la automatización de copias de respaldo, la documentación de la configuración y la capacitación del personal responsable.</w:t>
      </w:r>
    </w:p>
    <w:p>
      <w:pPr>
        <w:spacing w:after="0" w:before="0" w:line="480" w:lineRule="auto"/>
        <w:ind w:firstLine="720"/>
        <w:jc w:val="left"/>
      </w:pPr>
      <w:r>
        <w:rPr>
          <w:rFonts w:ascii="Times New Roman" w:cs="Times New Roman" w:eastAsia="Times New Roman" w:hAnsi="Times New Roman"/>
          <w:sz w:val="24"/>
          <w:szCs w:val="24"/>
        </w:rPr>
        <w:t xml:space="preserve">Finalmente, se propone un dimensionamiento inicial de la infraestructura, que se ajustará según los resultados del diagnóstico y el número real de usuarios simultáneos. La Tabla 10 resume los requisitos de referencia del servidor y de los dispositivos de acceso.</w:t>
      </w:r>
    </w:p>
    <w:p>
      <w:pPr>
        <w:keepNext/>
        <w:spacing w:after="100" w:before="200" w:line="240" w:lineRule="auto"/>
      </w:pPr>
      <w:r>
        <w:rPr>
          <w:rFonts w:ascii="Times New Roman" w:cs="Times New Roman" w:eastAsia="Times New Roman" w:hAnsi="Times New Roman"/>
          <w:b/>
          <w:bCs/>
          <w:sz w:val="24"/>
          <w:szCs w:val="24"/>
        </w:rPr>
        <w:t xml:space="preserve">Tabla 10. </w:t>
      </w:r>
      <w:r>
        <w:rPr>
          <w:rFonts w:ascii="Times New Roman" w:cs="Times New Roman" w:eastAsia="Times New Roman" w:hAnsi="Times New Roman"/>
          <w:i/>
          <w:iCs/>
          <w:sz w:val="24"/>
          <w:szCs w:val="24"/>
        </w:rPr>
        <w:t xml:space="preserve">Dimensionamiento tecnológico preliminar.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Elemento</w:t>
            </w:r>
          </w:p>
        </w:tc>
        <w:tc>
          <w:tcPr>
            <w:tcW w:type="dxa" w:w="3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Característica propuesta</w:t>
            </w:r>
          </w:p>
        </w:tc>
        <w:tc>
          <w:tcPr>
            <w:tcW w:type="dxa" w:w="3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Observación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Servidor (VPS en la nube)</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2 vCPU, 4 GB de memoria RAM, 60 GB de almacenamiento SSD, sistema operativo Linux (distribución de soporte extendido)</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Dimensionamiento de referencia para un piloto con decenas de usuarios; se escala si el diagnóstico lo exige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Copias de respaldo</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Base de datos diaria; archivos de forma semanal; almacenamiento externo al servidor</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Se verifica la restauración al final de cada sprint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Dispositivos de los estudiantes</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Celulares con navegador actualizado o Moodle App; uso compartido cuando sea necesario</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El inventario real se levanta en el diagnóstico</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Sala de cómputo de la I.E.</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Equipos con navegador web actualizado y acceso a la red institucional</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Se verifica en la lista de chequeo de infraestructura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Conectividad</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Operación con conexión limitada; contenidos livianos y descargables</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Requisito no funcional de bajo consumo de datos</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pStyle w:val="Heading2"/>
        <w:keepNext/>
        <w:spacing w:after="0" w:before="0" w:line="480" w:lineRule="auto"/>
      </w:pPr>
      <w:r>
        <w:rPr>
          <w:rFonts w:ascii="Times New Roman" w:cs="Times New Roman" w:eastAsia="Times New Roman" w:hAnsi="Times New Roman"/>
          <w:b/>
          <w:bCs/>
          <w:sz w:val="24"/>
          <w:szCs w:val="24"/>
        </w:rPr>
        <w:t xml:space="preserve">Metodología</w:t>
      </w:r>
    </w:p>
    <w:p>
      <w:pPr>
        <w:spacing w:after="0" w:before="0" w:line="480" w:lineRule="auto"/>
        <w:ind w:firstLine="720"/>
        <w:jc w:val="left"/>
      </w:pPr>
      <w:r>
        <w:rPr>
          <w:rFonts w:ascii="Times New Roman" w:cs="Times New Roman" w:eastAsia="Times New Roman" w:hAnsi="Times New Roman"/>
          <w:sz w:val="24"/>
          <w:szCs w:val="24"/>
        </w:rPr>
        <w:t xml:space="preserve">La metodología del proyecto tiene dos componentes que se integran: la metodología de investigación, que define cómo se recogen y analizan los datos para diagnosticar el contexto y evaluar la plataforma, y la metodología de desarrollo tecnológico, que define cómo se construye el artefacto. Atendiendo la recomendación recibida en la fase anterior, en esta versión se fortalece el apartado de implementación y evaluación: se precisan las hipótesis, las variables, la muestra, los instrumentos, el plan de análisis y los criterios de éxito, de modo que cada objetivo específico tenga un método de verificación explícito.</w:t>
      </w:r>
    </w:p>
    <w:p>
      <w:pPr>
        <w:pStyle w:val="Heading3"/>
        <w:keepNext/>
        <w:spacing w:after="0" w:before="0" w:line="480" w:lineRule="auto"/>
      </w:pPr>
      <w:r>
        <w:rPr>
          <w:rFonts w:ascii="Times New Roman" w:cs="Times New Roman" w:eastAsia="Times New Roman" w:hAnsi="Times New Roman"/>
          <w:b/>
          <w:bCs/>
          <w:i/>
          <w:iCs/>
          <w:sz w:val="24"/>
          <w:szCs w:val="24"/>
        </w:rPr>
        <w:t xml:space="preserve">Metodología de investigación</w:t>
      </w:r>
    </w:p>
    <w:p>
      <w:pPr>
        <w:spacing w:after="0" w:before="0" w:line="480" w:lineRule="auto"/>
      </w:pPr>
      <w:r>
        <w:rPr>
          <w:rFonts w:ascii="Times New Roman" w:cs="Times New Roman" w:eastAsia="Times New Roman" w:hAnsi="Times New Roman"/>
          <w:b/>
          <w:bCs/>
          <w:sz w:val="24"/>
          <w:szCs w:val="24"/>
        </w:rPr>
        <w:t xml:space="preserve">Enfoque, paradigma y tipo de estudio.</w:t>
      </w:r>
    </w:p>
    <w:p>
      <w:pPr>
        <w:spacing w:after="0" w:before="0" w:line="480" w:lineRule="auto"/>
        <w:ind w:firstLine="720"/>
        <w:jc w:val="left"/>
      </w:pPr>
      <w:r>
        <w:rPr>
          <w:rFonts w:ascii="Times New Roman" w:cs="Times New Roman" w:eastAsia="Times New Roman" w:hAnsi="Times New Roman"/>
          <w:sz w:val="24"/>
          <w:szCs w:val="24"/>
        </w:rPr>
        <w:t xml:space="preserve">Se adopta un enfoque mixto (cuantitativo y cualitativo), que combina la medición de la usabilidad, la aceptación y el uso de la plataforma con la comprensión de las percepciones y experiencias de docentes y estudiantes (Hernández Sampieri, 2018; Creswell y Plano Clark, 2018). La integración de ambos tipos de datos permite contrastar, por ejemplo, un puntaje de usabilidad con las razones que lo explican en las entrevistas. El proyecto se ubica en el paradigma pragmático, orientado a resolver un problema del contexto con los métodos que mejor sirvan a ese propósito (Miranda y Ortiz, 2020; Palacios Alvarado et al., 2023).</w:t>
      </w:r>
    </w:p>
    <w:p>
      <w:pPr>
        <w:spacing w:after="0" w:before="0" w:line="480" w:lineRule="auto"/>
        <w:ind w:firstLine="720"/>
        <w:jc w:val="left"/>
      </w:pPr>
      <w:r>
        <w:rPr>
          <w:rFonts w:ascii="Times New Roman" w:cs="Times New Roman" w:eastAsia="Times New Roman" w:hAnsi="Times New Roman"/>
          <w:sz w:val="24"/>
          <w:szCs w:val="24"/>
        </w:rPr>
        <w:t xml:space="preserve">Se trata de un proyecto aplicado de desarrollo tecnológico, de alcance descriptivo-aplicado. Como diseño general se adopta la investigación en ciencias del diseño, que comprende identificar el problema, definir los objetivos de la solución, diseñar y desarrollar el artefacto, demostrarlo y evaluarlo (Hevner et al., 2004; Peffers et al., 2007). Para la evaluación del piloto se emplea un diseño preexperimental de un solo grupo con medición previa y posterior (O₁ – X – O₂), y los datos cuantitativos y cualitativos se analizan en paralelo y se integran en la interpretación (diseño mixto convergente). La Tabla 11 sintetiza estas decisiones y la Figura 5 muestra el flujo metodológico.</w:t>
      </w:r>
    </w:p>
    <w:p>
      <w:pPr>
        <w:keepNext/>
        <w:spacing w:after="100" w:before="200" w:line="240" w:lineRule="auto"/>
      </w:pPr>
      <w:r>
        <w:rPr>
          <w:rFonts w:ascii="Times New Roman" w:cs="Times New Roman" w:eastAsia="Times New Roman" w:hAnsi="Times New Roman"/>
          <w:b/>
          <w:bCs/>
          <w:sz w:val="24"/>
          <w:szCs w:val="24"/>
        </w:rPr>
        <w:t xml:space="preserve">Tabla 11. </w:t>
      </w:r>
      <w:r>
        <w:rPr>
          <w:rFonts w:ascii="Times New Roman" w:cs="Times New Roman" w:eastAsia="Times New Roman" w:hAnsi="Times New Roman"/>
          <w:i/>
          <w:iCs/>
          <w:sz w:val="24"/>
          <w:szCs w:val="24"/>
        </w:rPr>
        <w:t xml:space="preserve">Síntesis de las decisiones metodológicas de la investigación.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Aspecto</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Decisión</w:t>
            </w:r>
          </w:p>
        </w:tc>
        <w:tc>
          <w:tcPr>
            <w:tcW w:type="dxa" w:w="3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Justificación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Enfoque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Mixto (cuantitativo y cualitativo)</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Mide usabilidad, aceptación y uso, y comprende percepciones y barreras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Paradigma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Pragmático</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Orientado a resolver un problema real del contexto</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Tipo de investigación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Aplicada, de desarrollo tecnológico</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Produce un artefacto validado en un entorno relevante</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Alcance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Descriptivo-aplicado</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Describe el estado actual y evalúa el desempeño de la solución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Diseño general</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Ciencias del diseño (Peffers et al., 2007)</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Estructura el ciclo problema – diseño – demostración – evaluación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Diseño de evaluación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Preexperimental, un solo grupo, medición previa y posterior</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Es viable con una sola institución y un grupo piloto; se declaran sus limitaciones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Integración de datos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Mixto convergente (triangulación)</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Contrasta los resultados cuantitativos con los cualitativos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Muestreo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Censo de docentes y muestra por conveniencia de estudiantes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Acceso acordado con la rectoría y tamaño de población reducido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Hernández Sampieri (2018) y Creswell y Plano Clark (2018).</w:t>
      </w:r>
    </w:p>
    <w:p>
      <w:pPr>
        <w:keepNext/>
        <w:spacing w:after="100" w:before="200" w:line="240" w:lineRule="auto"/>
      </w:pPr>
      <w:r>
        <w:rPr>
          <w:rFonts w:ascii="Times New Roman" w:cs="Times New Roman" w:eastAsia="Times New Roman" w:hAnsi="Times New Roman"/>
          <w:b/>
          <w:bCs/>
          <w:sz w:val="24"/>
          <w:szCs w:val="24"/>
        </w:rPr>
        <w:t xml:space="preserve">Figura 5. </w:t>
      </w:r>
      <w:r>
        <w:rPr>
          <w:rFonts w:ascii="Times New Roman" w:cs="Times New Roman" w:eastAsia="Times New Roman" w:hAnsi="Times New Roman"/>
          <w:i/>
          <w:iCs/>
          <w:sz w:val="24"/>
          <w:szCs w:val="24"/>
        </w:rPr>
        <w:t xml:space="preserve">Flujo metodológico del proyecto aplicado.</w:t>
      </w:r>
    </w:p>
    <w:p>
      <w:pPr>
        <w:keepNext/>
        <w:spacing w:after="60" w:before="60" w:line="240" w:lineRule="auto"/>
        <w:jc w:val="center"/>
      </w:pPr>
      <w:r>
        <w:drawing>
          <wp:inline distT="0" distB="0" distL="0" distR="0">
            <wp:extent cx="5848350" cy="3448050"/>
            <wp:effectExtent t="0" r="0" b="0" l="0"/>
            <wp:docPr id="1" name="Flujo metodológico del proyecto aplicado." descr="Flujo metodológico del proyecto aplicado." title="Flujo metodológico del proyecto a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4480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Peffers et al. (2007).</w:t>
      </w:r>
    </w:p>
    <w:p>
      <w:pPr>
        <w:spacing w:after="0" w:before="0" w:line="480" w:lineRule="auto"/>
      </w:pPr>
      <w:r>
        <w:rPr>
          <w:rFonts w:ascii="Times New Roman" w:cs="Times New Roman" w:eastAsia="Times New Roman" w:hAnsi="Times New Roman"/>
          <w:b/>
          <w:bCs/>
          <w:sz w:val="24"/>
          <w:szCs w:val="24"/>
        </w:rPr>
        <w:t xml:space="preserve">Preguntas, hipótesis y variables.</w:t>
      </w:r>
    </w:p>
    <w:p>
      <w:pPr>
        <w:spacing w:after="0" w:before="0" w:line="480" w:lineRule="auto"/>
        <w:ind w:firstLine="720"/>
        <w:jc w:val="left"/>
      </w:pPr>
      <w:r>
        <w:rPr>
          <w:rFonts w:ascii="Times New Roman" w:cs="Times New Roman" w:eastAsia="Times New Roman" w:hAnsi="Times New Roman"/>
          <w:sz w:val="24"/>
          <w:szCs w:val="24"/>
        </w:rPr>
        <w:t xml:space="preserve">Las preguntas de investigación corresponden a la sistematización del problema: (a) ¿cuál es el estado actual de los procesos de enseñanza, del acceso a dispositivos y conectividad y de las competencias digitales?; (b) ¿qué arquitectura, estructura pedagógica y contenidos permiten una plataforma útil y utilizable con baja conectividad?; y (c) ¿qué usabilidad, aceptación y apropiación alcanza la plataforma en el piloto? Dado el alcance descriptivo-aplicado, las dos primeras se responden con análisis descriptivo y especificación de requisitos. Para la tercera se plantea una hipótesis de trabajo sobre el cambio en la competencia digital autopercibida de los estudiantes:</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H₀:</w:t>
      </w:r>
      <w:r>
        <w:rPr>
          <w:rFonts w:ascii="Times New Roman" w:cs="Times New Roman" w:eastAsia="Times New Roman" w:hAnsi="Times New Roman"/>
          <w:sz w:val="24"/>
          <w:szCs w:val="24"/>
        </w:rPr>
        <w:t xml:space="preserve"> la media del índice de competencia digital autopercibida (ICDA) después del piloto es igual a la media antes del piloto.</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H₁:</w:t>
      </w:r>
      <w:r>
        <w:rPr>
          <w:rFonts w:ascii="Times New Roman" w:cs="Times New Roman" w:eastAsia="Times New Roman" w:hAnsi="Times New Roman"/>
          <w:sz w:val="24"/>
          <w:szCs w:val="24"/>
        </w:rPr>
        <w:t xml:space="preserve"> la media del ICDA después del piloto es mayor que la media antes del piloto (nivel de significancia α = 0,05).</w:t>
      </w:r>
    </w:p>
    <w:p>
      <w:pPr>
        <w:spacing w:after="0" w:before="0" w:line="480" w:lineRule="auto"/>
        <w:ind w:firstLine="720"/>
        <w:jc w:val="left"/>
      </w:pPr>
      <w:r>
        <w:rPr>
          <w:rFonts w:ascii="Times New Roman" w:cs="Times New Roman" w:eastAsia="Times New Roman" w:hAnsi="Times New Roman"/>
          <w:sz w:val="24"/>
          <w:szCs w:val="24"/>
        </w:rPr>
        <w:t xml:space="preserve">Además, se establecen dos criterios de éxito de carácter descriptivo: un puntaje SUS promedio igual o superior a 68 y una aceptación tecnológica favorable en al menos el 70 % de los encuestados. La Tabla 12 operacionaliza las variables.</w:t>
      </w:r>
    </w:p>
    <w:p>
      <w:pPr>
        <w:keepNext/>
        <w:spacing w:after="100" w:before="200" w:line="240" w:lineRule="auto"/>
      </w:pPr>
      <w:r>
        <w:rPr>
          <w:rFonts w:ascii="Times New Roman" w:cs="Times New Roman" w:eastAsia="Times New Roman" w:hAnsi="Times New Roman"/>
          <w:b/>
          <w:bCs/>
          <w:sz w:val="24"/>
          <w:szCs w:val="24"/>
        </w:rPr>
        <w:t xml:space="preserve">Tabla 12. </w:t>
      </w:r>
      <w:r>
        <w:rPr>
          <w:rFonts w:ascii="Times New Roman" w:cs="Times New Roman" w:eastAsia="Times New Roman" w:hAnsi="Times New Roman"/>
          <w:i/>
          <w:iCs/>
          <w:sz w:val="24"/>
          <w:szCs w:val="24"/>
        </w:rPr>
        <w:t xml:space="preserve">Operacionalización de las variables del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200"/>
        <w:gridCol w:w="1700"/>
        <w:gridCol w:w="14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Variable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Definición operacional</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Indicador</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Instrumento</w:t>
            </w:r>
          </w:p>
        </w:tc>
        <w:tc>
          <w:tcPr>
            <w:tcW w:type="dxa" w:w="1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Escala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Condiciones de acceso y conectividad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Disponibilidad de dispositivos y de internet de docentes y estudiantes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Porcentaje con celular o computador; calidad de la conexión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Encuesta de diagnóstico; lista de chequeo</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Nominal y ordinal</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Competencia digital autopercibida (ICDA)</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Percepción de capacidad para usar herramientas y entornos digitales de aprendizaje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Media de 12 ítems antes y después del piloto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Escala de competencias digitales</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 a 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Usabilidad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Facilidad y satisfacción de uso de la plataforma</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Puntaje SUS (0 a 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Escala SUS</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 a 5 (10 ítems)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Aceptación tecnológica</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Utilidad percibida, facilidad de uso percibida e intención de uso</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Media por dimensión y porcentaje de favorables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Cuestionario TAM</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 a 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Uso de la plataforma</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Intensidad de acceso y participación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Accesos, entregas y participaciones por estudiante y por semana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Registros de la plataforma</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 razón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Apropiación docente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Integración de la plataforma en la práctica pedagógica</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Porcentaje de docentes capacitados y de cursos activos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Registros; observación; entrevista</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 razón y cualitativa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Funcionamiento técnico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Cumplimiento de los requisitos del prototipo</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Porcentaje de pruebas funcionales superadas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Plan de pruebas</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 razón</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pStyle w:val="Heading3"/>
        <w:keepNext/>
        <w:spacing w:after="0" w:before="0" w:line="480" w:lineRule="auto"/>
      </w:pPr>
      <w:r>
        <w:rPr>
          <w:rFonts w:ascii="Times New Roman" w:cs="Times New Roman" w:eastAsia="Times New Roman" w:hAnsi="Times New Roman"/>
          <w:b/>
          <w:bCs/>
          <w:i/>
          <w:iCs/>
          <w:sz w:val="24"/>
          <w:szCs w:val="24"/>
        </w:rPr>
        <w:t xml:space="preserve">Muestra y población del proyecto</w:t>
      </w:r>
    </w:p>
    <w:p>
      <w:pPr>
        <w:spacing w:after="0" w:before="0" w:line="480" w:lineRule="auto"/>
        <w:ind w:firstLine="720"/>
        <w:jc w:val="left"/>
      </w:pPr>
      <w:r>
        <w:rPr>
          <w:rFonts w:ascii="Times New Roman" w:cs="Times New Roman" w:eastAsia="Times New Roman" w:hAnsi="Times New Roman"/>
          <w:sz w:val="24"/>
          <w:szCs w:val="24"/>
        </w:rPr>
        <w:t xml:space="preserve">La población de referencia está conformada por los docentes y los estudiantes de la I.E. El Carmelo. Los datos exactos (número de docentes, de estudiantes y de grupos) se solicitarán a la rectoría al inicio del diagnóstico; por ello, los tamaños que se indican son estimaciones de planificación que se ajustarán con la información institucional. La Tabla 13 describe las unidades de análisis, el tipo de muestreo y los criterios de selección.</w:t>
      </w:r>
    </w:p>
    <w:p>
      <w:pPr>
        <w:keepNext/>
        <w:spacing w:after="100" w:before="200" w:line="240" w:lineRule="auto"/>
      </w:pPr>
      <w:r>
        <w:rPr>
          <w:rFonts w:ascii="Times New Roman" w:cs="Times New Roman" w:eastAsia="Times New Roman" w:hAnsi="Times New Roman"/>
          <w:b/>
          <w:bCs/>
          <w:sz w:val="24"/>
          <w:szCs w:val="24"/>
        </w:rPr>
        <w:t xml:space="preserve">Tabla 13. </w:t>
      </w:r>
      <w:r>
        <w:rPr>
          <w:rFonts w:ascii="Times New Roman" w:cs="Times New Roman" w:eastAsia="Times New Roman" w:hAnsi="Times New Roman"/>
          <w:i/>
          <w:iCs/>
          <w:sz w:val="24"/>
          <w:szCs w:val="24"/>
        </w:rPr>
        <w:t xml:space="preserve">Población, muestra y criterios de selección.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900"/>
        <w:gridCol w:w="28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Unidad de análisis</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Población</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Muestra y tipo de muestreo</w:t>
            </w:r>
          </w:p>
        </w:tc>
        <w:tc>
          <w:tcPr>
            <w:tcW w:type="dxa" w:w="28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Criterios de inclusión y exclusión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Docentes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Docentes de las áreas priorizadas con la rectoría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Censo (100 % de los docentes de las áreas priorizadas; se estima entre 6 y 12)</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Incluye: docentes en ejercicio de las áreas priorizadas que acepten participar. Excluye: docentes en licencia durante el periodo</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Estudiantes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Estudiantes de básica secundaria y media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 uno a tres grupos seleccionados por conveniencia con la rectoría (se estima entre 30 y 90 estudiantes)</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Incluye: matriculados en los grupos seleccionados, con autorización del acudiente y asentimiento propio. Excluye: quienes no completen las mediciones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Directivos y docentes líderes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Rectoría y coordinación académica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Muestra intencional de 2 a 4 personas</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Incluye: personas con decisión sobre el uso de las TIC en la institución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Infraestructura tecnológica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Salas de cómputo, redes y dispositivos de la institución</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Inventario completo (censo)</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Incluye: todos los equipos y puntos de red disponibles para uso pedagógico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Los tamaños son estimados de planificación sujetos a confirmación con la rectoría.</w:t>
      </w:r>
    </w:p>
    <w:p>
      <w:pPr>
        <w:spacing w:after="0" w:before="0" w:line="480" w:lineRule="auto"/>
        <w:ind w:firstLine="720"/>
        <w:jc w:val="left"/>
      </w:pPr>
      <w:r>
        <w:rPr>
          <w:rFonts w:ascii="Times New Roman" w:cs="Times New Roman" w:eastAsia="Times New Roman" w:hAnsi="Times New Roman"/>
          <w:sz w:val="24"/>
          <w:szCs w:val="24"/>
        </w:rPr>
        <w:t xml:space="preserve">Los docentes se consideran un censo porque su número es reducido y su participación es indispensable para el diseño y la capacitación. Los estudiantes se seleccionan por conveniencia, un muestreo no probabilístico justificado por el acceso acordado con la institución y por la necesidad de conformar grupos completos para el piloto (Hernández Sampieri, 2018); por ello los resultados no se generalizan estadísticamente, sino que se interpretan como evidencia en un contexto específico. Si para la encuesta de diagnóstico no fuera posible encuestar a todos los estudiantes de los grados considerados, el tamaño de muestra se calculará con la fórmula para poblaciones finitas:</w:t>
      </w:r>
    </w:p>
    <w:p>
      <w:pPr>
        <w:spacing w:after="0" w:before="0" w:line="240" w:lineRule="auto"/>
        <w:jc w:val="center"/>
      </w:pPr>
      <w:r>
        <w:rPr>
          <w:rFonts w:ascii="Times New Roman" w:cs="Times New Roman" w:eastAsia="Times New Roman" w:hAnsi="Times New Roman"/>
          <w:sz w:val="24"/>
          <w:szCs w:val="24"/>
        </w:rPr>
        <w:t xml:space="preserve">n = (N · Z² · p · q) / [e² · (N − 1) + Z² · p · q]</w:t>
      </w:r>
    </w:p>
    <w:p>
      <w:pPr>
        <w:spacing w:after="0" w:before="0" w:line="480" w:lineRule="auto"/>
        <w:ind w:firstLine="0"/>
        <w:jc w:val="left"/>
      </w:pPr>
      <w:r>
        <w:rPr>
          <w:rFonts w:ascii="Times New Roman" w:cs="Times New Roman" w:eastAsia="Times New Roman" w:hAnsi="Times New Roman"/>
          <w:sz w:val="24"/>
          <w:szCs w:val="24"/>
        </w:rPr>
        <w:t xml:space="preserve">donde N es el tamaño de la población, Z el valor asociado al nivel de confianza (1,96 para el 95 %), p la proporción esperada (0,5 cuando se desconoce), q = 1 − p y e el error máximo admisible (0,05). A manera de ejemplo ilustrativo, con una población hipotética de N = 300 estudiantes se obtendría n ≈ 169; el valor real se calculará con la matrícula de la institución. Para la prueba piloto se prefiere trabajar con grupos completos de aproximadamente 30 estudiantes, tamaño que permite aplicar pruebas pareadas con una potencia razonable y que resulta operativamente manejable.</w:t>
      </w:r>
    </w:p>
    <w:p>
      <w:pPr>
        <w:pStyle w:val="Heading3"/>
        <w:keepNext/>
        <w:spacing w:after="0" w:before="0" w:line="480" w:lineRule="auto"/>
      </w:pPr>
      <w:r>
        <w:rPr>
          <w:rFonts w:ascii="Times New Roman" w:cs="Times New Roman" w:eastAsia="Times New Roman" w:hAnsi="Times New Roman"/>
          <w:b/>
          <w:bCs/>
          <w:i/>
          <w:iCs/>
          <w:sz w:val="24"/>
          <w:szCs w:val="24"/>
        </w:rPr>
        <w:t xml:space="preserve">Construcción e implementación del instrumento de medición y recolección de los datos</w:t>
      </w:r>
    </w:p>
    <w:p>
      <w:pPr>
        <w:spacing w:after="0" w:before="0" w:line="480" w:lineRule="auto"/>
        <w:ind w:firstLine="720"/>
        <w:jc w:val="left"/>
      </w:pPr>
      <w:r>
        <w:rPr>
          <w:rFonts w:ascii="Times New Roman" w:cs="Times New Roman" w:eastAsia="Times New Roman" w:hAnsi="Times New Roman"/>
          <w:sz w:val="24"/>
          <w:szCs w:val="24"/>
        </w:rPr>
        <w:t xml:space="preserve">Los instrumentos se construyen y se implementan siguiendo un proceso de seis pasos, que busca garantizar su pertinencia, validez y confiabilidad:</w:t>
      </w:r>
    </w:p>
    <w:p>
      <w:pPr>
        <w:pStyle w:val="ListParagraph"/>
        <w:numPr>
          <w:ilvl w:val="0"/>
          <w:numId w:val="4"/>
        </w:numPr>
        <w:spacing w:after="60" w:before="0" w:line="360" w:lineRule="auto"/>
      </w:pPr>
      <w:r>
        <w:rPr>
          <w:rFonts w:ascii="Times New Roman" w:cs="Times New Roman" w:eastAsia="Times New Roman" w:hAnsi="Times New Roman"/>
          <w:b/>
          <w:bCs/>
          <w:sz w:val="24"/>
          <w:szCs w:val="24"/>
        </w:rPr>
        <w:t xml:space="preserve">Definición de los constructos.</w:t>
      </w:r>
      <w:r>
        <w:rPr>
          <w:rFonts w:ascii="Times New Roman" w:cs="Times New Roman" w:eastAsia="Times New Roman" w:hAnsi="Times New Roman"/>
          <w:sz w:val="24"/>
          <w:szCs w:val="24"/>
        </w:rPr>
        <w:t xml:space="preserve"> Se precisan las variables de la Tabla 12 y las dimensiones que cada instrumento debe medir.</w:t>
      </w:r>
    </w:p>
    <w:p>
      <w:pPr>
        <w:pStyle w:val="ListParagraph"/>
        <w:numPr>
          <w:ilvl w:val="0"/>
          <w:numId w:val="4"/>
        </w:numPr>
        <w:spacing w:after="60" w:before="0" w:line="360" w:lineRule="auto"/>
      </w:pPr>
      <w:r>
        <w:rPr>
          <w:rFonts w:ascii="Times New Roman" w:cs="Times New Roman" w:eastAsia="Times New Roman" w:hAnsi="Times New Roman"/>
          <w:b/>
          <w:bCs/>
          <w:sz w:val="24"/>
          <w:szCs w:val="24"/>
        </w:rPr>
        <w:t xml:space="preserve">Revisión de instrumentos existentes.</w:t>
      </w:r>
      <w:r>
        <w:rPr>
          <w:rFonts w:ascii="Times New Roman" w:cs="Times New Roman" w:eastAsia="Times New Roman" w:hAnsi="Times New Roman"/>
          <w:sz w:val="24"/>
          <w:szCs w:val="24"/>
        </w:rPr>
        <w:t xml:space="preserve"> Se toman como referencia las competencias TIC docentes del MEN (2013), la escala SUS (Brooke, 1996) y el modelo TAM (Davis, 1989), adaptando el lenguaje al contexto de la institución.</w:t>
      </w:r>
    </w:p>
    <w:p>
      <w:pPr>
        <w:pStyle w:val="ListParagraph"/>
        <w:numPr>
          <w:ilvl w:val="0"/>
          <w:numId w:val="4"/>
        </w:numPr>
        <w:spacing w:after="60" w:before="0" w:line="360" w:lineRule="auto"/>
      </w:pPr>
      <w:r>
        <w:rPr>
          <w:rFonts w:ascii="Times New Roman" w:cs="Times New Roman" w:eastAsia="Times New Roman" w:hAnsi="Times New Roman"/>
          <w:b/>
          <w:bCs/>
          <w:sz w:val="24"/>
          <w:szCs w:val="24"/>
        </w:rPr>
        <w:t xml:space="preserve">Redacción de los ítems.</w:t>
      </w:r>
      <w:r>
        <w:rPr>
          <w:rFonts w:ascii="Times New Roman" w:cs="Times New Roman" w:eastAsia="Times New Roman" w:hAnsi="Times New Roman"/>
          <w:sz w:val="24"/>
          <w:szCs w:val="24"/>
        </w:rPr>
        <w:t xml:space="preserve"> Se redactan ítems claros, de una sola idea, en lenguaje apropiado para estudiantes de básica secundaria y media, con escala de Likert de cinco niveles (Likert, 1932).</w:t>
      </w:r>
    </w:p>
    <w:p>
      <w:pPr>
        <w:pStyle w:val="ListParagraph"/>
        <w:numPr>
          <w:ilvl w:val="0"/>
          <w:numId w:val="4"/>
        </w:numPr>
        <w:spacing w:after="60" w:before="0" w:line="360" w:lineRule="auto"/>
      </w:pPr>
      <w:r>
        <w:rPr>
          <w:rFonts w:ascii="Times New Roman" w:cs="Times New Roman" w:eastAsia="Times New Roman" w:hAnsi="Times New Roman"/>
          <w:b/>
          <w:bCs/>
          <w:sz w:val="24"/>
          <w:szCs w:val="24"/>
        </w:rPr>
        <w:t xml:space="preserve">Validación de contenido por juicio de expertos.</w:t>
      </w:r>
      <w:r>
        <w:rPr>
          <w:rFonts w:ascii="Times New Roman" w:cs="Times New Roman" w:eastAsia="Times New Roman" w:hAnsi="Times New Roman"/>
          <w:sz w:val="24"/>
          <w:szCs w:val="24"/>
        </w:rPr>
        <w:t xml:space="preserve"> Tres expertos (un docente de la línea de investigación, un docente de la institución y un profesional en tecnología educativa) valoran la pertinencia, la claridad y la suficiencia de cada ítem; se ajustan los ítems con valoración baja.</w:t>
      </w:r>
    </w:p>
    <w:p>
      <w:pPr>
        <w:pStyle w:val="ListParagraph"/>
        <w:numPr>
          <w:ilvl w:val="0"/>
          <w:numId w:val="4"/>
        </w:numPr>
        <w:spacing w:after="60" w:before="0" w:line="360" w:lineRule="auto"/>
      </w:pPr>
      <w:r>
        <w:rPr>
          <w:rFonts w:ascii="Times New Roman" w:cs="Times New Roman" w:eastAsia="Times New Roman" w:hAnsi="Times New Roman"/>
          <w:b/>
          <w:bCs/>
          <w:sz w:val="24"/>
          <w:szCs w:val="24"/>
        </w:rPr>
        <w:t xml:space="preserve">Prueba piloto del instrumento.</w:t>
      </w:r>
      <w:r>
        <w:rPr>
          <w:rFonts w:ascii="Times New Roman" w:cs="Times New Roman" w:eastAsia="Times New Roman" w:hAnsi="Times New Roman"/>
          <w:sz w:val="24"/>
          <w:szCs w:val="24"/>
        </w:rPr>
        <w:t xml:space="preserve"> Se aplica a un grupo reducido de estudiantes y docentes que no hacen parte de la muestra final, para verificar la comprensión, el tiempo de respuesta y la confiabilidad. Se calcula el coeficiente alfa de Cronbach (1951) y se espera un valor igual o superior a 0,70 en cada escala.</w:t>
      </w:r>
    </w:p>
    <w:p>
      <w:pPr>
        <w:pStyle w:val="ListParagraph"/>
        <w:numPr>
          <w:ilvl w:val="0"/>
          <w:numId w:val="4"/>
        </w:numPr>
        <w:spacing w:after="60" w:before="0" w:line="360" w:lineRule="auto"/>
      </w:pPr>
      <w:r>
        <w:rPr>
          <w:rFonts w:ascii="Times New Roman" w:cs="Times New Roman" w:eastAsia="Times New Roman" w:hAnsi="Times New Roman"/>
          <w:b/>
          <w:bCs/>
          <w:sz w:val="24"/>
          <w:szCs w:val="24"/>
        </w:rPr>
        <w:t xml:space="preserve">Aplicación y registro.</w:t>
      </w:r>
      <w:r>
        <w:rPr>
          <w:rFonts w:ascii="Times New Roman" w:cs="Times New Roman" w:eastAsia="Times New Roman" w:hAnsi="Times New Roman"/>
          <w:sz w:val="24"/>
          <w:szCs w:val="24"/>
        </w:rPr>
        <w:t xml:space="preserve"> Se aplican los instrumentos según el protocolo descrito más adelante y se registran las respuestas con códigos anónimos.</w:t>
      </w:r>
    </w:p>
    <w:p>
      <w:pPr>
        <w:spacing w:after="0" w:before="0" w:line="480" w:lineRule="auto"/>
        <w:ind w:firstLine="720"/>
        <w:jc w:val="left"/>
      </w:pPr>
      <w:r>
        <w:rPr>
          <w:rFonts w:ascii="Times New Roman" w:cs="Times New Roman" w:eastAsia="Times New Roman" w:hAnsi="Times New Roman"/>
          <w:sz w:val="24"/>
          <w:szCs w:val="24"/>
        </w:rPr>
        <w:t xml:space="preserve">La Tabla 14 presenta los instrumentos del proyecto, su propósito, la población a la que se dirigen y el momento de aplicación. Los formatos preliminares se incluyen en los anexos A a H.</w:t>
      </w:r>
    </w:p>
    <w:p>
      <w:pPr>
        <w:keepNext/>
        <w:spacing w:after="100" w:before="200" w:line="240" w:lineRule="auto"/>
      </w:pPr>
      <w:r>
        <w:rPr>
          <w:rFonts w:ascii="Times New Roman" w:cs="Times New Roman" w:eastAsia="Times New Roman" w:hAnsi="Times New Roman"/>
          <w:b/>
          <w:bCs/>
          <w:sz w:val="24"/>
          <w:szCs w:val="24"/>
        </w:rPr>
        <w:t xml:space="preserve">Tabla 14. </w:t>
      </w:r>
      <w:r>
        <w:rPr>
          <w:rFonts w:ascii="Times New Roman" w:cs="Times New Roman" w:eastAsia="Times New Roman" w:hAnsi="Times New Roman"/>
          <w:i/>
          <w:iCs/>
          <w:sz w:val="24"/>
          <w:szCs w:val="24"/>
        </w:rPr>
        <w:t xml:space="preserve">Instrumentos de recolección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2300"/>
        <w:gridCol w:w="1560"/>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Instrumento</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Propósito</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Dirigido a</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Características</w:t>
            </w:r>
          </w:p>
        </w:tc>
        <w:tc>
          <w:tcPr>
            <w:tcW w:type="dxa" w:w="1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Momento</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Encuesta de diagnóstico (Anexo A)</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Conocer acceso a dispositivos y conectividad, uso de las TIC y competencias digitales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Docentes y estudiantes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Cuestionario con ítems cerrados (Likert y opción múltiple); 20 a 25 ítems</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Fase 1 (mes 1)</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Entrevista semiestructurada (Anexo B)</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Comprender prácticas, expectativas y barreras frente a la plataforma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Directivos y docentes líderes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Guion de 8 preguntas abiertas; 20 a 30 minutos; grabación con permiso</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Fase 1 (mes 1) y Fase 3</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Lista de chequeo de infraestructura (Anexo C)</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Inventariar equipos, red y condiciones físicas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Institución (sala de cómputo y redes)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Lista de verificación con observación directa</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Fase 1 (mes 1)</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Escala de competencias digitales ICDA (Anexo H)</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Medir la competencia digital autopercibida antes y después del piloto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Estudiantes del piloto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12 ítems, Likert de 1 a 5</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Antes y después del piloto</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Escala de usabilidad SUS (Anexo 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Medir la usabilidad percibida de la plataforma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Docentes y estudiantes del piloto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10 ítems, Likert de 1 a 5; puntaje de 0 a 100</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Pruebas y final del piloto</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Cuestionario TAM (Anexo 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Medir utilidad, facilidad de uso e intención de uso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Docentes y estudiantes del piloto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12 ítems, Likert de 1 a 5</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Final del piloto</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Ficha de observación del piloto (Anexo F)</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Registrar dificultades, participación y uso en el aula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Equipo del proyecto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Observación estructurada por sesión</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Durante el piloto</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Registros de la plataforma</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Medir accesos, entregas y participación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Usuarios de la plataforma</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Informes y registros automáticos de Moodle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Durante el piloto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ind w:firstLine="720"/>
        <w:jc w:val="left"/>
      </w:pPr>
      <w:r>
        <w:rPr>
          <w:rFonts w:ascii="Times New Roman" w:cs="Times New Roman" w:eastAsia="Times New Roman" w:hAnsi="Times New Roman"/>
          <w:sz w:val="24"/>
          <w:szCs w:val="24"/>
        </w:rPr>
        <w:t xml:space="preserve">La encuesta de diagnóstico se estructura en dimensiones que alimentan directamente la especificación de requisitos. La Tabla 15 muestra la estructura propuesta.</w:t>
      </w:r>
    </w:p>
    <w:p>
      <w:pPr>
        <w:keepNext/>
        <w:spacing w:after="100" w:before="200" w:line="240" w:lineRule="auto"/>
      </w:pPr>
      <w:r>
        <w:rPr>
          <w:rFonts w:ascii="Times New Roman" w:cs="Times New Roman" w:eastAsia="Times New Roman" w:hAnsi="Times New Roman"/>
          <w:b/>
          <w:bCs/>
          <w:sz w:val="24"/>
          <w:szCs w:val="24"/>
        </w:rPr>
        <w:t xml:space="preserve">Tabla 15. </w:t>
      </w:r>
      <w:r>
        <w:rPr>
          <w:rFonts w:ascii="Times New Roman" w:cs="Times New Roman" w:eastAsia="Times New Roman" w:hAnsi="Times New Roman"/>
          <w:i/>
          <w:iCs/>
          <w:sz w:val="24"/>
          <w:szCs w:val="24"/>
        </w:rPr>
        <w:t xml:space="preserve">Estructura de la encuesta de diagnóstico.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600"/>
        <w:gridCol w:w="16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Dimensión</w:t>
            </w:r>
          </w:p>
        </w:tc>
        <w:tc>
          <w:tcPr>
            <w:tcW w:type="dxa" w:w="3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Indicadores</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Ítems estudiantes</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Ítems docentes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Datos generales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Grado o área, edad (rango) y tiempo de vinculación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Acceso a dispositivos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Tipo de dispositivo, propiedad o uso compartido</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4</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Conectividad</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Tipo y calidad de la conexión en casa y en la institución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4</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Uso actual de las TIC</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Frecuencia y finalidad de uso para estudiar o enseñar</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Competencias digitales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Manejo de herramientas, navegación, descarga y entrega de tareas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Expectativas y barreras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Interés en la plataforma y obstáculos percibidos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Total aproximado: 25 ítems por cuestionario.</w:t>
      </w:r>
    </w:p>
    <w:p>
      <w:pPr>
        <w:spacing w:after="0" w:before="0" w:line="480" w:lineRule="auto"/>
        <w:ind w:firstLine="720"/>
        <w:jc w:val="left"/>
      </w:pPr>
      <w:r>
        <w:rPr>
          <w:rFonts w:ascii="Times New Roman" w:cs="Times New Roman" w:eastAsia="Times New Roman" w:hAnsi="Times New Roman"/>
          <w:b/>
          <w:bCs/>
          <w:sz w:val="24"/>
          <w:szCs w:val="24"/>
        </w:rPr>
        <w:t xml:space="preserve">Protocolo de aplicación.</w:t>
      </w:r>
      <w:r>
        <w:rPr>
          <w:rFonts w:ascii="Times New Roman" w:cs="Times New Roman" w:eastAsia="Times New Roman" w:hAnsi="Times New Roman"/>
          <w:sz w:val="24"/>
          <w:szCs w:val="24"/>
        </w:rPr>
        <w:t xml:space="preserve"> Primero, se solicita el aval de la rectoría y se presenta el proyecto a los docentes. Segundo, se entregan los formatos de consentimiento informado a los docentes y de autorización a los acudientes, y se obtiene el asentimiento de los estudiantes (Anexo G). Tercero, se aplican los instrumentos en la institución, en formato impreso o digital según la conectividad disponible, en sesiones de entre 20 y 30 minutos y con acompañamiento del equipo para resolver dudas. Cuarto, se asigna a cada participante un código anónimo y las respuestas se digitan en una hoja de cálculo protegida, a la que solo accede el equipo del proyecto. Quinto, los datos se conservan con fines académicos y se tratan conforme a la Ley 1581 de 2012.</w:t>
      </w:r>
    </w:p>
    <w:p>
      <w:pPr>
        <w:spacing w:after="0" w:before="0" w:line="480" w:lineRule="auto"/>
        <w:ind w:firstLine="720"/>
        <w:jc w:val="left"/>
      </w:pPr>
      <w:r>
        <w:rPr>
          <w:rFonts w:ascii="Times New Roman" w:cs="Times New Roman" w:eastAsia="Times New Roman" w:hAnsi="Times New Roman"/>
          <w:b/>
          <w:bCs/>
          <w:sz w:val="24"/>
          <w:szCs w:val="24"/>
        </w:rPr>
        <w:t xml:space="preserve">Registros de la plataforma.</w:t>
      </w:r>
      <w:r>
        <w:rPr>
          <w:rFonts w:ascii="Times New Roman" w:cs="Times New Roman" w:eastAsia="Times New Roman" w:hAnsi="Times New Roman"/>
          <w:sz w:val="24"/>
          <w:szCs w:val="24"/>
        </w:rPr>
        <w:t xml:space="preserve"> Durante el piloto se extraen de Moodle informes de accesos, entregas, participación en foros y resultados de cuestionarios. Estos registros complementan las percepciones de los participantes con evidencia objetiva de uso y se almacenan sin datos que identifiquen al estudiante más allá del código asignado.</w:t>
      </w:r>
    </w:p>
    <w:p>
      <w:pPr>
        <w:pStyle w:val="Heading3"/>
        <w:keepNext/>
        <w:spacing w:after="0" w:before="0" w:line="480" w:lineRule="auto"/>
      </w:pPr>
      <w:r>
        <w:rPr>
          <w:rFonts w:ascii="Times New Roman" w:cs="Times New Roman" w:eastAsia="Times New Roman" w:hAnsi="Times New Roman"/>
          <w:b/>
          <w:bCs/>
          <w:i/>
          <w:iCs/>
          <w:sz w:val="24"/>
          <w:szCs w:val="24"/>
        </w:rPr>
        <w:t xml:space="preserve">Procedimiento y fases de la investigación</w:t>
      </w:r>
    </w:p>
    <w:p>
      <w:pPr>
        <w:spacing w:after="0" w:before="0" w:line="480" w:lineRule="auto"/>
        <w:ind w:firstLine="720"/>
        <w:jc w:val="left"/>
      </w:pPr>
      <w:r>
        <w:rPr>
          <w:rFonts w:ascii="Times New Roman" w:cs="Times New Roman" w:eastAsia="Times New Roman" w:hAnsi="Times New Roman"/>
          <w:sz w:val="24"/>
          <w:szCs w:val="24"/>
        </w:rPr>
        <w:t xml:space="preserve">El procedimiento se organiza en tres fases alineadas con los objetivos específicos. La Tabla 16 detalla las actividades, los instrumentos y los productos de cada una.</w:t>
      </w:r>
    </w:p>
    <w:p>
      <w:pPr>
        <w:keepNext/>
        <w:spacing w:after="100" w:before="200" w:line="240" w:lineRule="auto"/>
      </w:pPr>
      <w:r>
        <w:rPr>
          <w:rFonts w:ascii="Times New Roman" w:cs="Times New Roman" w:eastAsia="Times New Roman" w:hAnsi="Times New Roman"/>
          <w:b/>
          <w:bCs/>
          <w:sz w:val="24"/>
          <w:szCs w:val="24"/>
        </w:rPr>
        <w:t xml:space="preserve">Tabla 16. </w:t>
      </w:r>
      <w:r>
        <w:rPr>
          <w:rFonts w:ascii="Times New Roman" w:cs="Times New Roman" w:eastAsia="Times New Roman" w:hAnsi="Times New Roman"/>
          <w:i/>
          <w:iCs/>
          <w:sz w:val="24"/>
          <w:szCs w:val="24"/>
        </w:rPr>
        <w:t xml:space="preserve">Fases del procedimiento investigativo.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700"/>
        <w:gridCol w:w="1800"/>
        <w:gridCol w:w="11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Fase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Actividades principales</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Instrumentos</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Producto</w:t>
            </w:r>
          </w:p>
        </w:tc>
        <w:tc>
          <w:tcPr>
            <w:tcW w:type="dxa" w:w="1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Duración aproximada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1. Diagnóstico y requisitos (OE1)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Gestión de permisos; construcción y validación de instrumentos; aplicación de encuestas, entrevistas e inventario; análisis de datos; especificación de requisitos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Encuesta, entrevista, lista de chequeo</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Documento de diagnóstico y de requisitos</w:t>
            </w:r>
          </w:p>
        </w:tc>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Meses 1 y 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2. Diseño y desarrollo (OE2)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Diseño de arquitectura, interfaz y cursos; instalación y configuración; carga de contenidos; pruebas por sprint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Plan de pruebas; SUS preliminar</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Plataforma funcional con contenidos (TRL 3–4)</w:t>
            </w:r>
          </w:p>
        </w:tc>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Meses 2 a 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3. Implementación y evaluación (OE3)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Capacitación docente; piloto de 4 semanas; aplicación de SUS, TAM e ICDA; análisis; ajustes; guía de transición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ICDA, SUS, TAM, observación, entrevista, registros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Plataforma validada (TRL 5), informe y guía</w:t>
            </w:r>
          </w:p>
        </w:tc>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Meses 4 a 6</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pStyle w:val="Heading3"/>
        <w:keepNext/>
        <w:spacing w:after="0" w:before="0" w:line="480" w:lineRule="auto"/>
      </w:pPr>
      <w:r>
        <w:rPr>
          <w:rFonts w:ascii="Times New Roman" w:cs="Times New Roman" w:eastAsia="Times New Roman" w:hAnsi="Times New Roman"/>
          <w:b/>
          <w:bCs/>
          <w:i/>
          <w:iCs/>
          <w:sz w:val="24"/>
          <w:szCs w:val="24"/>
        </w:rPr>
        <w:t xml:space="preserve">Análisis y diagnóstico del proceso investigativo</w:t>
      </w:r>
    </w:p>
    <w:p>
      <w:pPr>
        <w:spacing w:after="0" w:before="0" w:line="480" w:lineRule="auto"/>
        <w:ind w:firstLine="720"/>
        <w:jc w:val="left"/>
      </w:pPr>
      <w:r>
        <w:rPr>
          <w:rFonts w:ascii="Times New Roman" w:cs="Times New Roman" w:eastAsia="Times New Roman" w:hAnsi="Times New Roman"/>
          <w:sz w:val="24"/>
          <w:szCs w:val="24"/>
        </w:rPr>
        <w:t xml:space="preserve">El análisis responde a cada objetivo específico con técnicas coherentes con el tipo de dato. La Tabla 17 resume el plan de análisis y, a continuación, se detallan las técnicas cuantitativas, cualitativas y de integración.</w:t>
      </w:r>
    </w:p>
    <w:p>
      <w:pPr>
        <w:keepNext/>
        <w:spacing w:after="100" w:before="200" w:line="240" w:lineRule="auto"/>
      </w:pPr>
      <w:r>
        <w:rPr>
          <w:rFonts w:ascii="Times New Roman" w:cs="Times New Roman" w:eastAsia="Times New Roman" w:hAnsi="Times New Roman"/>
          <w:b/>
          <w:bCs/>
          <w:sz w:val="24"/>
          <w:szCs w:val="24"/>
        </w:rPr>
        <w:t xml:space="preserve">Tabla 17. </w:t>
      </w:r>
      <w:r>
        <w:rPr>
          <w:rFonts w:ascii="Times New Roman" w:cs="Times New Roman" w:eastAsia="Times New Roman" w:hAnsi="Times New Roman"/>
          <w:i/>
          <w:iCs/>
          <w:sz w:val="24"/>
          <w:szCs w:val="24"/>
        </w:rPr>
        <w:t xml:space="preserve">Plan de análisis de datos por objetivo específico.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600"/>
        <w:gridCol w:w="23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Objetivo</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Datos</w:t>
            </w:r>
          </w:p>
        </w:tc>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Técnica de análisis</w:t>
            </w:r>
          </w:p>
        </w:tc>
        <w:tc>
          <w:tcPr>
            <w:tcW w:type="dxa" w:w="2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Resultado esperado</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OE1</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Encuestas, entrevistas e inventario</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Estadística descriptiva (frecuencias, medias, desviación estándar); análisis temático de las entrevistas</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Línea base y requisitos funcionales y no funcionales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OE2</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Resultados de las pruebas; matriz de Bloom</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Porcentaje de pruebas superadas; verificación de cobertura de los niveles de Bloom</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Plataforma que cumple los criterios de calidad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OE3</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ICDA, SUS, TAM, registros, observaciones y entrevistas</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Prueba de normalidad; t pareada o Wilcoxon; tamaño del efecto; puntaje SUS; porcentaje de favorables; análisis temático; triangulación</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Evidencia de usabilidad, aceptación y apropiación; guía de transición</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Análisis cuantitativo.</w:t>
      </w:r>
    </w:p>
    <w:p>
      <w:pPr>
        <w:spacing w:after="0" w:before="0" w:line="480" w:lineRule="auto"/>
        <w:ind w:firstLine="720"/>
        <w:jc w:val="left"/>
      </w:pPr>
      <w:r>
        <w:rPr>
          <w:rFonts w:ascii="Times New Roman" w:cs="Times New Roman" w:eastAsia="Times New Roman" w:hAnsi="Times New Roman"/>
          <w:sz w:val="24"/>
          <w:szCs w:val="24"/>
        </w:rPr>
        <w:t xml:space="preserve">Se aplica estadística descriptiva (frecuencias, medias y desviación estándar) a los datos del diagnóstico y de las escalas. Para contrastar la hipótesis sobre el ICDA, se verifica primero la normalidad de las diferencias entre la medición posterior y la previa con la prueba de Shapiro y Wilk (1965). Si se cumple el supuesto, se aplica la prueba t para muestras relacionadas; en caso contrario, la prueba de rangos con signo de Wilcoxon. En ambos casos se informa el tamaño del efecto (d de Cohen o r), que se interpreta con los criterios de Cohen (1988), y el análisis se realiza con hoja de cálculo o Python.</w:t>
      </w:r>
    </w:p>
    <w:p>
      <w:pPr>
        <w:spacing w:after="0" w:before="0" w:line="480" w:lineRule="auto"/>
        <w:ind w:firstLine="720"/>
        <w:jc w:val="left"/>
      </w:pPr>
      <w:r>
        <w:rPr>
          <w:rFonts w:ascii="Times New Roman" w:cs="Times New Roman" w:eastAsia="Times New Roman" w:hAnsi="Times New Roman"/>
          <w:sz w:val="24"/>
          <w:szCs w:val="24"/>
        </w:rPr>
        <w:t xml:space="preserve">El puntaje de la escala SUS se calcula así: a cada ítem impar se le resta 1, a cada ítem par se le resta su valor de 5, se suman los resultados y el total se multiplica por 2,5, con lo que se obtiene un valor entre 0 y 100 (Brooke, 1996). Se toma como umbral de aceptabilidad el valor de 68 puntos, cercano a la media empírica reportada en la literatura (Bangor et al., 2008). Para el modelo TAM se calcula la media de cada dimensión y se considera favorable a quien obtenga un promedio igual o superior a 4,0; el criterio de éxito es que al menos el 70 % de los encuestados sea favorable. La confiabilidad de cada escala se verifica con el alfa de Cronbach (1951), con valor mínimo de 0,70.</w:t>
      </w:r>
    </w:p>
    <w:p>
      <w:pPr>
        <w:spacing w:after="0" w:before="0" w:line="480" w:lineRule="auto"/>
      </w:pPr>
      <w:r>
        <w:rPr>
          <w:rFonts w:ascii="Times New Roman" w:cs="Times New Roman" w:eastAsia="Times New Roman" w:hAnsi="Times New Roman"/>
          <w:b/>
          <w:bCs/>
          <w:sz w:val="24"/>
          <w:szCs w:val="24"/>
        </w:rPr>
        <w:t xml:space="preserve">Análisis cualitativo y triangulación.</w:t>
      </w:r>
    </w:p>
    <w:p>
      <w:pPr>
        <w:spacing w:after="0" w:before="0" w:line="480" w:lineRule="auto"/>
        <w:ind w:firstLine="720"/>
        <w:jc w:val="left"/>
      </w:pPr>
      <w:r>
        <w:rPr>
          <w:rFonts w:ascii="Times New Roman" w:cs="Times New Roman" w:eastAsia="Times New Roman" w:hAnsi="Times New Roman"/>
          <w:sz w:val="24"/>
          <w:szCs w:val="24"/>
        </w:rPr>
        <w:t xml:space="preserve">Las entrevistas y las observaciones se transcriben y se analizan mediante análisis temático: lectura general, codificación abierta, agrupación de los códigos en categorías (acceso, apropiación docente, usabilidad, motivación, barreras y sostenibilidad) y construcción de una interpretación que se contrasta con los resultados cuantitativos. La Tabla 18 presenta la matriz de triangulación que orienta la integración de las fuentes.</w:t>
      </w:r>
    </w:p>
    <w:p>
      <w:pPr>
        <w:keepNext/>
        <w:spacing w:after="100" w:before="200" w:line="240" w:lineRule="auto"/>
      </w:pPr>
      <w:r>
        <w:rPr>
          <w:rFonts w:ascii="Times New Roman" w:cs="Times New Roman" w:eastAsia="Times New Roman" w:hAnsi="Times New Roman"/>
          <w:b/>
          <w:bCs/>
          <w:sz w:val="24"/>
          <w:szCs w:val="24"/>
        </w:rPr>
        <w:t xml:space="preserve">Tabla 18. </w:t>
      </w:r>
      <w:r>
        <w:rPr>
          <w:rFonts w:ascii="Times New Roman" w:cs="Times New Roman" w:eastAsia="Times New Roman" w:hAnsi="Times New Roman"/>
          <w:i/>
          <w:iCs/>
          <w:sz w:val="24"/>
          <w:szCs w:val="24"/>
        </w:rPr>
        <w:t xml:space="preserve">Matriz de triangulación metodológica.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Pregunta o hipótesis</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Fuente cuantitativa</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Fuente cualitativa</w:t>
            </w:r>
          </w:p>
        </w:tc>
        <w:tc>
          <w:tcPr>
            <w:tcW w:type="dxa" w:w="2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Criterio de integración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¿Qué barreras de acceso y de competencias existen?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Encuesta de diagnóstico y lista de chequeo</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Entrevistas a directivos y docentes líderes</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Coincidencia o divergencia entre lo medido y lo expresado</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¿Es usable la plataforma?</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Puntaje SUS; pruebas de usabilidad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Observación del piloto; comentarios abiertos</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Los problemas observados explican los puntajes bajos por ítem</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¿Se acepta y se usa la plataforma?</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TAM; registros de accesos y entregas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Entrevistas a docentes sobre la apropiación</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uso real confirma la intención declarada</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¿Mejora la competencia digital? (H₁)</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ICDA antes y después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Percepciones de estudiantes y docentes</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mejora estadística se interpreta con las experiencias reportadas</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Diagnóstico del contexto y decisiones de diseño.</w:t>
      </w:r>
    </w:p>
    <w:p>
      <w:pPr>
        <w:spacing w:after="0" w:before="0" w:line="480" w:lineRule="auto"/>
        <w:ind w:firstLine="720"/>
        <w:jc w:val="left"/>
      </w:pPr>
      <w:r>
        <w:rPr>
          <w:rFonts w:ascii="Times New Roman" w:cs="Times New Roman" w:eastAsia="Times New Roman" w:hAnsi="Times New Roman"/>
          <w:sz w:val="24"/>
          <w:szCs w:val="24"/>
        </w:rPr>
        <w:t xml:space="preserve">El diagnóstico no es un fin en sí mismo: sus resultados determinan decisiones concretas sobre la plataforma. La Tabla 19 establece, antes de recoger los datos, cómo cada hallazgo modifica el diseño, lo que reduce la subjetividad al especificar los requisitos y permite justificar los ajustes ante la institución.</w:t>
      </w:r>
    </w:p>
    <w:p>
      <w:pPr>
        <w:keepNext/>
        <w:spacing w:after="100" w:before="200" w:line="240" w:lineRule="auto"/>
      </w:pPr>
      <w:r>
        <w:rPr>
          <w:rFonts w:ascii="Times New Roman" w:cs="Times New Roman" w:eastAsia="Times New Roman" w:hAnsi="Times New Roman"/>
          <w:b/>
          <w:bCs/>
          <w:sz w:val="24"/>
          <w:szCs w:val="24"/>
        </w:rPr>
        <w:t xml:space="preserve">Tabla 19. </w:t>
      </w:r>
      <w:r>
        <w:rPr>
          <w:rFonts w:ascii="Times New Roman" w:cs="Times New Roman" w:eastAsia="Times New Roman" w:hAnsi="Times New Roman"/>
          <w:i/>
          <w:iCs/>
          <w:sz w:val="24"/>
          <w:szCs w:val="24"/>
        </w:rPr>
        <w:t xml:space="preserve">Reglas de decisión entre los hallazgos del diagnóstico y el diseño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Hallazgo del diagnóstico</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Umbral de referencia</w:t>
            </w:r>
          </w:p>
        </w:tc>
        <w:tc>
          <w:tcPr>
            <w:tcW w:type="dxa" w:w="3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Decisión de diseño</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Acceso de los estudiantes a un celular</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Menos del 60 % cuenta con celular propio o compartido</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Priorizar el uso desde la sala de cómputo y programar sesiones guiadas; mantener el diseño móvil como complemento</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Calidad de la conectividad en la institución y en los hogares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Menos del 50 % tiene conexión estable</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Reforzar los contenidos descargables, reducir el peso de los recursos y habilitar la entrega diferida</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Competencias digitales de los docentes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Más del 50 % se autoevalúa en nivel básico</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Ampliar las horas de capacitación y agregar acompañamiento presencial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Uso actual de herramientas digitales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Predominio de herramientas distintas a un LMS</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Aprovechar las herramientas conocidas e integrar sus contenidos en los cursos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Estado de la sala de cómputo</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Equipos insuficientes o sin red</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Reprogramar el piloto por turnos y limitar los recursos que requieran mayor capacidad</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Los umbrales son referencias de planificación y se ajustarán con el equipo y la institución.</w:t>
      </w:r>
    </w:p>
    <w:p>
      <w:pPr>
        <w:spacing w:after="0" w:before="0" w:line="480" w:lineRule="auto"/>
      </w:pPr>
      <w:r>
        <w:rPr>
          <w:rFonts w:ascii="Times New Roman" w:cs="Times New Roman" w:eastAsia="Times New Roman" w:hAnsi="Times New Roman"/>
          <w:b/>
          <w:bCs/>
          <w:sz w:val="24"/>
          <w:szCs w:val="24"/>
        </w:rPr>
        <w:t xml:space="preserve">Validez, confiabilidad y control de amenazas.</w:t>
      </w:r>
    </w:p>
    <w:p>
      <w:pPr>
        <w:spacing w:after="0" w:before="0" w:line="480" w:lineRule="auto"/>
        <w:ind w:firstLine="720"/>
        <w:jc w:val="left"/>
      </w:pPr>
      <w:r>
        <w:rPr>
          <w:rFonts w:ascii="Times New Roman" w:cs="Times New Roman" w:eastAsia="Times New Roman" w:hAnsi="Times New Roman"/>
          <w:sz w:val="24"/>
          <w:szCs w:val="24"/>
        </w:rPr>
        <w:t xml:space="preserve">El diseño preexperimental tiene limitaciones que se reconocen y se controlan en la medida de lo posible. La Tabla 20 describe las amenazas principales y las acciones previstas. Por esa razón, los resultados se interpretan como evidencia de viabilidad y de aceptación en el contexto, no como prueba causal del efecto de la plataforma.</w:t>
      </w:r>
    </w:p>
    <w:p>
      <w:pPr>
        <w:keepNext/>
        <w:spacing w:after="100" w:before="200" w:line="240" w:lineRule="auto"/>
      </w:pPr>
      <w:r>
        <w:rPr>
          <w:rFonts w:ascii="Times New Roman" w:cs="Times New Roman" w:eastAsia="Times New Roman" w:hAnsi="Times New Roman"/>
          <w:b/>
          <w:bCs/>
          <w:sz w:val="24"/>
          <w:szCs w:val="24"/>
        </w:rPr>
        <w:t xml:space="preserve">Tabla 20. </w:t>
      </w:r>
      <w:r>
        <w:rPr>
          <w:rFonts w:ascii="Times New Roman" w:cs="Times New Roman" w:eastAsia="Times New Roman" w:hAnsi="Times New Roman"/>
          <w:i/>
          <w:iCs/>
          <w:sz w:val="24"/>
          <w:szCs w:val="24"/>
        </w:rPr>
        <w:t xml:space="preserve">Amenazas a la validez y acciones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Amenaza</w:t>
            </w:r>
          </w:p>
        </w:tc>
        <w:tc>
          <w:tcPr>
            <w:tcW w:type="dxa" w:w="3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Descripción</w:t>
            </w:r>
          </w:p>
        </w:tc>
        <w:tc>
          <w:tcPr>
            <w:tcW w:type="dxa" w:w="38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Acción de control</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Historia</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Eventos externos al proyecto pueden influir en las mediciones</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Registrar los eventos relevantes del periodo y reportarlos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Maduración</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Los estudiantes mejoran su competencia por el simple paso del tiempo</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Limitar la duración del piloto y analizar con los registros de uso</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Efecto de novedad</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La motivación inicial por la novedad puede inflar los resultados</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Piloto de al menos cuatro semanas y mediciones de uso por semana</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Efecto de la prueba</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Familiaridad con el instrumento en la segunda medición</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Usar instrumentos breves y no revelar las respuestas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Sesgo de deseabilidad social</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Los participantes responden lo que creen esperado</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Garantizar el anonimato y combinar fuentes (triangulación)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Pérdida de participantes</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Estudiantes que no completan ambas mediciones</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Analizar solo los casos completos y reportar la pérdida</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Consideraciones éticas.</w:t>
      </w:r>
    </w:p>
    <w:p>
      <w:pPr>
        <w:spacing w:after="0" w:before="0" w:line="480" w:lineRule="auto"/>
        <w:ind w:firstLine="720"/>
        <w:jc w:val="left"/>
      </w:pPr>
      <w:r>
        <w:rPr>
          <w:rFonts w:ascii="Times New Roman" w:cs="Times New Roman" w:eastAsia="Times New Roman" w:hAnsi="Times New Roman"/>
          <w:sz w:val="24"/>
          <w:szCs w:val="24"/>
        </w:rPr>
        <w:t xml:space="preserve">Se solicitará consentimiento informado a los docentes y autorización a los acudientes, con asentimiento de los estudiantes menores de edad. La participación es voluntaria y puede retirarse en cualquier momento sin consecuencias académicas. Los datos serán anónimos, tratados con fines académicos y protegidos conforme a la Ley 1581 de 2012. El proyecto se clasifica como investigación sin riesgo según la Resolución 8430 de 1993 y los resultados se compartirán con la institución.</w:t>
      </w:r>
    </w:p>
    <w:p>
      <w:pPr>
        <w:pStyle w:val="Heading2"/>
        <w:keepNext/>
        <w:spacing w:after="0" w:before="0" w:line="480" w:lineRule="auto"/>
      </w:pPr>
      <w:r>
        <w:rPr>
          <w:rFonts w:ascii="Times New Roman" w:cs="Times New Roman" w:eastAsia="Times New Roman" w:hAnsi="Times New Roman"/>
          <w:b/>
          <w:bCs/>
          <w:sz w:val="24"/>
          <w:szCs w:val="24"/>
        </w:rPr>
        <w:t xml:space="preserve">Metodología de desarrollo tecnológico</w:t>
      </w:r>
    </w:p>
    <w:p>
      <w:pPr>
        <w:spacing w:after="0" w:before="0" w:line="480" w:lineRule="auto"/>
        <w:ind w:firstLine="720"/>
        <w:jc w:val="left"/>
      </w:pPr>
      <w:r>
        <w:rPr>
          <w:rFonts w:ascii="Times New Roman" w:cs="Times New Roman" w:eastAsia="Times New Roman" w:hAnsi="Times New Roman"/>
          <w:sz w:val="24"/>
          <w:szCs w:val="24"/>
        </w:rPr>
        <w:t xml:space="preserve">La metodología de desarrollo tecnológico combina un marco ágil de gestión del producto (Scrum) con el diseño instruccional de los cursos (ADDIE), de acuerdo con las actividades del proceso de software: especificación, diseño e implementación, validación y evolución (Sommerville, 2011). Esta combinación se eligió porque el producto tiene dos dimensiones inseparables: una dimensión tecnológica (la plataforma) y una dimensión pedagógica (los cursos y las actividades). Scrum aporta ciclos cortos con revisión constante de los interesados, adecuados para un contexto cambiante como el escolar; ADDIE aporta un proceso sistemático para diseñar los contenidos; y las ciencias del diseño enmarcan ambos dentro del proceso investigativo. La Figura 6 muestra cómo se integran los marcos en las tres fases.</w:t>
      </w:r>
    </w:p>
    <w:p>
      <w:pPr>
        <w:keepNext/>
        <w:spacing w:after="100" w:before="200" w:line="240" w:lineRule="auto"/>
      </w:pPr>
      <w:r>
        <w:rPr>
          <w:rFonts w:ascii="Times New Roman" w:cs="Times New Roman" w:eastAsia="Times New Roman" w:hAnsi="Times New Roman"/>
          <w:b/>
          <w:bCs/>
          <w:sz w:val="24"/>
          <w:szCs w:val="24"/>
        </w:rPr>
        <w:t xml:space="preserve">Figura 6. </w:t>
      </w:r>
      <w:r>
        <w:rPr>
          <w:rFonts w:ascii="Times New Roman" w:cs="Times New Roman" w:eastAsia="Times New Roman" w:hAnsi="Times New Roman"/>
          <w:i/>
          <w:iCs/>
          <w:sz w:val="24"/>
          <w:szCs w:val="24"/>
        </w:rPr>
        <w:t xml:space="preserve">Integración de las ciencias del diseño, Scrum, ADDIE e ingeniería de software por fase.</w:t>
      </w:r>
    </w:p>
    <w:p>
      <w:pPr>
        <w:keepNext/>
        <w:spacing w:after="60" w:before="60" w:line="240" w:lineRule="auto"/>
        <w:jc w:val="center"/>
      </w:pPr>
      <w:r>
        <w:drawing>
          <wp:inline distT="0" distB="0" distL="0" distR="0">
            <wp:extent cx="5848350" cy="2924175"/>
            <wp:effectExtent t="0" r="0" b="0" l="0"/>
            <wp:docPr id="1" name="Integración de las ciencias del diseño, Scrum, ADDIE e ingeniería de software por fase." descr="Integración de las ciencias del diseño, Scrum, ADDIE e ingeniería de software por fase." title="Integración de las ciencias del diseño, Scrum, ADDIE e ingeniería de software por f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92417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a partir de Peffers et al. (2007), Schwaber y Sutherland (2020), Branch (2009) y Sommerville (2011).</w:t>
      </w:r>
    </w:p>
    <w:p>
      <w:pPr>
        <w:pStyle w:val="Heading3"/>
        <w:keepNext/>
        <w:spacing w:after="0" w:before="0" w:line="480" w:lineRule="auto"/>
      </w:pPr>
      <w:r>
        <w:rPr>
          <w:rFonts w:ascii="Times New Roman" w:cs="Times New Roman" w:eastAsia="Times New Roman" w:hAnsi="Times New Roman"/>
          <w:b/>
          <w:bCs/>
          <w:i/>
          <w:iCs/>
          <w:sz w:val="24"/>
          <w:szCs w:val="24"/>
        </w:rPr>
        <w:t xml:space="preserve">Marco de trabajo Scrum</w:t>
      </w:r>
    </w:p>
    <w:p>
      <w:pPr>
        <w:spacing w:after="0" w:before="0" w:line="480" w:lineRule="auto"/>
        <w:ind w:firstLine="720"/>
        <w:jc w:val="left"/>
      </w:pPr>
      <w:r>
        <w:rPr>
          <w:rFonts w:ascii="Times New Roman" w:cs="Times New Roman" w:eastAsia="Times New Roman" w:hAnsi="Times New Roman"/>
          <w:sz w:val="24"/>
          <w:szCs w:val="24"/>
        </w:rPr>
        <w:t xml:space="preserve">El trabajo se organiza en 12 sprints de dos semanas, de acuerdo con el marco de Scrum (Schwaber y Sutherland, 2020). La institución (rectoría y docente líder) actúa como dueña del producto y prioriza la lista de pendientes (product backlog); el estudiante ejecuta los roles de desarrollador y facilitador, con el acompañamiento del director del proyecto. Cada sprint se planifica, se ejecuta con seguimiento frecuente, termina con una revisión del incremento con los interesados y se cierra con una retrospectiva para mejorar el proceso. El código y la configuración se gestionan con control de versiones en GitHub. La Figura 7 presenta el ciclo y la Tabla 21 los roles.</w:t>
      </w:r>
    </w:p>
    <w:p>
      <w:pPr>
        <w:keepNext/>
        <w:spacing w:after="100" w:before="200" w:line="240" w:lineRule="auto"/>
      </w:pPr>
      <w:r>
        <w:rPr>
          <w:rFonts w:ascii="Times New Roman" w:cs="Times New Roman" w:eastAsia="Times New Roman" w:hAnsi="Times New Roman"/>
          <w:b/>
          <w:bCs/>
          <w:sz w:val="24"/>
          <w:szCs w:val="24"/>
        </w:rPr>
        <w:t xml:space="preserve">Figura 7. </w:t>
      </w:r>
      <w:r>
        <w:rPr>
          <w:rFonts w:ascii="Times New Roman" w:cs="Times New Roman" w:eastAsia="Times New Roman" w:hAnsi="Times New Roman"/>
          <w:i/>
          <w:iCs/>
          <w:sz w:val="24"/>
          <w:szCs w:val="24"/>
        </w:rPr>
        <w:t xml:space="preserve">Ciclo de trabajo Scrum adaptado al proyecto.</w:t>
      </w:r>
    </w:p>
    <w:p>
      <w:pPr>
        <w:keepNext/>
        <w:spacing w:after="60" w:before="60" w:line="240" w:lineRule="auto"/>
        <w:jc w:val="center"/>
      </w:pPr>
      <w:r>
        <w:drawing>
          <wp:inline distT="0" distB="0" distL="0" distR="0">
            <wp:extent cx="5667375" cy="2552700"/>
            <wp:effectExtent t="0" r="0" b="0" l="0"/>
            <wp:docPr id="1" name="Ciclo de trabajo Scrum adaptado al proyecto." descr="Ciclo de trabajo Scrum adaptado al proyecto." title="Ciclo de trabajo Scrum adaptado a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5270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Schwaber y Sutherland (2020).</w:t>
      </w:r>
    </w:p>
    <w:p>
      <w:pPr>
        <w:keepNext/>
        <w:spacing w:after="100" w:before="200" w:line="240" w:lineRule="auto"/>
      </w:pPr>
      <w:r>
        <w:rPr>
          <w:rFonts w:ascii="Times New Roman" w:cs="Times New Roman" w:eastAsia="Times New Roman" w:hAnsi="Times New Roman"/>
          <w:b/>
          <w:bCs/>
          <w:sz w:val="24"/>
          <w:szCs w:val="24"/>
        </w:rPr>
        <w:t xml:space="preserve">Tabla 21. </w:t>
      </w:r>
      <w:r>
        <w:rPr>
          <w:rFonts w:ascii="Times New Roman" w:cs="Times New Roman" w:eastAsia="Times New Roman" w:hAnsi="Times New Roman"/>
          <w:i/>
          <w:iCs/>
          <w:sz w:val="24"/>
          <w:szCs w:val="24"/>
        </w:rPr>
        <w:t xml:space="preserve">Roles, eventos y artefactos de Scrum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Elemento</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Responsable o descripción</w:t>
            </w:r>
          </w:p>
        </w:tc>
        <w:tc>
          <w:tcPr>
            <w:tcW w:type="dxa" w:w="3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Función en el proyecto</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Dueño del producto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Rectoría y docente líder de la I.E. El Carmelo</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Prioriza el backlog y acepta los incrementos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Equipo de desarrollo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Estudiantes ejecutores del proyecto</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Instalan, configuran, diseñan los cursos, prueban y documentan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Facilitador (Scrum Master)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Estudiante designado por el equipo</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Garantiza que se cumplan los eventos y elimina impedimentos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Director del proyecto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Director del proyecto UNAD</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Acompaña, revisa y valida los entregables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Planificación del sprint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Inicio de cada sprint</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Define el objetivo y selecciona los elementos del backlog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Seguimiento breve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Dos o tres veces por semana (virtual o presencial)</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Verifica el avance y detecta impedimentos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Revisión y retrospectiva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Final de cada sprint</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Presenta el incremento, recoge observaciones y mejora el proceso</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Artefactos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Product backlog, sprint backlog e incremento</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Hacen visible el trabajo pendiente, el planificado y el entregado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ind w:firstLine="720"/>
        <w:jc w:val="left"/>
      </w:pPr>
      <w:r>
        <w:rPr>
          <w:rFonts w:ascii="Times New Roman" w:cs="Times New Roman" w:eastAsia="Times New Roman" w:hAnsi="Times New Roman"/>
          <w:sz w:val="24"/>
          <w:szCs w:val="24"/>
        </w:rPr>
        <w:t xml:space="preserve">La Tabla 22 distribuye los objetivos de cada sprint a lo largo de los seis meses, en coherencia con el cronograma.</w:t>
      </w:r>
    </w:p>
    <w:p>
      <w:pPr>
        <w:keepNext/>
        <w:spacing w:after="100" w:before="200" w:line="240" w:lineRule="auto"/>
      </w:pPr>
      <w:r>
        <w:rPr>
          <w:rFonts w:ascii="Times New Roman" w:cs="Times New Roman" w:eastAsia="Times New Roman" w:hAnsi="Times New Roman"/>
          <w:b/>
          <w:bCs/>
          <w:sz w:val="24"/>
          <w:szCs w:val="24"/>
        </w:rPr>
        <w:t xml:space="preserve">Tabla 22. </w:t>
      </w:r>
      <w:r>
        <w:rPr>
          <w:rFonts w:ascii="Times New Roman" w:cs="Times New Roman" w:eastAsia="Times New Roman" w:hAnsi="Times New Roman"/>
          <w:i/>
          <w:iCs/>
          <w:sz w:val="24"/>
          <w:szCs w:val="24"/>
        </w:rPr>
        <w:t xml:space="preserve">Plan de sprints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560"/>
        <w:gridCol w:w="30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Sprint</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Semanas</w:t>
            </w:r>
          </w:p>
        </w:tc>
        <w:tc>
          <w:tcPr>
            <w:tcW w:type="dxa" w:w="4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Objetivo del sprint</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Incremento o entregable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1–2</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Arrancar el proyecto: permisos, consentimientos, instrumentos y visión del producto</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Instrumentos validados; backlog inicial</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3–4</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Aplicar los instrumentos e inventariar la infraestructura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Datos del diagnóstico recolectados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5–6</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Analizar los datos, especificar requisitos y preparar los entornos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Requisitos priorizados; servidor de pruebas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7–8</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Diseñar la arquitectura, los prototipos y la estructura pedagógica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Documento de diagnóstico y requisitos; prototipos aprobados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9–10</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Configurar la plataforma base y construir el curso plantilla y el primer curso</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Plataforma con roles, tema y un curso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11–12</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Construir los cursos del segundo grupo de áreas, el banco de preguntas y los contenidos H5P</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Segundo curso y recursos interactivos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13–14</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Construir el tercer curso, configurar las copias de respaldo y realizar pruebas de seguridad; iniciar la capacitación docente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Tercer curso; respaldo operativo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15–16</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Pruebas de usabilidad, ajustes y manual de usuario; cierre de la Fase 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Plataforma funcional con contenidos (TRL 3–4)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17–18</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Iniciar el piloto con estudiantes y acompañar a los docentes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Piloto en ejecución (semanas 1 y 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19–20</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Completar el piloto y aplicar SUS, TAM e ICDA</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Datos de evaluación recolectados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21–22</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Analizar resultados, realizar entrevistas finales y hacer ajustes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Análisis de resultados; ajustes aplicados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23–24</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Elaborar el informe final y la guía de transición digital; cerrar el proyecto</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Plataforma validada (TRL 5), informe y guía</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Gestión de la configuración y de la calidad.</w:t>
      </w:r>
    </w:p>
    <w:p>
      <w:pPr>
        <w:spacing w:after="0" w:before="0" w:line="480" w:lineRule="auto"/>
        <w:ind w:firstLine="720"/>
        <w:jc w:val="left"/>
      </w:pPr>
      <w:r>
        <w:rPr>
          <w:rFonts w:ascii="Times New Roman" w:cs="Times New Roman" w:eastAsia="Times New Roman" w:hAnsi="Times New Roman"/>
          <w:sz w:val="24"/>
          <w:szCs w:val="24"/>
        </w:rPr>
        <w:t xml:space="preserve">Se manejarán tres entornos: desarrollo (equipo local), pruebas (servidor en la nube, para validar los incrementos con los docentes) y producción (plataforma que usan los estudiantes en el piloto). Los cambios de configuración, los temas y la documentación se versionan en GitHub, con una rama principal estable y ramas por cada elemento del backlog. Un elemento se considera terminado cuando cumple los siguientes criterios de la definición de terminado:</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Cumple los criterios de aceptación de su historia de usuario.</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Superó las pruebas funcionales y de acceso desde el celular.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Fue revisado por el director del proyecto o por el dueño del producto.</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Está documentado en la guía de configuración o en el manual de usuario.</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Se desplegó en el entorno de pruebas sin errores críticos pendientes.</w:t>
      </w:r>
    </w:p>
    <w:p>
      <w:pPr>
        <w:pStyle w:val="Heading3"/>
        <w:keepNext/>
        <w:spacing w:after="0" w:before="0" w:line="480" w:lineRule="auto"/>
      </w:pPr>
      <w:r>
        <w:rPr>
          <w:rFonts w:ascii="Times New Roman" w:cs="Times New Roman" w:eastAsia="Times New Roman" w:hAnsi="Times New Roman"/>
          <w:b/>
          <w:bCs/>
          <w:i/>
          <w:iCs/>
          <w:sz w:val="24"/>
          <w:szCs w:val="24"/>
        </w:rPr>
        <w:t xml:space="preserve">Análisis de requerimientos</w:t>
      </w:r>
    </w:p>
    <w:p>
      <w:pPr>
        <w:spacing w:after="0" w:before="0" w:line="480" w:lineRule="auto"/>
        <w:ind w:firstLine="720"/>
        <w:jc w:val="left"/>
      </w:pPr>
      <w:r>
        <w:rPr>
          <w:rFonts w:ascii="Times New Roman" w:cs="Times New Roman" w:eastAsia="Times New Roman" w:hAnsi="Times New Roman"/>
          <w:sz w:val="24"/>
          <w:szCs w:val="24"/>
        </w:rPr>
        <w:t xml:space="preserve">El análisis de requerimientos traduce el problema y las necesidades de los usuarios en condiciones verificables que debe cumplir la plataforma. Para su redacción se siguen las buenas prácticas de ISO/IEC/IEEE 29148 (2018): cada requisito debe ser necesario, no ambiguo, verificable y trazable. Los requisitos son preliminares porque se completarán y confirmarán con los resultados del diagnóstico (Fase 1 del procedimiento). Para el levantamiento se emplean la encuesta de diagnóstico, las entrevistas a directivos y docentes líderes, la observación del uso actual de las TIC y la revisión de los documentos institucionales, y para la priorización se aplica el método MoSCoW (debe, debería, podría).</w:t>
      </w:r>
    </w:p>
    <w:p>
      <w:pPr>
        <w:spacing w:after="0" w:before="0" w:line="480" w:lineRule="auto"/>
      </w:pPr>
      <w:r>
        <w:rPr>
          <w:rFonts w:ascii="Times New Roman" w:cs="Times New Roman" w:eastAsia="Times New Roman" w:hAnsi="Times New Roman"/>
          <w:b/>
          <w:bCs/>
          <w:sz w:val="24"/>
          <w:szCs w:val="24"/>
        </w:rPr>
        <w:t xml:space="preserve">Partes interesadas.</w:t>
      </w:r>
    </w:p>
    <w:p>
      <w:pPr>
        <w:keepNext/>
        <w:spacing w:after="100" w:before="200" w:line="240" w:lineRule="auto"/>
      </w:pPr>
      <w:r>
        <w:rPr>
          <w:rFonts w:ascii="Times New Roman" w:cs="Times New Roman" w:eastAsia="Times New Roman" w:hAnsi="Times New Roman"/>
          <w:b/>
          <w:bCs/>
          <w:sz w:val="24"/>
          <w:szCs w:val="24"/>
        </w:rPr>
        <w:t xml:space="preserve">Tabla 23. </w:t>
      </w:r>
      <w:r>
        <w:rPr>
          <w:rFonts w:ascii="Times New Roman" w:cs="Times New Roman" w:eastAsia="Times New Roman" w:hAnsi="Times New Roman"/>
          <w:i/>
          <w:iCs/>
          <w:sz w:val="24"/>
          <w:szCs w:val="24"/>
        </w:rPr>
        <w:t xml:space="preserve">Partes interesadas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860"/>
        <w:gridCol w:w="11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Parte interesada</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Rol frente a la plataforma</w:t>
            </w:r>
          </w:p>
        </w:tc>
        <w:tc>
          <w:tcPr>
            <w:tcW w:type="dxa" w:w="38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Necesidad principal</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Influencia</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Estudiantes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Usuario final</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Acceder fácilmente a contenidos y actividades, incluso con conexión limitada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Media</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Docentes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Usuario y gestor de contenidos</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Organizar su enseñanza, evaluar y hacer seguimiento con poco esfuerzo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Alta</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Rectoría y coordinación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Dueño del producto</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Mejorar los procesos institucionales con una solución sostenible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Alta</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Acudientes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Interesado externo</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Garantía de uso seguro de los datos de sus hijos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Media</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Estudiantes ejecutores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Equipo de desarrollo</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Entregar un producto validado dentro del tiempo previsto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Alta</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Director del proyecto UNAD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Acompañamiento y evaluación</w:t>
            </w:r>
          </w:p>
        </w:tc>
        <w:tc>
          <w:tcPr>
            <w:tcW w:type="dxa" w:w="3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Calidad académica y técnica del proyecto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Alta</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Historias de usuario.</w:t>
      </w:r>
    </w:p>
    <w:p>
      <w:pPr>
        <w:spacing w:after="0" w:before="0" w:line="480" w:lineRule="auto"/>
        <w:ind w:firstLine="720"/>
        <w:jc w:val="left"/>
      </w:pPr>
      <w:r>
        <w:rPr>
          <w:rFonts w:ascii="Times New Roman" w:cs="Times New Roman" w:eastAsia="Times New Roman" w:hAnsi="Times New Roman"/>
          <w:sz w:val="24"/>
          <w:szCs w:val="24"/>
        </w:rPr>
        <w:t xml:space="preserve">Las historias de usuario describen las necesidades desde la perspectiva de cada rol (Cohn, 2004). La Tabla 24 recoge las 15 historias del producto, con su prioridad y sus criterios de aceptación.</w:t>
      </w:r>
    </w:p>
    <w:p>
      <w:pPr>
        <w:keepNext/>
        <w:spacing w:after="100" w:before="200" w:line="240" w:lineRule="auto"/>
      </w:pPr>
      <w:r>
        <w:rPr>
          <w:rFonts w:ascii="Times New Roman" w:cs="Times New Roman" w:eastAsia="Times New Roman" w:hAnsi="Times New Roman"/>
          <w:b/>
          <w:bCs/>
          <w:sz w:val="24"/>
          <w:szCs w:val="24"/>
        </w:rPr>
        <w:t xml:space="preserve">Tabla 24. </w:t>
      </w:r>
      <w:r>
        <w:rPr>
          <w:rFonts w:ascii="Times New Roman" w:cs="Times New Roman" w:eastAsia="Times New Roman" w:hAnsi="Times New Roman"/>
          <w:i/>
          <w:iCs/>
          <w:sz w:val="24"/>
          <w:szCs w:val="24"/>
        </w:rPr>
        <w:t xml:space="preserve">Historias de usuario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900"/>
        <w:gridCol w:w="36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ID</w:t>
            </w:r>
          </w:p>
        </w:tc>
        <w:tc>
          <w:tcPr>
            <w:tcW w:type="dxa" w:w="4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Historia de usuario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Prioridad</w:t>
            </w:r>
          </w:p>
        </w:tc>
        <w:tc>
          <w:tcPr>
            <w:tcW w:type="dxa" w:w="3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Criterios de aceptación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HU01</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estudiante o docente, quiero ingresar con mi usuario y contraseña desde el celular o el computador, para acceder a mis cursos.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Ingreso exitoso en menos de 10 s con conexión limitada; mensaje claro ante credenciales erróneas</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HU02</w:t>
            </w:r>
          </w:p>
        </w:tc>
        <w:tc>
          <w:tcPr>
            <w:tcW w:type="dxa" w:w="41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estudiante, quiero ver mis cursos, mis fechas de entrega y mi progreso, para saber qué debo hacer.</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tablero muestra cursos, actividades pendientes y porcentaje de avance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HU03</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estudiante, quiero descargar guías y recursos, para estudiar sin conexión continua.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Los recursos marcados como descargables se abren sin conexión desde la aplicación móvil</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HU04</w:t>
            </w:r>
          </w:p>
        </w:tc>
        <w:tc>
          <w:tcPr>
            <w:tcW w:type="dxa" w:w="41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estudiante, quiero resolver cuestionarios y ver mi resultado de inmediato, para recibir retroalimentación oportuna.</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cuestionario califica automáticamente y muestra la retroalimentación configurada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HU05</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estudiante, quiero entregar tareas desde el celular, para no depender del cuaderno ni de la presencialidad.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Se pueden adjuntar archivos o escribir texto y se confirma la recepción</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HU06</w:t>
            </w:r>
          </w:p>
        </w:tc>
        <w:tc>
          <w:tcPr>
            <w:tcW w:type="dxa" w:w="41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estudiante, quiero participar en foros y recibir avisos, para comunicarme con mis compañeros y mi docente.</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c>
          <w:tcPr>
            <w:tcW w:type="dxa" w:w="3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Se pueden publicar y responder mensajes; los avisos llegan al foro de novedades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HU07</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estudiante, quiero consultar mis calificaciones y la retroalimentación del docente, para mejorar mi aprendizaje.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libro de calificaciones muestra solo las notas propias, con comentarios</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HU08</w:t>
            </w:r>
          </w:p>
        </w:tc>
        <w:tc>
          <w:tcPr>
            <w:tcW w:type="dxa" w:w="41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docente, quiero crear y organizar cursos por unidades, para estructurar mis clases.</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Se crea un curso desde la plantilla con unidades y actividades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HU09</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docente, quiero publicar recursos (PDF, video, H5P y enlaces), para enriquecer mis clases.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Los recursos se publican, se ocultan o se muestran por unidad</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HU10</w:t>
            </w:r>
          </w:p>
        </w:tc>
        <w:tc>
          <w:tcPr>
            <w:tcW w:type="dxa" w:w="41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docente, quiero crear cuestionarios con un banco de preguntas, para evaluar a mis estudiantes de forma ágil.</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Se crean preguntas por categoría y se reutilizan en varios cuestionarios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HU11</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docente, quiero calificar con rúbricas y retroalimentar, para valorar los productos de manera objetiva.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rúbrica genera la nota y el estudiante visualiza los criterios</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HU12</w:t>
            </w:r>
          </w:p>
        </w:tc>
        <w:tc>
          <w:tcPr>
            <w:tcW w:type="dxa" w:w="41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docente, quiero ver reportes de participación y desempeño, para hacer seguimiento a cada estudiante.</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c>
          <w:tcPr>
            <w:tcW w:type="dxa" w:w="3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informe muestra accesos, entregas y calificaciones por estudiante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HU13</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administrador, quiero gestionar usuarios, roles y matrículas, incluso de forma masiva, para organizar la plataforma.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Se cargan usuarios desde un archivo y se asignan roles y cursos</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HU14</w:t>
            </w:r>
          </w:p>
        </w:tc>
        <w:tc>
          <w:tcPr>
            <w:tcW w:type="dxa" w:w="41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administrador, quiero contar con copias de respaldo automáticas y poder restaurarlas, para proteger la información.</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c>
          <w:tcPr>
            <w:tcW w:type="dxa" w:w="3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Existe copia diaria de la base de datos y una restauración verificada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HU15</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Como directivo, quiero consultar reportes de uso de la plataforma, para tomar decisiones institucionales.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c>
          <w:tcPr>
            <w:tcW w:type="dxa" w:w="3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Existe un informe de uso por curso y por periodo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el formato de Cohn (2004).</w:t>
      </w:r>
    </w:p>
    <w:p>
      <w:pPr>
        <w:spacing w:after="0" w:before="0" w:line="480" w:lineRule="auto"/>
      </w:pPr>
      <w:r>
        <w:rPr>
          <w:rFonts w:ascii="Times New Roman" w:cs="Times New Roman" w:eastAsia="Times New Roman" w:hAnsi="Times New Roman"/>
          <w:b/>
          <w:bCs/>
          <w:sz w:val="24"/>
          <w:szCs w:val="24"/>
        </w:rPr>
        <w:t xml:space="preserve">Requisitos funcionales.</w:t>
      </w:r>
    </w:p>
    <w:p>
      <w:pPr>
        <w:spacing w:after="0" w:before="0" w:line="480" w:lineRule="auto"/>
        <w:ind w:firstLine="720"/>
        <w:jc w:val="left"/>
      </w:pPr>
      <w:r>
        <w:rPr>
          <w:rFonts w:ascii="Times New Roman" w:cs="Times New Roman" w:eastAsia="Times New Roman" w:hAnsi="Times New Roman"/>
          <w:sz w:val="24"/>
          <w:szCs w:val="24"/>
        </w:rPr>
        <w:t xml:space="preserve">Los requisitos funcionales describen lo que el sistema debe hacer. Muchos corresponden a funciones nativas de Moodle que se configuran, y otros a la adaptación del prototipo al contexto (tema, plantillas de curso, instrumentos de evaluación). La Tabla 25 los presenta.</w:t>
      </w:r>
    </w:p>
    <w:p>
      <w:pPr>
        <w:keepNext/>
        <w:spacing w:after="100" w:before="200" w:line="240" w:lineRule="auto"/>
      </w:pPr>
      <w:r>
        <w:rPr>
          <w:rFonts w:ascii="Times New Roman" w:cs="Times New Roman" w:eastAsia="Times New Roman" w:hAnsi="Times New Roman"/>
          <w:b/>
          <w:bCs/>
          <w:sz w:val="24"/>
          <w:szCs w:val="24"/>
        </w:rPr>
        <w:t xml:space="preserve">Tabla 25. </w:t>
      </w:r>
      <w:r>
        <w:rPr>
          <w:rFonts w:ascii="Times New Roman" w:cs="Times New Roman" w:eastAsia="Times New Roman" w:hAnsi="Times New Roman"/>
          <w:i/>
          <w:iCs/>
          <w:sz w:val="24"/>
          <w:szCs w:val="24"/>
        </w:rPr>
        <w:t xml:space="preserve">Requisitos funcionales preliminares.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00"/>
        <w:gridCol w:w="1500"/>
        <w:gridCol w:w="136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ID</w:t>
            </w:r>
          </w:p>
        </w:tc>
        <w:tc>
          <w:tcPr>
            <w:tcW w:type="dxa" w:w="5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Requisito</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Historia</w:t>
            </w:r>
          </w:p>
        </w:tc>
        <w:tc>
          <w:tcPr>
            <w:tcW w:type="dxa" w:w="1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Prioridad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RF01</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Autenticar a los usuarios con usuario y contraseña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HU01</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RF02</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Permitir la recuperación de contraseña por correo o por el administrador</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HU01</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RF03</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Gestionar roles (administrador, docente, estudiante y directivo) con permisos diferenciados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HU13</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RF04</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Registrar usuarios individualmente y mediante carga masiva desde un archivo</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HU13</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RF05</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Matricular a los usuarios en los cursos según su rol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HU13</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RF06</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Crear y editar cursos organizados por unidades, a partir de una plantilla</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HU08</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RF07</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Publicar recursos: archivos, enlaces, videos y páginas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HU09</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RF08</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Incorporar contenidos interactivos H5P</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HU09</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RF09</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Permitir la descarga de recursos y el acceso desde la aplicación móvil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HU03</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RF10</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Administrar un banco de preguntas por categorías</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HU10</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RF11</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Crear cuestionarios con calificación y retroalimentación automáticas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HU04, HU10</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RF12</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Recibir tareas en archivo o texto en línea con confirmación de entrega</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HU05</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RF13</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Calificar con rúbricas y emitir retroalimentación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HU11</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RF14</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Ofrecer foros del curso y un foro de novedades</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HU06</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RF15</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Ofrecer talleres de evaluación entre pares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HU11</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Podría</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RF16</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Mostrar al estudiante su libro de calificaciones</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HU07</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RF17</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Registrar el progreso por actividad completada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HU02</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RF18</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Mostrar un tablero personal con cursos y fechas de entrega</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HU02</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RF19</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Generar informes de participación y calificaciones por curso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HU12</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RF20</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Generar informes de uso institucional para los directivos</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HU15</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Debería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RF21</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Realizar copias de respaldo automáticas y permitir su restauración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HU14</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RF22</w:t>
            </w:r>
          </w:p>
        </w:tc>
        <w:tc>
          <w:tcPr>
            <w:tcW w:type="dxa" w:w="5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Ofrecer mensajería interna y notificaciones</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HU06</w:t>
            </w:r>
          </w:p>
        </w:tc>
        <w:tc>
          <w:tcPr>
            <w:tcW w:type="dxa" w:w="1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Podría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RF23</w:t>
            </w:r>
          </w:p>
        </w:tc>
        <w:tc>
          <w:tcPr>
            <w:tcW w:type="dxa" w:w="5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Aplicar las encuestas SUS y TAM dentro de la plataforma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Evaluación (OE3)</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Debe</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Requisitos no funcionales.</w:t>
      </w:r>
    </w:p>
    <w:p>
      <w:pPr>
        <w:spacing w:after="0" w:before="0" w:line="480" w:lineRule="auto"/>
        <w:ind w:firstLine="720"/>
        <w:jc w:val="left"/>
      </w:pPr>
      <w:r>
        <w:rPr>
          <w:rFonts w:ascii="Times New Roman" w:cs="Times New Roman" w:eastAsia="Times New Roman" w:hAnsi="Times New Roman"/>
          <w:sz w:val="24"/>
          <w:szCs w:val="24"/>
        </w:rPr>
        <w:t xml:space="preserve">Los requisitos no funcionales establecen las cualidades de calidad del sistema. Se clasifican según las características de calidad del modelo ISO/IEC 25010 (2011) y cada uno tiene un criterio verificable. Los valores numéricos son referencias de partida que se confirmarán con el diagnóstico.</w:t>
      </w:r>
    </w:p>
    <w:p>
      <w:pPr>
        <w:keepNext/>
        <w:spacing w:after="100" w:before="200" w:line="240" w:lineRule="auto"/>
      </w:pPr>
      <w:r>
        <w:rPr>
          <w:rFonts w:ascii="Times New Roman" w:cs="Times New Roman" w:eastAsia="Times New Roman" w:hAnsi="Times New Roman"/>
          <w:b/>
          <w:bCs/>
          <w:sz w:val="24"/>
          <w:szCs w:val="24"/>
        </w:rPr>
        <w:t xml:space="preserve">Tabla 26. </w:t>
      </w:r>
      <w:r>
        <w:rPr>
          <w:rFonts w:ascii="Times New Roman" w:cs="Times New Roman" w:eastAsia="Times New Roman" w:hAnsi="Times New Roman"/>
          <w:i/>
          <w:iCs/>
          <w:sz w:val="24"/>
          <w:szCs w:val="24"/>
        </w:rPr>
        <w:t xml:space="preserve">Requisitos no funcionales preliminares.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400"/>
        <w:gridCol w:w="236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ID</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Característica</w:t>
            </w:r>
          </w:p>
        </w:tc>
        <w:tc>
          <w:tcPr>
            <w:tcW w:type="dxa" w:w="4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Requisito</w:t>
            </w:r>
          </w:p>
        </w:tc>
        <w:tc>
          <w:tcPr>
            <w:tcW w:type="dxa" w:w="2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Verificación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RNF01</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Eficiencia de desempeño</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Las páginas principales deben cargar en 5 segundos o menos con una conexión de referencia de 1 Mbps</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Prueba de carga PR-01</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RNF02</w:t>
            </w:r>
          </w:p>
        </w:tc>
        <w:tc>
          <w:tcPr>
            <w:tcW w:type="dxa" w:w="1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Eficiencia de desempeño</w:t>
            </w:r>
          </w:p>
        </w:tc>
        <w:tc>
          <w:tcPr>
            <w:tcW w:type="dxa" w:w="4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Los recursos deben ser livianos: videos de 10 MB o menos y documentos PDF de 5 MB o menos por recurso</w:t>
            </w:r>
          </w:p>
        </w:tc>
        <w:tc>
          <w:tcPr>
            <w:tcW w:type="dxa" w:w="2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Revisión de contenidos por sprint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RNF03</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Usabilidad</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puntaje SUS promedio debe ser igual o superior a 68</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Escala SUS al final del piloto</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RNF04</w:t>
            </w:r>
          </w:p>
        </w:tc>
        <w:tc>
          <w:tcPr>
            <w:tcW w:type="dxa" w:w="1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Usabilidad</w:t>
            </w:r>
          </w:p>
        </w:tc>
        <w:tc>
          <w:tcPr>
            <w:tcW w:type="dxa" w:w="4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interfaz debe estar en español y permitir llegar a cualquier actividad en tres clics o menos</w:t>
            </w:r>
          </w:p>
        </w:tc>
        <w:tc>
          <w:tcPr>
            <w:tcW w:type="dxa" w:w="2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Prueba de usabilidad PU-01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Accesibilidad</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contenido debe cumplir los criterios de contraste, texto alternativo y navegación de WCAG 2.1 en lo aplicable</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Lista de verificación PA-01</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RNF06</w:t>
            </w:r>
          </w:p>
        </w:tc>
        <w:tc>
          <w:tcPr>
            <w:tcW w:type="dxa" w:w="1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Compatibilidad</w:t>
            </w:r>
          </w:p>
        </w:tc>
        <w:tc>
          <w:tcPr>
            <w:tcW w:type="dxa" w:w="4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plataforma debe funcionar en los navegadores actuales y en celulares Android con diseño adaptable</w:t>
            </w:r>
          </w:p>
        </w:tc>
        <w:tc>
          <w:tcPr>
            <w:tcW w:type="dxa" w:w="2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Pruebas en dispositivos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RNF07</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Fiabilidad</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disponibilidad debe ser de 95 % o más en el horario escolar durante el piloto</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Monitoreo del servidor</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RNF08</w:t>
            </w:r>
          </w:p>
        </w:tc>
        <w:tc>
          <w:tcPr>
            <w:tcW w:type="dxa" w:w="1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Fiabilidad</w:t>
            </w:r>
          </w:p>
        </w:tc>
        <w:tc>
          <w:tcPr>
            <w:tcW w:type="dxa" w:w="4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Debe existir copia diaria de la base de datos y una restauración verificada al final de cada sprint</w:t>
            </w:r>
          </w:p>
        </w:tc>
        <w:tc>
          <w:tcPr>
            <w:tcW w:type="dxa" w:w="2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Prueba PS-02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RNF09</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Seguridad</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Debe usarse HTTPS, contraseñas robustas y roles con el mínimo privilegio necesario</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Prueba PS-01</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RNF10</w:t>
            </w:r>
          </w:p>
        </w:tc>
        <w:tc>
          <w:tcPr>
            <w:tcW w:type="dxa" w:w="1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Seguridad y legalidad</w:t>
            </w:r>
          </w:p>
        </w:tc>
        <w:tc>
          <w:tcPr>
            <w:tcW w:type="dxa" w:w="4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Se tratarán solo los datos personales necesarios, con consentimiento, conforme a la Ley 1581 de 2012</w:t>
            </w:r>
          </w:p>
        </w:tc>
        <w:tc>
          <w:tcPr>
            <w:tcW w:type="dxa" w:w="2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Revisión de formatos y de configuración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RNF11</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Mantenibilidad</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configuración debe estar documentada y versionada, de modo que un tercero pueda reproducirla</w:t>
            </w:r>
          </w:p>
        </w:tc>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Revisión de la guía de configuración</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RNF12</w:t>
            </w:r>
          </w:p>
        </w:tc>
        <w:tc>
          <w:tcPr>
            <w:tcW w:type="dxa" w:w="1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Portabilidad y sostenibilidad</w:t>
            </w:r>
          </w:p>
        </w:tc>
        <w:tc>
          <w:tcPr>
            <w:tcW w:type="dxa" w:w="4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Solo se usarán componentes de licencia libre y se entregará una guía para replicar la solución</w:t>
            </w:r>
          </w:p>
        </w:tc>
        <w:tc>
          <w:tcPr>
            <w:tcW w:type="dxa" w:w="2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Revisión de licencias y de la guía</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ISO/IEC 25010 (2011).</w:t>
      </w:r>
    </w:p>
    <w:p>
      <w:pPr>
        <w:spacing w:after="0" w:before="0" w:line="480" w:lineRule="auto"/>
      </w:pPr>
      <w:r>
        <w:rPr>
          <w:rFonts w:ascii="Times New Roman" w:cs="Times New Roman" w:eastAsia="Times New Roman" w:hAnsi="Times New Roman"/>
          <w:b/>
          <w:bCs/>
          <w:sz w:val="24"/>
          <w:szCs w:val="24"/>
        </w:rPr>
        <w:t xml:space="preserve">Reglas de negocio y restricciones.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Solo los usuarios autorizados por la institución tienen cuenta; el administrador es el único que crea cuentas y asigna roles.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 estudiante únicamente puede ver sus propias calificaciones y los cursos en los que está matriculado.</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Los docentes administran únicamente los cursos que tienen a su cargo.</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Los datos de los participantes se usan solo con fines académicos y del proyecto, y se identifican con códigos en los análisis.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Restricción de tiempo: el proyecto debe ejecutarse en un máximo de seis meses.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Restricción tecnológica: la solución debe operar con conectividad limitada y sin licencias de pago.</w:t>
      </w:r>
    </w:p>
    <w:p>
      <w:pPr>
        <w:spacing w:after="0" w:before="0" w:line="480" w:lineRule="auto"/>
      </w:pPr>
      <w:r>
        <w:rPr>
          <w:rFonts w:ascii="Times New Roman" w:cs="Times New Roman" w:eastAsia="Times New Roman" w:hAnsi="Times New Roman"/>
          <w:b/>
          <w:bCs/>
          <w:sz w:val="24"/>
          <w:szCs w:val="24"/>
        </w:rPr>
        <w:t xml:space="preserve">Casos de uso.</w:t>
      </w:r>
    </w:p>
    <w:p>
      <w:pPr>
        <w:spacing w:after="0" w:before="0" w:line="480" w:lineRule="auto"/>
        <w:ind w:firstLine="720"/>
        <w:jc w:val="left"/>
      </w:pPr>
      <w:r>
        <w:rPr>
          <w:rFonts w:ascii="Times New Roman" w:cs="Times New Roman" w:eastAsia="Times New Roman" w:hAnsi="Times New Roman"/>
          <w:sz w:val="24"/>
          <w:szCs w:val="24"/>
        </w:rPr>
        <w:t xml:space="preserve">La Figura 8 presenta el diagrama de casos de uso del sistema con cuatro actores: estudiante, docente, administrador y directivo. La Tabla 27 describe cada caso de uso de manera resumida.</w:t>
      </w:r>
    </w:p>
    <w:p>
      <w:pPr>
        <w:keepNext/>
        <w:spacing w:after="100" w:before="200" w:line="240" w:lineRule="auto"/>
      </w:pPr>
      <w:r>
        <w:rPr>
          <w:rFonts w:ascii="Times New Roman" w:cs="Times New Roman" w:eastAsia="Times New Roman" w:hAnsi="Times New Roman"/>
          <w:b/>
          <w:bCs/>
          <w:sz w:val="24"/>
          <w:szCs w:val="24"/>
        </w:rPr>
        <w:t xml:space="preserve">Figura 8. </w:t>
      </w:r>
      <w:r>
        <w:rPr>
          <w:rFonts w:ascii="Times New Roman" w:cs="Times New Roman" w:eastAsia="Times New Roman" w:hAnsi="Times New Roman"/>
          <w:i/>
          <w:iCs/>
          <w:sz w:val="24"/>
          <w:szCs w:val="24"/>
        </w:rPr>
        <w:t xml:space="preserve">Diagrama de casos de uso de la plataforma.</w:t>
      </w:r>
    </w:p>
    <w:p>
      <w:pPr>
        <w:keepNext/>
        <w:spacing w:after="60" w:before="60" w:line="240" w:lineRule="auto"/>
        <w:jc w:val="center"/>
      </w:pPr>
      <w:r>
        <w:drawing>
          <wp:inline distT="0" distB="0" distL="0" distR="0">
            <wp:extent cx="5667375" cy="3829050"/>
            <wp:effectExtent t="0" r="0" b="0" l="0"/>
            <wp:docPr id="1" name="Diagrama de casos de uso de la plataforma." descr="Diagrama de casos de uso de la plataforma." title="Diagrama de casos de uso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8290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Todos los actores se autentican mediante CU01.</w:t>
      </w:r>
    </w:p>
    <w:p>
      <w:pPr>
        <w:keepNext/>
        <w:spacing w:after="100" w:before="200" w:line="240" w:lineRule="auto"/>
      </w:pPr>
      <w:r>
        <w:rPr>
          <w:rFonts w:ascii="Times New Roman" w:cs="Times New Roman" w:eastAsia="Times New Roman" w:hAnsi="Times New Roman"/>
          <w:b/>
          <w:bCs/>
          <w:sz w:val="24"/>
          <w:szCs w:val="24"/>
        </w:rPr>
        <w:t xml:space="preserve">Tabla 27. </w:t>
      </w:r>
      <w:r>
        <w:rPr>
          <w:rFonts w:ascii="Times New Roman" w:cs="Times New Roman" w:eastAsia="Times New Roman" w:hAnsi="Times New Roman"/>
          <w:i/>
          <w:iCs/>
          <w:sz w:val="24"/>
          <w:szCs w:val="24"/>
        </w:rPr>
        <w:t xml:space="preserve">Descripción resumida de los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500"/>
        <w:gridCol w:w="44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ID</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Caso de uso</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Actor</w:t>
            </w:r>
          </w:p>
        </w:tc>
        <w:tc>
          <w:tcPr>
            <w:tcW w:type="dxa" w:w="4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Descripción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CU01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Autenticarse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Todos</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usuario ingresa sus credenciales y el sistema valida su identidad y muestra su tablero</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CU02</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Gestionar usuarios, roles y matrículas</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Administrador</w:t>
            </w:r>
          </w:p>
        </w:tc>
        <w:tc>
          <w:tcPr>
            <w:tcW w:type="dxa" w:w="44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Crea cuentas (individual o masiva), asigna roles y matricula en cursos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CU03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Crear y organizar cursos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Docente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Crea un curso desde la plantilla y organiza las unidades</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CU04</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Publicar recursos y actividades</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Docente</w:t>
            </w:r>
          </w:p>
        </w:tc>
        <w:tc>
          <w:tcPr>
            <w:tcW w:type="dxa" w:w="44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Agrega recursos y actividades a cada unidad y define su visibilidad y disponibilidad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CU05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Crear cuestionarios y banco de preguntas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Docente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Registra preguntas por categoría y configura cuestionarios con retroalimentación</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CU06</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Calificar y retroalimentar</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Docente</w:t>
            </w:r>
          </w:p>
        </w:tc>
        <w:tc>
          <w:tcPr>
            <w:tcW w:type="dxa" w:w="44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Revisa entregas, califica con rúbricas y escribe comentarios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CU07</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Consultar contenidos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Estudiante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Navega por los cursos y accede a los recursos de cada unidad</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CU08</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Descargar recursos para uso sin conexión</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Estudiante</w:t>
            </w:r>
          </w:p>
        </w:tc>
        <w:tc>
          <w:tcPr>
            <w:tcW w:type="dxa" w:w="44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Descarga contenidos desde la aplicación móvil para consultarlos sin red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CU09</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Resolver actividades y cuestionarios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Estudiante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Responde las actividades y recibe el resultado y la retroalimentación</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CU10</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Participar en foros y entregar tareas</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Estudiante</w:t>
            </w:r>
          </w:p>
        </w:tc>
        <w:tc>
          <w:tcPr>
            <w:tcW w:type="dxa" w:w="44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Publica mensajes en foros y envía sus tareas dentro del plazo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CU11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Consultar calificaciones y progreso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Estudiante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Visualiza sus notas, comentarios y avance en cada curso</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CU12</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Generar reportes de uso y desempeño</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Docente y directivo</w:t>
            </w:r>
          </w:p>
        </w:tc>
        <w:tc>
          <w:tcPr>
            <w:tcW w:type="dxa" w:w="44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Obtiene informes de participación, calificaciones y uso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CU13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Realizar copias de respaldo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Administrador</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Programa, verifica y restaura las copias de la base de datos y de los archivos</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CU14</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Administrar y configurar la plataforma</w:t>
            </w:r>
          </w:p>
        </w:tc>
        <w:tc>
          <w:tcPr>
            <w:tcW w:type="dxa" w:w="15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Administrador</w:t>
            </w:r>
          </w:p>
        </w:tc>
        <w:tc>
          <w:tcPr>
            <w:tcW w:type="dxa" w:w="44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Configura el tema, los plugins, la seguridad y las políticas de uso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Trazabilidad de los requisitos.</w:t>
      </w:r>
    </w:p>
    <w:p>
      <w:pPr>
        <w:spacing w:after="0" w:before="0" w:line="480" w:lineRule="auto"/>
        <w:ind w:firstLine="720"/>
        <w:jc w:val="left"/>
      </w:pPr>
      <w:r>
        <w:rPr>
          <w:rFonts w:ascii="Times New Roman" w:cs="Times New Roman" w:eastAsia="Times New Roman" w:hAnsi="Times New Roman"/>
          <w:sz w:val="24"/>
          <w:szCs w:val="24"/>
        </w:rPr>
        <w:t xml:space="preserve">La matriz de trazabilidad de la Tabla 28 relaciona los objetivos específicos con las historias de usuario, los requisitos, los casos de uso y las pruebas, de modo que cada requisito pueda verificarse y que ningún objetivo quede sin cobertura.</w:t>
      </w:r>
    </w:p>
    <w:p>
      <w:pPr>
        <w:keepNext/>
        <w:spacing w:after="100" w:before="200" w:line="240" w:lineRule="auto"/>
      </w:pPr>
      <w:r>
        <w:rPr>
          <w:rFonts w:ascii="Times New Roman" w:cs="Times New Roman" w:eastAsia="Times New Roman" w:hAnsi="Times New Roman"/>
          <w:b/>
          <w:bCs/>
          <w:sz w:val="24"/>
          <w:szCs w:val="24"/>
        </w:rPr>
        <w:t xml:space="preserve">Tabla 28. </w:t>
      </w:r>
      <w:r>
        <w:rPr>
          <w:rFonts w:ascii="Times New Roman" w:cs="Times New Roman" w:eastAsia="Times New Roman" w:hAnsi="Times New Roman"/>
          <w:i/>
          <w:iCs/>
          <w:sz w:val="24"/>
          <w:szCs w:val="24"/>
        </w:rPr>
        <w:t xml:space="preserve">Matriz de trazabilidad de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2000"/>
        <w:gridCol w:w="1500"/>
        <w:gridCol w:w="136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Objetivo</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Necesidad</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Historias</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Requisitos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Casos de uso</w:t>
            </w:r>
          </w:p>
        </w:tc>
        <w:tc>
          <w:tcPr>
            <w:tcW w:type="dxa" w:w="1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Pruebas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OE1</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Conocer el contexto y definir requisitos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RNF01, RNF02, RNF05, RNF06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Instrumentos y diagnóstico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Acceso y autenticación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HU01, HU02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RF01, RF02, RF17, RF18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CU01, CU07</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PF-01, PF-02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Administración de usuarios y seguridad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HU13, HU14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RF03 a RF05, RF21; RNF07 a RNF10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CU02, CU13, CU14</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PF-03, PS-01, PS-02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Creación y publicación de contenidos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HU08, HU09</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RF06 a RF08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CU03, CU04</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PF-04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Acceso sin conexión continua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HU03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RF09; RNF01, RNF02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CU08</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PF-05, PR-01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Evaluación y seguimiento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HU04 a HU07, HU10 a HU12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RF10 a RF16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CU05, CU06, CU09 a CU11</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PF-06 a PF-09</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OE3</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Reportes, usabilidad y aceptación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HU12, HU15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RF19, RF20, RF23; RNF03, RNF04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CU12</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PF-10, PU-01</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pStyle w:val="Heading3"/>
        <w:keepNext/>
        <w:spacing w:after="0" w:before="0" w:line="480" w:lineRule="auto"/>
      </w:pPr>
      <w:r>
        <w:rPr>
          <w:rFonts w:ascii="Times New Roman" w:cs="Times New Roman" w:eastAsia="Times New Roman" w:hAnsi="Times New Roman"/>
          <w:b/>
          <w:bCs/>
          <w:i/>
          <w:iCs/>
          <w:sz w:val="24"/>
          <w:szCs w:val="24"/>
        </w:rPr>
        <w:t xml:space="preserve">Diseño preliminar del prototipo</w:t>
      </w:r>
    </w:p>
    <w:p>
      <w:pPr>
        <w:spacing w:after="0" w:before="0" w:line="480" w:lineRule="auto"/>
        <w:ind w:firstLine="720"/>
        <w:jc w:val="left"/>
      </w:pPr>
      <w:r>
        <w:rPr>
          <w:rFonts w:ascii="Times New Roman" w:cs="Times New Roman" w:eastAsia="Times New Roman" w:hAnsi="Times New Roman"/>
          <w:sz w:val="24"/>
          <w:szCs w:val="24"/>
        </w:rPr>
        <w:t xml:space="preserve">El diseño preliminar traduce los requisitos en una propuesta de arquitectura, estructura pedagógica, interfaz, pruebas y gestión de riesgos. Es preliminar porque se validará con los docentes y la rectoría en la Fase 2 del procedimiento y se ajustará con los resultados del diagnóstico. Los principios que lo orientan son los siguientes:</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Baja conectividad primero:</w:t>
      </w:r>
      <w:r>
        <w:rPr>
          <w:rFonts w:ascii="Times New Roman" w:cs="Times New Roman" w:eastAsia="Times New Roman" w:hAnsi="Times New Roman"/>
          <w:sz w:val="24"/>
          <w:szCs w:val="24"/>
        </w:rPr>
        <w:t xml:space="preserve"> recursos livianos, descargables y de consulta sin conexión continua.</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Celular primero:</w:t>
      </w:r>
      <w:r>
        <w:rPr>
          <w:rFonts w:ascii="Times New Roman" w:cs="Times New Roman" w:eastAsia="Times New Roman" w:hAnsi="Times New Roman"/>
          <w:sz w:val="24"/>
          <w:szCs w:val="24"/>
        </w:rPr>
        <w:t xml:space="preserve"> diseño adaptable, pensado para pantallas pequeñas y para el uso de la aplicación móvil.</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Simplicidad:</w:t>
      </w:r>
      <w:r>
        <w:rPr>
          <w:rFonts w:ascii="Times New Roman" w:cs="Times New Roman" w:eastAsia="Times New Roman" w:hAnsi="Times New Roman"/>
          <w:sz w:val="24"/>
          <w:szCs w:val="24"/>
        </w:rPr>
        <w:t xml:space="preserve"> pocas opciones visibles, navegación de tres clics o menos y lenguaje claro.</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Pedagogía antes que tecnología:</w:t>
      </w:r>
      <w:r>
        <w:rPr>
          <w:rFonts w:ascii="Times New Roman" w:cs="Times New Roman" w:eastAsia="Times New Roman" w:hAnsi="Times New Roman"/>
          <w:sz w:val="24"/>
          <w:szCs w:val="24"/>
        </w:rPr>
        <w:t xml:space="preserve"> la estructura de los cursos sigue la Taxonomía de Bloom y el modelo ADDIE.</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Seguridad y privacidad por diseño:</w:t>
      </w:r>
      <w:r>
        <w:rPr>
          <w:rFonts w:ascii="Times New Roman" w:cs="Times New Roman" w:eastAsia="Times New Roman" w:hAnsi="Times New Roman"/>
          <w:sz w:val="24"/>
          <w:szCs w:val="24"/>
        </w:rPr>
        <w:t xml:space="preserve"> roles de mínimo privilegio, cifrado y datos mínimos.</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Sostenibilidad:</w:t>
      </w:r>
      <w:r>
        <w:rPr>
          <w:rFonts w:ascii="Times New Roman" w:cs="Times New Roman" w:eastAsia="Times New Roman" w:hAnsi="Times New Roman"/>
          <w:sz w:val="24"/>
          <w:szCs w:val="24"/>
        </w:rPr>
        <w:t xml:space="preserve"> software libre, documentación y capacidad de réplica por la institución.</w:t>
      </w:r>
    </w:p>
    <w:p>
      <w:pPr>
        <w:spacing w:after="0" w:before="0" w:line="480" w:lineRule="auto"/>
      </w:pPr>
      <w:r>
        <w:rPr>
          <w:rFonts w:ascii="Times New Roman" w:cs="Times New Roman" w:eastAsia="Times New Roman" w:hAnsi="Times New Roman"/>
          <w:b/>
          <w:bCs/>
          <w:sz w:val="24"/>
          <w:szCs w:val="24"/>
        </w:rPr>
        <w:t xml:space="preserve">Arquitectura tecnológica.</w:t>
      </w:r>
    </w:p>
    <w:p>
      <w:pPr>
        <w:spacing w:after="0" w:before="0" w:line="480" w:lineRule="auto"/>
        <w:ind w:firstLine="720"/>
        <w:jc w:val="left"/>
      </w:pPr>
      <w:r>
        <w:rPr>
          <w:rFonts w:ascii="Times New Roman" w:cs="Times New Roman" w:eastAsia="Times New Roman" w:hAnsi="Times New Roman"/>
          <w:sz w:val="24"/>
          <w:szCs w:val="24"/>
        </w:rPr>
        <w:t xml:space="preserve">La plataforma se despliega en un servidor virtual privado con Linux, que aloja el servidor web, Moodle, la base de datos y el repositorio de archivos. Los usuarios acceden desde sus celulares, mediante la aplicación móvil o el navegador, y desde la sala de cómputo de la institución. Las copias de respaldo se almacenan fuera del servidor y el código de configuración se versiona en GitHub. La Figura 9 presenta la arquitectura de despliegue.</w:t>
      </w:r>
    </w:p>
    <w:p>
      <w:pPr>
        <w:keepNext/>
        <w:spacing w:after="100" w:before="200" w:line="240" w:lineRule="auto"/>
      </w:pPr>
      <w:r>
        <w:rPr>
          <w:rFonts w:ascii="Times New Roman" w:cs="Times New Roman" w:eastAsia="Times New Roman" w:hAnsi="Times New Roman"/>
          <w:b/>
          <w:bCs/>
          <w:sz w:val="24"/>
          <w:szCs w:val="24"/>
        </w:rPr>
        <w:t xml:space="preserve">Figura 9. </w:t>
      </w:r>
      <w:r>
        <w:rPr>
          <w:rFonts w:ascii="Times New Roman" w:cs="Times New Roman" w:eastAsia="Times New Roman" w:hAnsi="Times New Roman"/>
          <w:i/>
          <w:iCs/>
          <w:sz w:val="24"/>
          <w:szCs w:val="24"/>
        </w:rPr>
        <w:t xml:space="preserve">Arquitectura de despliegue de la plataforma.</w:t>
      </w:r>
    </w:p>
    <w:p>
      <w:pPr>
        <w:keepNext/>
        <w:spacing w:after="60" w:before="60" w:line="240" w:lineRule="auto"/>
        <w:jc w:val="center"/>
      </w:pPr>
      <w:r>
        <w:drawing>
          <wp:inline distT="0" distB="0" distL="0" distR="0">
            <wp:extent cx="5848350" cy="3067050"/>
            <wp:effectExtent t="0" r="0" b="0" l="0"/>
            <wp:docPr id="1" name="Arquitectura de despliegue de la plataforma." descr="Arquitectura de despliegue de la plataforma." title="Arquitectura de despliegue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30670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Mapa de navegación y estructura de los cursos.</w:t>
      </w:r>
    </w:p>
    <w:p>
      <w:pPr>
        <w:spacing w:after="0" w:before="0" w:line="480" w:lineRule="auto"/>
        <w:ind w:firstLine="720"/>
        <w:jc w:val="left"/>
      </w:pPr>
      <w:r>
        <w:rPr>
          <w:rFonts w:ascii="Times New Roman" w:cs="Times New Roman" w:eastAsia="Times New Roman" w:hAnsi="Times New Roman"/>
          <w:sz w:val="24"/>
          <w:szCs w:val="24"/>
        </w:rPr>
        <w:t xml:space="preserve">La Figura 10 muestra el mapa de navegación: tras iniciar sesión, el usuario llega a un tablero personal desde el cual accede a sus cursos, al calendario, a los foros y mensajes, a las calificaciones y a su perfil. Los módulos de edición, administración y reportes aparecen únicamente según el rol.</w:t>
      </w:r>
    </w:p>
    <w:p>
      <w:pPr>
        <w:keepNext/>
        <w:spacing w:after="100" w:before="200" w:line="240" w:lineRule="auto"/>
      </w:pPr>
      <w:r>
        <w:rPr>
          <w:rFonts w:ascii="Times New Roman" w:cs="Times New Roman" w:eastAsia="Times New Roman" w:hAnsi="Times New Roman"/>
          <w:b/>
          <w:bCs/>
          <w:sz w:val="24"/>
          <w:szCs w:val="24"/>
        </w:rPr>
        <w:t xml:space="preserve">Figura 10. </w:t>
      </w:r>
      <w:r>
        <w:rPr>
          <w:rFonts w:ascii="Times New Roman" w:cs="Times New Roman" w:eastAsia="Times New Roman" w:hAnsi="Times New Roman"/>
          <w:i/>
          <w:iCs/>
          <w:sz w:val="24"/>
          <w:szCs w:val="24"/>
        </w:rPr>
        <w:t xml:space="preserve">Mapa de navegación de la plataforma.</w:t>
      </w:r>
    </w:p>
    <w:p>
      <w:pPr>
        <w:keepNext/>
        <w:spacing w:after="60" w:before="60" w:line="240" w:lineRule="auto"/>
        <w:jc w:val="center"/>
      </w:pPr>
      <w:r>
        <w:drawing>
          <wp:inline distT="0" distB="0" distL="0" distR="0">
            <wp:extent cx="5667375" cy="3114675"/>
            <wp:effectExtent t="0" r="0" b="0" l="0"/>
            <wp:docPr id="1" name="Mapa de navegación de la plataforma." descr="Mapa de navegación de la plataforma." title="Mapa de navegación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11467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ind w:firstLine="720"/>
        <w:jc w:val="left"/>
      </w:pPr>
      <w:r>
        <w:rPr>
          <w:rFonts w:ascii="Times New Roman" w:cs="Times New Roman" w:eastAsia="Times New Roman" w:hAnsi="Times New Roman"/>
          <w:sz w:val="24"/>
          <w:szCs w:val="24"/>
        </w:rPr>
        <w:t xml:space="preserve">Todos los cursos se crean a partir de una plantilla común, que facilita la apropiación por parte de los docentes y la orientación de los estudiantes. Cada curso inicia con un bloque de bienvenida (guía, cronograma, foros de novedades y de dudas), continúa con unidades que incluyen actividades para los distintos niveles de Bloom y termina con una evaluación final y las encuestas de usabilidad y aceptación. La Figura 11 ilustra la plantilla.</w:t>
      </w:r>
    </w:p>
    <w:p>
      <w:pPr>
        <w:keepNext/>
        <w:spacing w:after="100" w:before="200" w:line="240" w:lineRule="auto"/>
      </w:pPr>
      <w:r>
        <w:rPr>
          <w:rFonts w:ascii="Times New Roman" w:cs="Times New Roman" w:eastAsia="Times New Roman" w:hAnsi="Times New Roman"/>
          <w:b/>
          <w:bCs/>
          <w:sz w:val="24"/>
          <w:szCs w:val="24"/>
        </w:rPr>
        <w:t xml:space="preserve">Figura 11. </w:t>
      </w:r>
      <w:r>
        <w:rPr>
          <w:rFonts w:ascii="Times New Roman" w:cs="Times New Roman" w:eastAsia="Times New Roman" w:hAnsi="Times New Roman"/>
          <w:i/>
          <w:iCs/>
          <w:sz w:val="24"/>
          <w:szCs w:val="24"/>
        </w:rPr>
        <w:t xml:space="preserve">Plantilla de curso basada en ADDIE y la Taxonomía de Bloom.</w:t>
      </w:r>
    </w:p>
    <w:p>
      <w:pPr>
        <w:keepNext/>
        <w:spacing w:after="60" w:before="60" w:line="240" w:lineRule="auto"/>
        <w:jc w:val="center"/>
      </w:pPr>
      <w:r>
        <w:drawing>
          <wp:inline distT="0" distB="0" distL="0" distR="0">
            <wp:extent cx="5667375" cy="3114675"/>
            <wp:effectExtent t="0" r="0" b="0" l="0"/>
            <wp:docPr id="1" name="Plantilla de curso basada en ADDIE y la Taxonomía de Bloom." descr="Plantilla de curso basada en ADDIE y la Taxonomía de Bloom." title="Plantilla de curso basada en ADDIE y la Taxonomía de Bl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11467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Branch (2009) y Anderson y Krathwohl (2001).</w:t>
      </w:r>
    </w:p>
    <w:p>
      <w:pPr>
        <w:spacing w:after="0" w:before="0" w:line="480" w:lineRule="auto"/>
      </w:pPr>
      <w:r>
        <w:rPr>
          <w:rFonts w:ascii="Times New Roman" w:cs="Times New Roman" w:eastAsia="Times New Roman" w:hAnsi="Times New Roman"/>
          <w:b/>
          <w:bCs/>
          <w:sz w:val="24"/>
          <w:szCs w:val="24"/>
        </w:rPr>
        <w:t xml:space="preserve">Roles y permisos.</w:t>
      </w:r>
    </w:p>
    <w:p>
      <w:pPr>
        <w:keepNext/>
        <w:spacing w:after="100" w:before="200" w:line="240" w:lineRule="auto"/>
      </w:pPr>
      <w:r>
        <w:rPr>
          <w:rFonts w:ascii="Times New Roman" w:cs="Times New Roman" w:eastAsia="Times New Roman" w:hAnsi="Times New Roman"/>
          <w:b/>
          <w:bCs/>
          <w:sz w:val="24"/>
          <w:szCs w:val="24"/>
        </w:rPr>
        <w:t xml:space="preserve">Tabla 29. </w:t>
      </w:r>
      <w:r>
        <w:rPr>
          <w:rFonts w:ascii="Times New Roman" w:cs="Times New Roman" w:eastAsia="Times New Roman" w:hAnsi="Times New Roman"/>
          <w:i/>
          <w:iCs/>
          <w:sz w:val="24"/>
          <w:szCs w:val="24"/>
        </w:rPr>
        <w:t xml:space="preserve">Roles y permisos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6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Rol</w:t>
            </w:r>
          </w:p>
        </w:tc>
        <w:tc>
          <w:tcPr>
            <w:tcW w:type="dxa" w:w="4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Permisos principales</w:t>
            </w:r>
          </w:p>
        </w:tc>
        <w:tc>
          <w:tcPr>
            <w:tcW w:type="dxa" w:w="30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Restricciones</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Administrador</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Gestionar usuarios, roles, matrículas, configuración, seguridad y copias de respaldo</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Cuenta de uso restringido al equipo técnico responsable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Docente</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Crear y editar sus cursos, publicar recursos, evaluar, calificar y ver informes de sus estudiantes</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Solo en los cursos que tiene asignados</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Estudiante</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Consultar contenidos, descargar recursos, resolver actividades, participar en foros y ver sus calificaciones</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Solo en los cursos en los que está matriculado</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Directivo</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Consultar informes de uso y desempeño agregados</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Sin edición de cursos ni acceso a datos personales individuales innecesarios</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Modelo conceptual de datos.</w:t>
      </w:r>
    </w:p>
    <w:p>
      <w:pPr>
        <w:spacing w:after="0" w:before="0" w:line="480" w:lineRule="auto"/>
        <w:ind w:firstLine="720"/>
        <w:jc w:val="left"/>
      </w:pPr>
      <w:r>
        <w:rPr>
          <w:rFonts w:ascii="Times New Roman" w:cs="Times New Roman" w:eastAsia="Times New Roman" w:hAnsi="Times New Roman"/>
          <w:sz w:val="24"/>
          <w:szCs w:val="24"/>
        </w:rPr>
        <w:t xml:space="preserve">La Figura 12 presenta un modelo conceptual simplificado de las entidades principales: usuarios, matrículas, cursos, secciones o unidades, actividades y recursos, calificaciones y registros de actividad. Moodle gestiona internamente su propio esquema relacional, por lo que el modelo sirve para comprender la información que se administrará y analizará, y no para construir una base de datos independiente.</w:t>
      </w:r>
    </w:p>
    <w:p>
      <w:pPr>
        <w:keepNext/>
        <w:spacing w:after="100" w:before="200" w:line="240" w:lineRule="auto"/>
      </w:pPr>
      <w:r>
        <w:rPr>
          <w:rFonts w:ascii="Times New Roman" w:cs="Times New Roman" w:eastAsia="Times New Roman" w:hAnsi="Times New Roman"/>
          <w:b/>
          <w:bCs/>
          <w:sz w:val="24"/>
          <w:szCs w:val="24"/>
        </w:rPr>
        <w:t xml:space="preserve">Figura 12. </w:t>
      </w:r>
      <w:r>
        <w:rPr>
          <w:rFonts w:ascii="Times New Roman" w:cs="Times New Roman" w:eastAsia="Times New Roman" w:hAnsi="Times New Roman"/>
          <w:i/>
          <w:iCs/>
          <w:sz w:val="24"/>
          <w:szCs w:val="24"/>
        </w:rPr>
        <w:t xml:space="preserve">Modelo conceptual de datos de la plataforma.</w:t>
      </w:r>
    </w:p>
    <w:p>
      <w:pPr>
        <w:keepNext/>
        <w:spacing w:after="60" w:before="60" w:line="240" w:lineRule="auto"/>
        <w:jc w:val="center"/>
      </w:pPr>
      <w:r>
        <w:drawing>
          <wp:inline distT="0" distB="0" distL="0" distR="0">
            <wp:extent cx="5486400" cy="3514725"/>
            <wp:effectExtent t="0" r="0" b="0" l="0"/>
            <wp:docPr id="1" name="Modelo conceptual de datos de la plataforma." descr="Modelo conceptual de datos de la plataforma." title="Modelo conceptual de datos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5147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Prototipo de interfaz.</w:t>
      </w:r>
    </w:p>
    <w:p>
      <w:pPr>
        <w:spacing w:after="0" w:before="0" w:line="480" w:lineRule="auto"/>
        <w:ind w:firstLine="720"/>
        <w:jc w:val="left"/>
      </w:pPr>
      <w:r>
        <w:rPr>
          <w:rFonts w:ascii="Times New Roman" w:cs="Times New Roman" w:eastAsia="Times New Roman" w:hAnsi="Times New Roman"/>
          <w:sz w:val="24"/>
          <w:szCs w:val="24"/>
        </w:rPr>
        <w:t xml:space="preserve">Las Figuras 13 a 15 presentan las maquetas (mockups) de las pantallas principales en versión web y móvil: el tablero personal del estudiante, la vista de una unidad de curso con actividades por nivel de Bloom y modo sin conexión, y el panel de informes del docente. La Tabla 30 resume la guía de estilo que orienta el diseño visual. Las maquetas son preliminares y los datos que aparecen son ilustrativos.</w:t>
      </w:r>
    </w:p>
    <w:p>
      <w:pPr>
        <w:keepNext/>
        <w:spacing w:after="100" w:before="200" w:line="240" w:lineRule="auto"/>
      </w:pPr>
      <w:r>
        <w:rPr>
          <w:rFonts w:ascii="Times New Roman" w:cs="Times New Roman" w:eastAsia="Times New Roman" w:hAnsi="Times New Roman"/>
          <w:b/>
          <w:bCs/>
          <w:sz w:val="24"/>
          <w:szCs w:val="24"/>
        </w:rPr>
        <w:t xml:space="preserve">Tabla 30. </w:t>
      </w:r>
      <w:r>
        <w:rPr>
          <w:rFonts w:ascii="Times New Roman" w:cs="Times New Roman" w:eastAsia="Times New Roman" w:hAnsi="Times New Roman"/>
          <w:i/>
          <w:iCs/>
          <w:sz w:val="24"/>
          <w:szCs w:val="24"/>
        </w:rPr>
        <w:t xml:space="preserve">Guía de estilo preliminar de la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Elemento</w:t>
            </w:r>
          </w:p>
        </w:tc>
        <w:tc>
          <w:tcPr>
            <w:tcW w:type="dxa" w:w="6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Criterio de diseño</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Paleta de colores</w:t>
            </w:r>
          </w:p>
        </w:tc>
        <w:tc>
          <w:tcPr>
            <w:tcW w:type="dxa" w:w="6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Azul oscuro como color principal, verde azulado como apoyo y ámbar para destacar acciones; fondo claro; colores por nivel de Bloom en las actividades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Tipografía</w:t>
            </w:r>
          </w:p>
        </w:tc>
        <w:tc>
          <w:tcPr>
            <w:tcW w:type="dxa" w:w="6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Fuente sin serifa legible, tamaño base mínimo de 16 px en pantalla y títulos jerarquizados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Contraste y accesibilidad</w:t>
            </w:r>
          </w:p>
        </w:tc>
        <w:tc>
          <w:tcPr>
            <w:tcW w:type="dxa" w:w="6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Relación de contraste suficiente entre texto y fondo, texto alternativo en imágenes y no depender solo del color para transmitir información (WCAG 2.1)</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Iconografía</w:t>
            </w:r>
          </w:p>
        </w:tc>
        <w:tc>
          <w:tcPr>
            <w:tcW w:type="dxa" w:w="6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Iconos simples con etiqueta de texto, para reducir errores de interpretación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Diseño adaptable</w:t>
            </w:r>
          </w:p>
        </w:tc>
        <w:tc>
          <w:tcPr>
            <w:tcW w:type="dxa" w:w="6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Elementos táctiles amplios y menús reducidos en celulares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Identidad</w:t>
            </w:r>
          </w:p>
        </w:tc>
        <w:tc>
          <w:tcPr>
            <w:tcW w:type="dxa" w:w="6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Nombre y logotipo de la institución en la cabecera, definidos con la rectoría</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las pautas WCAG 2.1 (World Wide Web Consortium, 2018).</w:t>
      </w:r>
    </w:p>
    <w:p>
      <w:pPr>
        <w:keepNext/>
        <w:spacing w:after="100" w:before="200" w:line="240" w:lineRule="auto"/>
      </w:pPr>
      <w:r>
        <w:rPr>
          <w:rFonts w:ascii="Times New Roman" w:cs="Times New Roman" w:eastAsia="Times New Roman" w:hAnsi="Times New Roman"/>
          <w:b/>
          <w:bCs/>
          <w:sz w:val="24"/>
          <w:szCs w:val="24"/>
        </w:rPr>
        <w:t xml:space="preserve">Figura 13. </w:t>
      </w:r>
      <w:r>
        <w:rPr>
          <w:rFonts w:ascii="Times New Roman" w:cs="Times New Roman" w:eastAsia="Times New Roman" w:hAnsi="Times New Roman"/>
          <w:i/>
          <w:iCs/>
          <w:sz w:val="24"/>
          <w:szCs w:val="24"/>
        </w:rPr>
        <w:t xml:space="preserve">Mockup 1. Tablero personal del estudiante (versión web y móvil).</w:t>
      </w:r>
    </w:p>
    <w:p>
      <w:pPr>
        <w:keepNext/>
        <w:spacing w:after="60" w:before="60" w:line="240" w:lineRule="auto"/>
        <w:jc w:val="center"/>
      </w:pPr>
      <w:r>
        <w:drawing>
          <wp:inline distT="0" distB="0" distL="0" distR="0">
            <wp:extent cx="5848350" cy="3067050"/>
            <wp:effectExtent t="0" r="0" b="0" l="0"/>
            <wp:docPr id="1" name="Mockup 1. Tablero personal del estudiante (versión web y móvil)." descr="Mockup 1. Tablero personal del estudiante (versión web y móvil)." title="Mockup 1. Tablero personal del estudiante (versión web y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30670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Los nombres de áreas y los datos son ilustrativos.</w:t>
      </w:r>
    </w:p>
    <w:p>
      <w:pPr>
        <w:keepNext/>
        <w:spacing w:after="100" w:before="200" w:line="240" w:lineRule="auto"/>
      </w:pPr>
      <w:r>
        <w:rPr>
          <w:rFonts w:ascii="Times New Roman" w:cs="Times New Roman" w:eastAsia="Times New Roman" w:hAnsi="Times New Roman"/>
          <w:b/>
          <w:bCs/>
          <w:sz w:val="24"/>
          <w:szCs w:val="24"/>
        </w:rPr>
        <w:t xml:space="preserve">Figura 14. </w:t>
      </w:r>
      <w:r>
        <w:rPr>
          <w:rFonts w:ascii="Times New Roman" w:cs="Times New Roman" w:eastAsia="Times New Roman" w:hAnsi="Times New Roman"/>
          <w:i/>
          <w:iCs/>
          <w:sz w:val="24"/>
          <w:szCs w:val="24"/>
        </w:rPr>
        <w:t xml:space="preserve">Mockup 2. Vista de una unidad del curso con actividades por nivel de Bloom.</w:t>
      </w:r>
    </w:p>
    <w:p>
      <w:pPr>
        <w:keepNext/>
        <w:spacing w:after="60" w:before="60" w:line="240" w:lineRule="auto"/>
        <w:jc w:val="center"/>
      </w:pPr>
      <w:r>
        <w:drawing>
          <wp:inline distT="0" distB="0" distL="0" distR="0">
            <wp:extent cx="5848350" cy="3067050"/>
            <wp:effectExtent t="0" r="0" b="0" l="0"/>
            <wp:docPr id="1" name="Mockup 2. Vista de una unidad del curso con actividades por nivel de Bloom." descr="Mockup 2. Vista de una unidad del curso con actividades por nivel de Bloom." title="Mockup 2. Vista de una unidad del curso con actividades por nivel de Bl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48350" cy="30670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Los contenidos son ilustrativos.</w:t>
      </w:r>
    </w:p>
    <w:p>
      <w:pPr>
        <w:keepNext/>
        <w:spacing w:after="100" w:before="200" w:line="240" w:lineRule="auto"/>
      </w:pPr>
      <w:r>
        <w:rPr>
          <w:rFonts w:ascii="Times New Roman" w:cs="Times New Roman" w:eastAsia="Times New Roman" w:hAnsi="Times New Roman"/>
          <w:b/>
          <w:bCs/>
          <w:sz w:val="24"/>
          <w:szCs w:val="24"/>
        </w:rPr>
        <w:t xml:space="preserve">Figura 15. </w:t>
      </w:r>
      <w:r>
        <w:rPr>
          <w:rFonts w:ascii="Times New Roman" w:cs="Times New Roman" w:eastAsia="Times New Roman" w:hAnsi="Times New Roman"/>
          <w:i/>
          <w:iCs/>
          <w:sz w:val="24"/>
          <w:szCs w:val="24"/>
        </w:rPr>
        <w:t xml:space="preserve">Mockup 3. Panel de informes del docente.</w:t>
      </w:r>
    </w:p>
    <w:p>
      <w:pPr>
        <w:keepNext/>
        <w:spacing w:after="60" w:before="60" w:line="240" w:lineRule="auto"/>
        <w:jc w:val="center"/>
      </w:pPr>
      <w:r>
        <w:drawing>
          <wp:inline distT="0" distB="0" distL="0" distR="0">
            <wp:extent cx="5848350" cy="3067050"/>
            <wp:effectExtent t="0" r="0" b="0" l="0"/>
            <wp:docPr id="1" name="Mockup 3. Panel de informes del docente." descr="Mockup 3. Panel de informes del docente." title="Mockup 3. Panel de informes del doc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30670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Todos los valores son ilustrativos y no corresponden a resultados reales.</w:t>
      </w:r>
    </w:p>
    <w:p>
      <w:pPr>
        <w:spacing w:after="0" w:before="0" w:line="480" w:lineRule="auto"/>
      </w:pPr>
      <w:r>
        <w:rPr>
          <w:rFonts w:ascii="Times New Roman" w:cs="Times New Roman" w:eastAsia="Times New Roman" w:hAnsi="Times New Roman"/>
          <w:b/>
          <w:bCs/>
          <w:sz w:val="24"/>
          <w:szCs w:val="24"/>
        </w:rPr>
        <w:t xml:space="preserve">Estrategia para baja conectividad.</w:t>
      </w:r>
    </w:p>
    <w:p>
      <w:pPr>
        <w:keepNext/>
        <w:spacing w:after="100" w:before="200" w:line="240" w:lineRule="auto"/>
      </w:pPr>
      <w:r>
        <w:rPr>
          <w:rFonts w:ascii="Times New Roman" w:cs="Times New Roman" w:eastAsia="Times New Roman" w:hAnsi="Times New Roman"/>
          <w:b/>
          <w:bCs/>
          <w:sz w:val="24"/>
          <w:szCs w:val="24"/>
        </w:rPr>
        <w:t xml:space="preserve">Tabla 31. </w:t>
      </w:r>
      <w:r>
        <w:rPr>
          <w:rFonts w:ascii="Times New Roman" w:cs="Times New Roman" w:eastAsia="Times New Roman" w:hAnsi="Times New Roman"/>
          <w:i/>
          <w:iCs/>
          <w:sz w:val="24"/>
          <w:szCs w:val="24"/>
        </w:rPr>
        <w:t xml:space="preserve">Estrategias de diseño para escenarios de baja conectividad.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4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Problema</w:t>
            </w:r>
          </w:p>
        </w:tc>
        <w:tc>
          <w:tcPr>
            <w:tcW w:type="dxa" w:w="3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Estrategia</w:t>
            </w:r>
          </w:p>
        </w:tc>
        <w:tc>
          <w:tcPr>
            <w:tcW w:type="dxa" w:w="2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Verificación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Conexión lenta o intermitente en la institución</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Recursos de peso reducido, compresión de videos y uso de PDF livianos</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Revisión del peso de los recursos; prueba PR-01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Sin conexión durante el estudio en casa</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Descarga de contenidos en la aplicación móvil y sincronización posterior</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Prueba PF-05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Entregas cuando no hay red</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Entrega diferida y recordatorios de fechas con margen razonable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Prueba PF-07</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Pocos dispositivos</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Acceso desde celular o desde la sala de cómputo, en turnos programados</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Inventario y regla de decisión de la Tabla 19</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Recursos externos pesados</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Preferir actividades H5P y contenidos alojados en la plataforma</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Revisión de contenidos por sprint</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Seguridad, respaldo y protección de datos.</w:t>
      </w:r>
    </w:p>
    <w:p>
      <w:pPr>
        <w:spacing w:after="0" w:before="0" w:line="480" w:lineRule="auto"/>
        <w:ind w:firstLine="720"/>
        <w:jc w:val="left"/>
      </w:pPr>
      <w:r>
        <w:rPr>
          <w:rFonts w:ascii="Times New Roman" w:cs="Times New Roman" w:eastAsia="Times New Roman" w:hAnsi="Times New Roman"/>
          <w:sz w:val="24"/>
          <w:szCs w:val="24"/>
        </w:rPr>
        <w:t xml:space="preserve">La seguridad se aborda en tres niveles. En el nivel de acceso, se usan cuentas individuales, contraseñas robustas y roles de mínimo privilegio. En el nivel de comunicación, se cifra el tráfico con HTTPS. En el nivel de datos, se realizan copias de respaldo automáticas y externas al servidor, se verifica la restauración y se limita la información personal a la necesaria, de acuerdo con la Ley 1581 de 2012 y la Ley 1273 de 2009. Los accesos del personal técnico quedan registrados y se documenta un plan básico de contingencia.</w:t>
      </w:r>
    </w:p>
    <w:p>
      <w:pPr>
        <w:spacing w:after="0" w:before="0" w:line="480" w:lineRule="auto"/>
      </w:pPr>
      <w:r>
        <w:rPr>
          <w:rFonts w:ascii="Times New Roman" w:cs="Times New Roman" w:eastAsia="Times New Roman" w:hAnsi="Times New Roman"/>
          <w:b/>
          <w:bCs/>
          <w:sz w:val="24"/>
          <w:szCs w:val="24"/>
        </w:rPr>
        <w:t xml:space="preserve">Plan de pruebas.</w:t>
      </w:r>
    </w:p>
    <w:p>
      <w:pPr>
        <w:spacing w:after="0" w:before="0" w:line="480" w:lineRule="auto"/>
        <w:ind w:firstLine="720"/>
        <w:jc w:val="left"/>
      </w:pPr>
      <w:r>
        <w:rPr>
          <w:rFonts w:ascii="Times New Roman" w:cs="Times New Roman" w:eastAsia="Times New Roman" w:hAnsi="Times New Roman"/>
          <w:sz w:val="24"/>
          <w:szCs w:val="24"/>
        </w:rPr>
        <w:t xml:space="preserve">Las pruebas se ejecutan al final de cada sprint, sobre el entorno de pruebas, y se registran con su resultado y las acciones correctivas. La Tabla 32 presenta los casos de prueba preliminares. La meta es superar al menos el 90 % de las pruebas funcionales antes de iniciar el piloto.</w:t>
      </w:r>
    </w:p>
    <w:p>
      <w:pPr>
        <w:keepNext/>
        <w:spacing w:after="100" w:before="200" w:line="240" w:lineRule="auto"/>
      </w:pPr>
      <w:r>
        <w:rPr>
          <w:rFonts w:ascii="Times New Roman" w:cs="Times New Roman" w:eastAsia="Times New Roman" w:hAnsi="Times New Roman"/>
          <w:b/>
          <w:bCs/>
          <w:sz w:val="24"/>
          <w:szCs w:val="24"/>
        </w:rPr>
        <w:t xml:space="preserve">Tabla 32. </w:t>
      </w:r>
      <w:r>
        <w:rPr>
          <w:rFonts w:ascii="Times New Roman" w:cs="Times New Roman" w:eastAsia="Times New Roman" w:hAnsi="Times New Roman"/>
          <w:i/>
          <w:iCs/>
          <w:sz w:val="24"/>
          <w:szCs w:val="24"/>
        </w:rPr>
        <w:t xml:space="preserve">Casos de prueba preliminares.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1400"/>
        <w:gridCol w:w="336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ID</w:t>
            </w:r>
          </w:p>
        </w:tc>
        <w:tc>
          <w:tcPr>
            <w:tcW w:type="dxa" w:w="3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Caso de prueba</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Requisito</w:t>
            </w:r>
          </w:p>
        </w:tc>
        <w:tc>
          <w:tcPr>
            <w:tcW w:type="dxa" w:w="3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Resultado esperado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PF-01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Inicio de sesión con credenciales válidas e inválidas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Acceso concedido solo con credenciales correctas</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PF-02</w:t>
            </w:r>
          </w:p>
        </w:tc>
        <w:tc>
          <w:tcPr>
            <w:tcW w:type="dxa" w:w="3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Verificación de permisos por rol</w:t>
            </w:r>
          </w:p>
        </w:tc>
        <w:tc>
          <w:tcPr>
            <w:tcW w:type="dxa" w:w="1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RF03</w:t>
            </w:r>
          </w:p>
        </w:tc>
        <w:tc>
          <w:tcPr>
            <w:tcW w:type="dxa" w:w="3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Cada rol accede solo a sus funciones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PF-03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Carga masiva de usuarios y matrícula</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RF04, RF05</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Los usuarios quedan creados y matriculados sin errores</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PF-04</w:t>
            </w:r>
          </w:p>
        </w:tc>
        <w:tc>
          <w:tcPr>
            <w:tcW w:type="dxa" w:w="3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Creación de un curso y publicación de recursos</w:t>
            </w:r>
          </w:p>
        </w:tc>
        <w:tc>
          <w:tcPr>
            <w:tcW w:type="dxa" w:w="1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RF06, RF07</w:t>
            </w:r>
          </w:p>
        </w:tc>
        <w:tc>
          <w:tcPr>
            <w:tcW w:type="dxa" w:w="3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curso y los recursos son visibles para los estudiantes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PF-05</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Descarga y consulta de contenidos sin conexión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RF09</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Los contenidos se abren sin red desde la aplicación móvil</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PF-06</w:t>
            </w:r>
          </w:p>
        </w:tc>
        <w:tc>
          <w:tcPr>
            <w:tcW w:type="dxa" w:w="3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Resolución de un cuestionario con retroalimentación</w:t>
            </w:r>
          </w:p>
        </w:tc>
        <w:tc>
          <w:tcPr>
            <w:tcW w:type="dxa" w:w="1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RF10, RF11</w:t>
            </w:r>
          </w:p>
        </w:tc>
        <w:tc>
          <w:tcPr>
            <w:tcW w:type="dxa" w:w="3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Calificación automática y retroalimentación correcta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PF-07</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Entrega de una tarea desde el celular</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RF12</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Entrega registrada y confirmación al estudiante</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PF-08</w:t>
            </w:r>
          </w:p>
        </w:tc>
        <w:tc>
          <w:tcPr>
            <w:tcW w:type="dxa" w:w="3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Calificación con rúbrica y consulta del resultado</w:t>
            </w:r>
          </w:p>
        </w:tc>
        <w:tc>
          <w:tcPr>
            <w:tcW w:type="dxa" w:w="1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RF13, RF16</w:t>
            </w:r>
          </w:p>
        </w:tc>
        <w:tc>
          <w:tcPr>
            <w:tcW w:type="dxa" w:w="3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estudiante visualiza nota y comentarios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PF-09</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Participación en un foro y aviso en el foro de novedades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RF14</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Mensajes publicados y visibles según el rol</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PF-10</w:t>
            </w:r>
          </w:p>
        </w:tc>
        <w:tc>
          <w:tcPr>
            <w:tcW w:type="dxa" w:w="3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Generación de informes de participación y uso</w:t>
            </w:r>
          </w:p>
        </w:tc>
        <w:tc>
          <w:tcPr>
            <w:tcW w:type="dxa" w:w="1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RF19, RF20</w:t>
            </w:r>
          </w:p>
        </w:tc>
        <w:tc>
          <w:tcPr>
            <w:tcW w:type="dxa" w:w="3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Los informes muestran datos coherentes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PR-01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Carga de páginas con conexión de referencia de 1 Mbps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Tiempo de carga de 5 s o menos</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PS-01</w:t>
            </w:r>
          </w:p>
        </w:tc>
        <w:tc>
          <w:tcPr>
            <w:tcW w:type="dxa" w:w="3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Intento de acceso a un curso sin matrícula</w:t>
            </w:r>
          </w:p>
        </w:tc>
        <w:tc>
          <w:tcPr>
            <w:tcW w:type="dxa" w:w="1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RNF09</w:t>
            </w:r>
          </w:p>
        </w:tc>
        <w:tc>
          <w:tcPr>
            <w:tcW w:type="dxa" w:w="3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Acceso denegado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PS-02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Restauración de una copia de respaldo</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RF21, RNF08</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información se recupera completa</w:t>
            </w:r>
          </w:p>
        </w:tc>
      </w:tr>
      <w:tr>
        <w:trPr>
          <w:cantSplit/>
        </w:trPr>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PU-01</w:t>
            </w:r>
          </w:p>
        </w:tc>
        <w:tc>
          <w:tcPr>
            <w:tcW w:type="dxa" w:w="3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Prueba de usabilidad con usuarios y escala SUS</w:t>
            </w:r>
          </w:p>
        </w:tc>
        <w:tc>
          <w:tcPr>
            <w:tcW w:type="dxa" w:w="14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RNF03, RNF04</w:t>
            </w:r>
          </w:p>
        </w:tc>
        <w:tc>
          <w:tcPr>
            <w:tcW w:type="dxa" w:w="33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Puntaje SUS de 68 o más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PA-01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Lista de verificación de accesibilidad</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RNF05</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Cumple los criterios de contraste y texto alternativo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Plan de capacitación docente.</w:t>
      </w:r>
    </w:p>
    <w:p>
      <w:pPr>
        <w:spacing w:after="0" w:before="0" w:line="480" w:lineRule="auto"/>
        <w:ind w:firstLine="720"/>
        <w:jc w:val="left"/>
      </w:pPr>
      <w:r>
        <w:rPr>
          <w:rFonts w:ascii="Times New Roman" w:cs="Times New Roman" w:eastAsia="Times New Roman" w:hAnsi="Times New Roman"/>
          <w:sz w:val="24"/>
          <w:szCs w:val="24"/>
        </w:rPr>
        <w:t xml:space="preserve">La capacitación es un componente central del proyecto porque la apropiación de los docentes determina la sostenibilidad de la solución (Mishra y Koehler, 2006; Cardona-Acevedo et al., 2025). Se propone un plan de 16 horas, distribuidas en talleres prácticos, con acompañamiento durante el piloto y un manual de usuario como material de apoyo.</w:t>
      </w:r>
    </w:p>
    <w:p>
      <w:pPr>
        <w:keepNext/>
        <w:spacing w:after="100" w:before="200" w:line="240" w:lineRule="auto"/>
      </w:pPr>
      <w:r>
        <w:rPr>
          <w:rFonts w:ascii="Times New Roman" w:cs="Times New Roman" w:eastAsia="Times New Roman" w:hAnsi="Times New Roman"/>
          <w:b/>
          <w:bCs/>
          <w:sz w:val="24"/>
          <w:szCs w:val="24"/>
        </w:rPr>
        <w:t xml:space="preserve">Tabla 33. </w:t>
      </w:r>
      <w:r>
        <w:rPr>
          <w:rFonts w:ascii="Times New Roman" w:cs="Times New Roman" w:eastAsia="Times New Roman" w:hAnsi="Times New Roman"/>
          <w:i/>
          <w:iCs/>
          <w:sz w:val="24"/>
          <w:szCs w:val="24"/>
        </w:rPr>
        <w:t xml:space="preserve">Plan de capacitación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800"/>
        <w:gridCol w:w="246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Módulo</w:t>
            </w:r>
          </w:p>
        </w:tc>
        <w:tc>
          <w:tcPr>
            <w:tcW w:type="dxa" w:w="3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Contenido</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Horas</w:t>
            </w:r>
          </w:p>
        </w:tc>
        <w:tc>
          <w:tcPr>
            <w:tcW w:type="dxa" w:w="2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Producto</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1. Introducción y navegación</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Ingreso, tablero, calendario, mensajes y aplicación móvil</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2</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Docente que ingresa y navega con seguridad</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2. Diseño de cursos</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Plantilla de curso, unidades y Taxonomía de Bloom</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Curso base con una unidad diseñada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3. Recursos y contenidos interactivos</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Archivos, enlaces, videos livianos y actividades H5P</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Dos recursos publicados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4. Cuestionarios y banco de preguntas</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Categorías, tipos de pregunta y retroalimentación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Cuestionario de repaso</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5. Tareas, rúbricas y foros</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Entrega, calificación con rúbrica y participación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Una tarea con rúbrica y un foro</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6. Seguimiento y protección de datos</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Informes, calificaciones y manejo responsable de los datos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2</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Informe del curso y compromiso de uso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Total: 16 horas.</w:t>
      </w:r>
    </w:p>
    <w:p>
      <w:pPr>
        <w:spacing w:after="0" w:before="0" w:line="480" w:lineRule="auto"/>
      </w:pPr>
      <w:r>
        <w:rPr>
          <w:rFonts w:ascii="Times New Roman" w:cs="Times New Roman" w:eastAsia="Times New Roman" w:hAnsi="Times New Roman"/>
          <w:b/>
          <w:bCs/>
          <w:sz w:val="24"/>
          <w:szCs w:val="24"/>
        </w:rPr>
        <w:t xml:space="preserve">Gestión de riesgos.</w:t>
      </w:r>
    </w:p>
    <w:p>
      <w:pPr>
        <w:spacing w:after="0" w:before="0" w:line="480" w:lineRule="auto"/>
        <w:ind w:firstLine="720"/>
        <w:jc w:val="left"/>
      </w:pPr>
      <w:r>
        <w:rPr>
          <w:rFonts w:ascii="Times New Roman" w:cs="Times New Roman" w:eastAsia="Times New Roman" w:hAnsi="Times New Roman"/>
          <w:sz w:val="24"/>
          <w:szCs w:val="24"/>
        </w:rPr>
        <w:t xml:space="preserve">Los riesgos se identifican desde el inicio y se evalúan por su probabilidad y su impacto, como se muestra en la Figura 16. La Tabla 34 describe cada uno con su estrategia de mitigación.</w:t>
      </w:r>
    </w:p>
    <w:p>
      <w:pPr>
        <w:keepNext/>
        <w:spacing w:after="100" w:before="200" w:line="240" w:lineRule="auto"/>
      </w:pPr>
      <w:r>
        <w:rPr>
          <w:rFonts w:ascii="Times New Roman" w:cs="Times New Roman" w:eastAsia="Times New Roman" w:hAnsi="Times New Roman"/>
          <w:b/>
          <w:bCs/>
          <w:sz w:val="24"/>
          <w:szCs w:val="24"/>
        </w:rPr>
        <w:t xml:space="preserve">Figura 16. </w:t>
      </w:r>
      <w:r>
        <w:rPr>
          <w:rFonts w:ascii="Times New Roman" w:cs="Times New Roman" w:eastAsia="Times New Roman" w:hAnsi="Times New Roman"/>
          <w:i/>
          <w:iCs/>
          <w:sz w:val="24"/>
          <w:szCs w:val="24"/>
        </w:rPr>
        <w:t xml:space="preserve">Matriz de probabilidad e impacto de los riesgos.</w:t>
      </w:r>
    </w:p>
    <w:p>
      <w:pPr>
        <w:keepNext/>
        <w:spacing w:after="60" w:before="60" w:line="240" w:lineRule="auto"/>
        <w:jc w:val="center"/>
      </w:pPr>
      <w:r>
        <w:drawing>
          <wp:inline distT="0" distB="0" distL="0" distR="0">
            <wp:extent cx="5305425" cy="2781300"/>
            <wp:effectExtent t="0" r="0" b="0" l="0"/>
            <wp:docPr id="1" name="Matriz de probabilidad e impacto de los riesgos." descr="Matriz de probabilidad e impacto de los riesgos." title="Matriz de probabilidad e impacto de los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278130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keepNext/>
        <w:spacing w:after="100" w:before="200" w:line="240" w:lineRule="auto"/>
      </w:pPr>
      <w:r>
        <w:rPr>
          <w:rFonts w:ascii="Times New Roman" w:cs="Times New Roman" w:eastAsia="Times New Roman" w:hAnsi="Times New Roman"/>
          <w:b/>
          <w:bCs/>
          <w:sz w:val="24"/>
          <w:szCs w:val="24"/>
        </w:rPr>
        <w:t xml:space="preserve">Tabla 34. </w:t>
      </w:r>
      <w:r>
        <w:rPr>
          <w:rFonts w:ascii="Times New Roman" w:cs="Times New Roman" w:eastAsia="Times New Roman" w:hAnsi="Times New Roman"/>
          <w:i/>
          <w:iCs/>
          <w:sz w:val="24"/>
          <w:szCs w:val="24"/>
        </w:rPr>
        <w:t xml:space="preserve">Registro de riesgos y estrategias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800"/>
        <w:gridCol w:w="900"/>
        <w:gridCol w:w="42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ID</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Riesgo</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Prob.</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Impacto</w:t>
            </w:r>
          </w:p>
        </w:tc>
        <w:tc>
          <w:tcPr>
            <w:tcW w:type="dxa" w:w="42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Mitigación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R01</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Conectividad insuficiente en la institución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Alta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Alto</w:t>
            </w:r>
          </w:p>
        </w:tc>
        <w:tc>
          <w:tcPr>
            <w:tcW w:type="dxa" w:w="4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Contenidos livianos y descargables; uso de la sala de cómputo; entrega diferida</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R02</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Baja apropiación de los docentes</w:t>
            </w:r>
          </w:p>
        </w:tc>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Media</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Alto</w:t>
            </w:r>
          </w:p>
        </w:tc>
        <w:tc>
          <w:tcPr>
            <w:tcW w:type="dxa" w:w="42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Capacitación práctica, acompañamiento durante el piloto y manual de usuario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R03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Disponibilidad limitada de dispositivos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Alta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Medio</w:t>
            </w:r>
          </w:p>
        </w:tc>
        <w:tc>
          <w:tcPr>
            <w:tcW w:type="dxa" w:w="4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Uso compartido de equipos, turnos y acceso desde el celular</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R04</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Pérdida o exposición de datos</w:t>
            </w:r>
          </w:p>
        </w:tc>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Baja</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Alto</w:t>
            </w:r>
          </w:p>
        </w:tc>
        <w:tc>
          <w:tcPr>
            <w:tcW w:type="dxa" w:w="42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Copias de respaldo, control de roles y cumplimiento de la Ley 1581 de 2012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R05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Retrasos por el calendario escolar</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Medio</w:t>
            </w:r>
          </w:p>
        </w:tc>
        <w:tc>
          <w:tcPr>
            <w:tcW w:type="dxa" w:w="4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Sprints cortos, programación con la rectoría y número reducido de áreas</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R06</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Indisponibilidad del servidor</w:t>
            </w:r>
          </w:p>
        </w:tc>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Baja</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Alto</w:t>
            </w:r>
          </w:p>
        </w:tc>
        <w:tc>
          <w:tcPr>
            <w:tcW w:type="dxa" w:w="42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Monitoreo, copias verificadas y plan de restauración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R07</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Falta de autorizaciones de los acudientes</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Medio</w:t>
            </w:r>
          </w:p>
        </w:tc>
        <w:tc>
          <w:tcPr>
            <w:tcW w:type="dxa" w:w="4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Reuniones informativas, formatos claros y selección de grupos alternos</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R08</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Cambios en las prioridades institucionales</w:t>
            </w:r>
          </w:p>
        </w:tc>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Baja</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Medio</w:t>
            </w:r>
          </w:p>
        </w:tc>
        <w:tc>
          <w:tcPr>
            <w:tcW w:type="dxa" w:w="42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Acuerdo con la rectoría y revisiones del backlog en cada sprint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R09</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Sobrecarga del equipo de desarrollo</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Media</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Alto</w:t>
            </w:r>
          </w:p>
        </w:tc>
        <w:tc>
          <w:tcPr>
            <w:tcW w:type="dxa" w:w="4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Priorización con MoSCoW, alcance limitado y seguimiento con el director</w:t>
            </w:r>
          </w:p>
        </w:tc>
      </w:tr>
      <w:tr>
        <w:trPr>
          <w:cantSplit/>
        </w:trPr>
        <w:tc>
          <w:tcPr>
            <w:tcW w:type="dxa" w:w="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R10</w:t>
            </w:r>
          </w:p>
        </w:tc>
        <w:tc>
          <w:tcPr>
            <w:tcW w:type="dxa" w:w="2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Baja participación de estudiantes en el piloto</w:t>
            </w:r>
          </w:p>
        </w:tc>
        <w:tc>
          <w:tcPr>
            <w:tcW w:type="dxa" w:w="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Media</w:t>
            </w:r>
          </w:p>
        </w:tc>
        <w:tc>
          <w:tcPr>
            <w:tcW w:type="dxa" w:w="9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Medio</w:t>
            </w:r>
          </w:p>
        </w:tc>
        <w:tc>
          <w:tcPr>
            <w:tcW w:type="dxa" w:w="42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Actividades motivantes, acompañamiento docente y seguimiento semanal de uso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pPr>
      <w:r>
        <w:rPr>
          <w:rFonts w:ascii="Times New Roman" w:cs="Times New Roman" w:eastAsia="Times New Roman" w:hAnsi="Times New Roman"/>
          <w:b/>
          <w:bCs/>
          <w:sz w:val="24"/>
          <w:szCs w:val="24"/>
        </w:rPr>
        <w:t xml:space="preserve">Criterios de calidad y de éxito del prototipo.</w:t>
      </w:r>
    </w:p>
    <w:p>
      <w:pPr>
        <w:spacing w:after="0" w:before="0" w:line="480" w:lineRule="auto"/>
        <w:ind w:firstLine="720"/>
        <w:jc w:val="left"/>
      </w:pPr>
      <w:r>
        <w:rPr>
          <w:rFonts w:ascii="Times New Roman" w:cs="Times New Roman" w:eastAsia="Times New Roman" w:hAnsi="Times New Roman"/>
          <w:sz w:val="24"/>
          <w:szCs w:val="24"/>
        </w:rPr>
        <w:t xml:space="preserve">El prototipo se considerará logrado si cumple los siguientes criterios: disponibilidad y copias de respaldo funcionales; acceso desde el celular; bajo consumo de datos; al menos el 90 % de las pruebas funcionales superadas; puntaje SUS aceptable según Bangor et al. (2008); y aceptación favorable en el cuestionario TAM en al menos el 70 % de los encuestados. Estos criterios se verifican en el piloto y definen la meta TRL 5.</w:t>
      </w:r>
    </w:p>
    <w:p>
      <w:pPr>
        <w:sectPr>
          <w:headerReference w:type="default" r:id="rId8"/>
          <w:pgSz w:w="12240" w:h="15840" w:orient="portrait"/>
          <w:pgMar w:top="1440" w:right="1440" w:bottom="1440" w:left="1440" w:header="708" w:footer="708" w:gutter="0"/>
          <w:pgNumType w:start="1" w:fmt="decimal"/>
          <w:docGrid w:linePitch="360"/>
        </w:sectPr>
      </w:pPr>
    </w:p>
    <w:p>
      <w:pPr>
        <w:pStyle w:val="Heading2"/>
        <w:keepNext/>
        <w:spacing w:after="0" w:before="0" w:line="480" w:lineRule="auto"/>
      </w:pPr>
      <w:r>
        <w:rPr>
          <w:rFonts w:ascii="Times New Roman" w:cs="Times New Roman" w:eastAsia="Times New Roman" w:hAnsi="Times New Roman"/>
          <w:b/>
          <w:bCs/>
          <w:sz w:val="24"/>
          <w:szCs w:val="24"/>
        </w:rPr>
        <w:t xml:space="preserve">Cronograma de actividades</w:t>
      </w:r>
    </w:p>
    <w:p>
      <w:pPr>
        <w:spacing w:after="0" w:before="0" w:line="480" w:lineRule="auto"/>
        <w:ind w:firstLine="720"/>
      </w:pPr>
      <w:r>
        <w:rPr>
          <w:rFonts w:ascii="Times New Roman" w:cs="Times New Roman" w:eastAsia="Times New Roman" w:hAnsi="Times New Roman"/>
          <w:sz w:val="24"/>
          <w:szCs w:val="24"/>
        </w:rPr>
        <w:t xml:space="preserve">El cronograma se ajusta a un tiempo máximo de seis meses, de acuerdo con la metodología de desarrollo seleccionada: 12 sprints de dos semanas agrupados en las tres fases del procedimiento. La Tabla 35 presenta las actividades por semana y la Figura 17 el diagrama de Gantt. Las actividades se solapan de manera deliberada, pues el desarrollo ágil permite avanzar en el diseño, la configuración y las pruebas mientras se completan los productos de la fase anterior.</w:t>
      </w:r>
    </w:p>
    <w:p>
      <w:pPr>
        <w:keepNext/>
        <w:spacing w:after="100" w:before="200" w:line="240" w:lineRule="auto"/>
      </w:pPr>
      <w:r>
        <w:rPr>
          <w:rFonts w:ascii="Times New Roman" w:cs="Times New Roman" w:eastAsia="Times New Roman" w:hAnsi="Times New Roman"/>
          <w:b/>
          <w:bCs/>
          <w:sz w:val="24"/>
          <w:szCs w:val="24"/>
        </w:rPr>
        <w:t xml:space="preserve">Tabla 35. </w:t>
      </w:r>
      <w:r>
        <w:rPr>
          <w:rFonts w:ascii="Times New Roman" w:cs="Times New Roman" w:eastAsia="Times New Roman" w:hAnsi="Times New Roman"/>
          <w:i/>
          <w:iCs/>
          <w:sz w:val="24"/>
          <w:szCs w:val="24"/>
        </w:rPr>
        <w:t xml:space="preserve">Cronograma de actividades por semanas.</w:t>
      </w:r>
    </w:p>
    <w:tbl>
      <w:tblPr>
        <w:tblW w:type="dxa" w:w="12910"/>
        <w:tblBorders>
          <w:top w:val="single" w:color="auto" w:sz="4"/>
          <w:left w:val="single" w:color="auto" w:sz="4"/>
          <w:bottom w:val="single" w:color="auto" w:sz="4"/>
          <w:right w:val="single" w:color="auto" w:sz="4"/>
          <w:insideH w:val="single" w:color="auto" w:sz="4"/>
          <w:insideV w:val="single" w:color="auto" w:sz="4"/>
        </w:tblBorders>
      </w:tblPr>
      <w:tblGrid>
        <w:gridCol w:w="950"/>
        <w:gridCol w:w="380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trPr>
          <w:tblHeader/>
        </w:trPr>
        <w:tc>
          <w:tcPr>
            <w:tcW w:type="dxa" w:w="950"/>
            <w:vMerge w:val="restart"/>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Objetivo</w:t>
            </w:r>
          </w:p>
        </w:tc>
        <w:tc>
          <w:tcPr>
            <w:tcW w:type="dxa" w:w="3800"/>
            <w:vMerge w:val="restart"/>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Actividad</w:t>
            </w:r>
          </w:p>
        </w:tc>
        <w:tc>
          <w:tcPr>
            <w:tcW w:type="dxa" w:w="1360"/>
            <w:gridSpan w:val="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Mes 1</w:t>
            </w:r>
          </w:p>
        </w:tc>
        <w:tc>
          <w:tcPr>
            <w:tcW w:type="dxa" w:w="1360"/>
            <w:gridSpan w:val="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Mes 2</w:t>
            </w:r>
          </w:p>
        </w:tc>
        <w:tc>
          <w:tcPr>
            <w:tcW w:type="dxa" w:w="1360"/>
            <w:gridSpan w:val="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Mes 3</w:t>
            </w:r>
          </w:p>
        </w:tc>
        <w:tc>
          <w:tcPr>
            <w:tcW w:type="dxa" w:w="1360"/>
            <w:gridSpan w:val="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Mes 4</w:t>
            </w:r>
          </w:p>
        </w:tc>
        <w:tc>
          <w:tcPr>
            <w:tcW w:type="dxa" w:w="1360"/>
            <w:gridSpan w:val="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Mes 5</w:t>
            </w:r>
          </w:p>
        </w:tc>
        <w:tc>
          <w:tcPr>
            <w:tcW w:type="dxa" w:w="1360"/>
            <w:gridSpan w:val="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Mes 6</w:t>
            </w:r>
          </w:p>
        </w:tc>
      </w:tr>
      <w:tr>
        <w:trPr>
          <w:tblHeader/>
        </w:trPr>
        <w:tc>
          <w:tcPr>
            <w:vMerge w:val="continue"/>
            <w:tcBorders>
              <w:top w:val="single" w:color="808080" w:sz="4"/>
              <w:left w:val="single" w:color="808080" w:sz="4"/>
              <w:bottom w:val="single" w:color="808080" w:sz="4"/>
              <w:right w:val="single" w:color="808080" w:sz="4"/>
            </w:tcBorders>
          </w:tcPr>
          <w:p/>
        </w:tc>
        <w:tc>
          <w:tcPr>
            <w:vMerge w:val="continue"/>
            <w:tcBorders>
              <w:top w:val="single" w:color="808080" w:sz="4"/>
              <w:left w:val="single" w:color="808080" w:sz="4"/>
              <w:bottom w:val="single" w:color="808080" w:sz="4"/>
              <w:right w:val="single" w:color="808080" w:sz="4"/>
            </w:tcBorders>
          </w:tcP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1</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2</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3</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4</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1</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2</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3</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4</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1</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2</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3</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4</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1</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2</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3</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4</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1</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2</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3</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4</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1</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2</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3</w:t>
            </w:r>
          </w:p>
        </w:tc>
        <w:tc>
          <w:tcPr>
            <w:tcW w:type="dxa" w:w="340"/>
            <w:tcBorders>
              <w:top w:val="single" w:color="808080" w:sz="4"/>
              <w:left w:val="single" w:color="808080" w:sz="4"/>
              <w:bottom w:val="single" w:color="808080" w:sz="4"/>
              <w:right w:val="single" w:color="808080" w:sz="4"/>
            </w:tcBorders>
            <w:shd w:fill="EEF2F9"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4"/>
                <w:szCs w:val="14"/>
              </w:rPr>
              <w:t xml:space="preserve">4</w:t>
            </w: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General</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Gestión del proyecto y reuniones de seguimiento</w:t>
            </w: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808080" w:color="auto" w:val="clear"/>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Permisos, consentimientos y reunión de arranque</w:t>
            </w: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Diseño y validación de instrumentos</w:t>
            </w: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Aplicación de instrumentos e inventario tecnológico</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Análisis de datos y especificación de requisitos</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1F3A5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OE1–OE2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Diseño de arquitectura y prototipos de interfaz</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563E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563E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563E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563E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OE1–OE2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Diseño instruccional (matriz de Bloom)</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563E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563E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563E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Instalación y configuración de la plataforma</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Desarrollo y carga de contenidos (sprints)</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Pruebas funcionales por sprint</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Pruebas de seguridad y de usabilidad</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2A9D8F"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Talleres de capacitación y manual de usuario</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Prueba piloto con estudiantes</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Aplicación de SUS, TAM, ICDA y registros</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Análisis de resultados y ajustes finales</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7"/>
                <w:szCs w:val="17"/>
              </w:rPr>
              <w:t xml:space="preserve">OE3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Informe final y guía de transición digital</w:t>
            </w: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c>
          <w:tcPr>
            <w:tcW w:type="dxa" w:w="340"/>
            <w:tcBorders>
              <w:top w:val="single" w:color="808080" w:sz="4"/>
              <w:left w:val="single" w:color="808080" w:sz="4"/>
              <w:bottom w:val="single" w:color="808080" w:sz="4"/>
              <w:right w:val="single" w:color="808080" w:sz="4"/>
            </w:tcBorders>
            <w:shd w:fill="E9A23B" w:color="auto" w:val="clear"/>
            <w:tcMar>
              <w:top w:type="dxa" w:w="50"/>
              <w:left w:type="dxa" w:w="90"/>
              <w:bottom w:type="dxa" w:w="50"/>
              <w:right w:type="dxa" w:w="90"/>
            </w:tcMar>
            <w:vAlign w:val="center"/>
          </w:tcPr>
          <w:p>
            <w:pPr>
              <w:spacing w:after="20" w:before="20" w:line="240" w:lineRule="auto"/>
              <w:jc w:val="left"/>
            </w:pP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Cada columna numerada corresponde a una semana dentro del mes. Colores: gris = transversal; azul oscuro = OE1; azul = OE1–OE2; verde = OE2; ámbar = OE3.</w:t>
      </w:r>
    </w:p>
    <w:p>
      <w:pPr>
        <w:keepNext/>
        <w:spacing w:after="100" w:before="200" w:line="240" w:lineRule="auto"/>
      </w:pPr>
      <w:r>
        <w:rPr>
          <w:rFonts w:ascii="Times New Roman" w:cs="Times New Roman" w:eastAsia="Times New Roman" w:hAnsi="Times New Roman"/>
          <w:b/>
          <w:bCs/>
          <w:sz w:val="24"/>
          <w:szCs w:val="24"/>
        </w:rPr>
        <w:t xml:space="preserve">Figura 17. </w:t>
      </w:r>
      <w:r>
        <w:rPr>
          <w:rFonts w:ascii="Times New Roman" w:cs="Times New Roman" w:eastAsia="Times New Roman" w:hAnsi="Times New Roman"/>
          <w:i/>
          <w:iCs/>
          <w:sz w:val="24"/>
          <w:szCs w:val="24"/>
        </w:rPr>
        <w:t xml:space="preserve">Diagrama de Gantt del proyecto.</w:t>
      </w:r>
    </w:p>
    <w:p>
      <w:pPr>
        <w:keepNext/>
        <w:spacing w:after="60" w:before="60" w:line="240" w:lineRule="auto"/>
        <w:jc w:val="center"/>
      </w:pPr>
      <w:r>
        <w:drawing>
          <wp:inline distT="0" distB="0" distL="0" distR="0">
            <wp:extent cx="7867650" cy="4610100"/>
            <wp:effectExtent t="0" r="0" b="0" l="0"/>
            <wp:docPr id="1" name="Diagrama de Gantt del proyecto." descr="Diagrama de Gantt del proyecto." title="Diagrama de Gantt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867650" cy="461010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la propuesta de la Fase 2 y en el plan de sprints.</w:t>
      </w:r>
    </w:p>
    <w:p>
      <w:pPr>
        <w:sectPr>
          <w:headerReference w:type="default" r:id="rId9"/>
          <w:pgSz w:w="15840" w:h="12240" w:orient="landscape"/>
          <w:pgMar w:top="1440" w:right="1440" w:bottom="1440" w:left="1440" w:header="708" w:footer="708" w:gutter="0"/>
          <w:pgNumType/>
          <w:docGrid w:linePitch="360"/>
        </w:sectPr>
      </w:pPr>
    </w:p>
    <w:p>
      <w:pPr>
        <w:spacing w:after="0" w:before="0" w:line="480" w:lineRule="auto"/>
        <w:ind w:firstLine="720"/>
        <w:jc w:val="left"/>
      </w:pPr>
      <w:r>
        <w:rPr>
          <w:rFonts w:ascii="Times New Roman" w:cs="Times New Roman" w:eastAsia="Times New Roman" w:hAnsi="Times New Roman"/>
          <w:sz w:val="24"/>
          <w:szCs w:val="24"/>
        </w:rPr>
        <w:t xml:space="preserve">La Tabla 36 resume los hitos del proyecto, que sirven de puntos de control con el director y con la institución.</w:t>
      </w:r>
    </w:p>
    <w:p>
      <w:pPr>
        <w:keepNext/>
        <w:spacing w:after="100" w:before="200" w:line="240" w:lineRule="auto"/>
      </w:pPr>
      <w:r>
        <w:rPr>
          <w:rFonts w:ascii="Times New Roman" w:cs="Times New Roman" w:eastAsia="Times New Roman" w:hAnsi="Times New Roman"/>
          <w:b/>
          <w:bCs/>
          <w:sz w:val="24"/>
          <w:szCs w:val="24"/>
        </w:rPr>
        <w:t xml:space="preserve">Tabla 36. </w:t>
      </w:r>
      <w:r>
        <w:rPr>
          <w:rFonts w:ascii="Times New Roman" w:cs="Times New Roman" w:eastAsia="Times New Roman" w:hAnsi="Times New Roman"/>
          <w:i/>
          <w:iCs/>
          <w:sz w:val="24"/>
          <w:szCs w:val="24"/>
        </w:rPr>
        <w:t xml:space="preserve">Hitos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300"/>
        <w:gridCol w:w="336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Hito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Semana</w:t>
            </w:r>
          </w:p>
        </w:tc>
        <w:tc>
          <w:tcPr>
            <w:tcW w:type="dxa" w:w="4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Entregable</w:t>
            </w:r>
          </w:p>
        </w:tc>
        <w:tc>
          <w:tcPr>
            <w:tcW w:type="dxa" w:w="3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Criterio de verificación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H1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4</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Instrumentos validados y aplicados; inventario tecnológico</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Datos recolectados con consentimiento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H2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8</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Documento de diagnóstico y de requisitos; prototipos y diseño de cursos</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Aprobación del dueño del producto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H3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16</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Plataforma funcional con contenidos (TRL 3–4); manual de usuario</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 90 % de las pruebas funcionales superadas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H4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20</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Piloto concluido y docentes capacitados</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 80 % de los docentes capacitados; piloto de 4 semanas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H5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24</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Informe final, guía de transición digital y sustentación</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Resultados SUS y TAM analizados; TRL 5 documentado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pStyle w:val="Heading2"/>
        <w:keepNext/>
        <w:spacing w:after="0" w:before="0" w:line="480" w:lineRule="auto"/>
      </w:pPr>
      <w:r>
        <w:rPr>
          <w:rFonts w:ascii="Times New Roman" w:cs="Times New Roman" w:eastAsia="Times New Roman" w:hAnsi="Times New Roman"/>
          <w:b/>
          <w:bCs/>
          <w:sz w:val="24"/>
          <w:szCs w:val="24"/>
        </w:rPr>
        <w:t xml:space="preserve">Recursos necesarios para la implementación</w:t>
      </w:r>
    </w:p>
    <w:p>
      <w:pPr>
        <w:spacing w:after="0" w:before="0" w:line="480" w:lineRule="auto"/>
        <w:ind w:firstLine="720"/>
        <w:jc w:val="left"/>
      </w:pPr>
      <w:r>
        <w:rPr>
          <w:rFonts w:ascii="Times New Roman" w:cs="Times New Roman" w:eastAsia="Times New Roman" w:hAnsi="Times New Roman"/>
          <w:sz w:val="24"/>
          <w:szCs w:val="24"/>
        </w:rPr>
        <w:t xml:space="preserve">El presupuesto estimado del proyecto es de $15.030.000, financiado principalmente con recursos propios del estudiante ejecutor y con aportes en especie de la UNAD y de la institución educativa. La Tabla 37 detalla cada rubro, y se valoraron las horas del equipo humano y de los recursos de apoyo para que el aporte de cada entidad sea visible.</w:t>
      </w:r>
    </w:p>
    <w:p>
      <w:pPr>
        <w:keepNext/>
        <w:spacing w:after="100" w:before="200" w:line="240" w:lineRule="auto"/>
      </w:pPr>
      <w:r>
        <w:rPr>
          <w:rFonts w:ascii="Times New Roman" w:cs="Times New Roman" w:eastAsia="Times New Roman" w:hAnsi="Times New Roman"/>
          <w:b/>
          <w:bCs/>
          <w:sz w:val="24"/>
          <w:szCs w:val="24"/>
        </w:rPr>
        <w:t xml:space="preserve">Tabla 37. </w:t>
      </w:r>
      <w:r>
        <w:rPr>
          <w:rFonts w:ascii="Times New Roman" w:cs="Times New Roman" w:eastAsia="Times New Roman" w:hAnsi="Times New Roman"/>
          <w:i/>
          <w:iCs/>
          <w:sz w:val="24"/>
          <w:szCs w:val="24"/>
        </w:rPr>
        <w:t xml:space="preserve">Presupuesto del proyecto por rubro.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13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Recurso</w:t>
            </w:r>
          </w:p>
        </w:tc>
        <w:tc>
          <w:tcPr>
            <w:tcW w:type="dxa" w:w="5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Descripción</w:t>
            </w:r>
          </w:p>
        </w:tc>
        <w:tc>
          <w:tcPr>
            <w:tcW w:type="dxa" w:w="1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Presupuesto</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1. Equipo humano</w:t>
            </w:r>
          </w:p>
        </w:tc>
        <w:tc>
          <w:tcPr>
            <w:tcW w:type="dxa" w:w="5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Estudiante ejecutor, 6 meses × $1.300.000 (aporte propio): $7.800.000.</w:t>
            </w:r>
          </w:p>
          <w:p>
            <w:pPr>
              <w:spacing w:after="20" w:before="20" w:line="240" w:lineRule="auto"/>
              <w:jc w:val="left"/>
            </w:pPr>
            <w:r>
              <w:rPr>
                <w:rFonts w:ascii="Times New Roman" w:cs="Times New Roman" w:eastAsia="Times New Roman" w:hAnsi="Times New Roman"/>
                <w:b w:val="false"/>
                <w:bCs w:val="false"/>
                <w:sz w:val="19"/>
                <w:szCs w:val="19"/>
              </w:rPr>
              <w:t xml:space="preserve">Director del proyecto UNAD, acompañamiento (aporte UNAD en especie): $2.000.000.</w:t>
            </w:r>
          </w:p>
          <w:p>
            <w:pPr>
              <w:spacing w:after="20" w:before="20" w:line="240" w:lineRule="auto"/>
              <w:jc w:val="left"/>
            </w:pPr>
            <w:r>
              <w:rPr>
                <w:rFonts w:ascii="Times New Roman" w:cs="Times New Roman" w:eastAsia="Times New Roman" w:hAnsi="Times New Roman"/>
                <w:b w:val="false"/>
                <w:bCs w:val="false"/>
                <w:sz w:val="19"/>
                <w:szCs w:val="19"/>
              </w:rPr>
              <w:t xml:space="preserve">Docentes de la I.E. para capacitación y piloto (aporte de la institución en especie): $1.500.000.</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$11.300.000</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2. Equipos y software</w:t>
            </w:r>
          </w:p>
        </w:tc>
        <w:tc>
          <w:tcPr>
            <w:tcW w:type="dxa" w:w="5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Portátil del estudiante (propio): $2.500.000.</w:t>
            </w:r>
          </w:p>
          <w:p>
            <w:pPr>
              <w:spacing w:after="20" w:before="20" w:line="240" w:lineRule="auto"/>
              <w:jc w:val="left"/>
            </w:pPr>
            <w:r>
              <w:rPr>
                <w:rFonts w:ascii="Times New Roman" w:cs="Times New Roman" w:eastAsia="Times New Roman" w:hAnsi="Times New Roman"/>
                <w:b w:val="false"/>
                <w:bCs w:val="false"/>
                <w:sz w:val="19"/>
                <w:szCs w:val="19"/>
              </w:rPr>
              <w:t xml:space="preserve">Servidor en la nube (VPS), 6 meses × $120.000 (propio): $720.000.</w:t>
            </w:r>
          </w:p>
          <w:p>
            <w:pPr>
              <w:spacing w:after="20" w:before="20" w:line="240" w:lineRule="auto"/>
              <w:jc w:val="left"/>
            </w:pPr>
            <w:r>
              <w:rPr>
                <w:rFonts w:ascii="Times New Roman" w:cs="Times New Roman" w:eastAsia="Times New Roman" w:hAnsi="Times New Roman"/>
                <w:b w:val="false"/>
                <w:bCs w:val="false"/>
                <w:sz w:val="19"/>
                <w:szCs w:val="19"/>
              </w:rPr>
              <w:t xml:space="preserve">Dominio y certificado SSL (propio): $60.000.</w:t>
            </w:r>
          </w:p>
          <w:p>
            <w:pPr>
              <w:spacing w:after="20" w:before="20" w:line="240" w:lineRule="auto"/>
              <w:jc w:val="left"/>
            </w:pPr>
            <w:r>
              <w:rPr>
                <w:rFonts w:ascii="Times New Roman" w:cs="Times New Roman" w:eastAsia="Times New Roman" w:hAnsi="Times New Roman"/>
                <w:b w:val="false"/>
                <w:bCs w:val="false"/>
                <w:sz w:val="19"/>
                <w:szCs w:val="19"/>
              </w:rPr>
              <w:t xml:space="preserve">Moodle, H5P y demás software libre: $0.</w:t>
            </w:r>
          </w:p>
          <w:p>
            <w:pPr>
              <w:spacing w:after="20" w:before="20" w:line="240" w:lineRule="auto"/>
              <w:jc w:val="left"/>
            </w:pPr>
            <w:r>
              <w:rPr>
                <w:rFonts w:ascii="Times New Roman" w:cs="Times New Roman" w:eastAsia="Times New Roman" w:hAnsi="Times New Roman"/>
                <w:b w:val="false"/>
                <w:bCs w:val="false"/>
                <w:sz w:val="19"/>
                <w:szCs w:val="19"/>
              </w:rPr>
              <w:t xml:space="preserve">Sala de cómputo y red de la I.E. (aporte de la institución, sin valoración).</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$3.280.000</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3. Viajes y salidas de campo</w:t>
            </w:r>
          </w:p>
        </w:tc>
        <w:tc>
          <w:tcPr>
            <w:tcW w:type="dxa" w:w="5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Desplazamientos locales a la institución (12 visitas, propio).</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$150.000</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4. Materiales y suministros</w:t>
            </w:r>
          </w:p>
        </w:tc>
        <w:tc>
          <w:tcPr>
            <w:tcW w:type="dxa" w:w="5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Papelería, impresión de manuales y material de talleres (propio).</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$300.000</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5. Bibliografía</w:t>
            </w:r>
          </w:p>
        </w:tc>
        <w:tc>
          <w:tcPr>
            <w:tcW w:type="dxa" w:w="5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Acceso a la Biblioteca Virtual UNAD y bases de datos (aporte UNAD).</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r>
      <w:tr>
        <w:trPr>
          <w:cantSplit/>
        </w:trPr>
        <w:tc>
          <w:tcPr>
            <w:tcW w:type="dxa" w:w="22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TOTAL</w:t>
            </w:r>
          </w:p>
        </w:tc>
        <w:tc>
          <w:tcPr>
            <w:tcW w:type="dxa" w:w="58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left"/>
            </w:pPr>
          </w:p>
        </w:tc>
        <w:tc>
          <w:tcPr>
            <w:tcW w:type="dxa" w:w="136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$15.030.000</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la propuesta de la Fase 2. El rubro de equipo humano corresponde a un estudiante ejecutor.</w:t>
      </w:r>
    </w:p>
    <w:p>
      <w:pPr>
        <w:spacing w:after="0" w:before="0" w:line="480" w:lineRule="auto"/>
        <w:ind w:firstLine="720"/>
        <w:jc w:val="left"/>
      </w:pPr>
      <w:r>
        <w:rPr>
          <w:rFonts w:ascii="Times New Roman" w:cs="Times New Roman" w:eastAsia="Times New Roman" w:hAnsi="Times New Roman"/>
          <w:sz w:val="24"/>
          <w:szCs w:val="24"/>
        </w:rPr>
        <w:t xml:space="preserve">La Tabla 38 distribuye el presupuesto según la fuente de financiación, y la Figura 18 muestra la distribución por categoría y por fuente. El aporte propio representa el 76,7 % del total; el de la UNAD, el 13,3 %; y el de la institución, el 10,0 %.</w:t>
      </w:r>
    </w:p>
    <w:p>
      <w:pPr>
        <w:keepNext/>
        <w:spacing w:after="100" w:before="200" w:line="240" w:lineRule="auto"/>
      </w:pPr>
      <w:r>
        <w:rPr>
          <w:rFonts w:ascii="Times New Roman" w:cs="Times New Roman" w:eastAsia="Times New Roman" w:hAnsi="Times New Roman"/>
          <w:b/>
          <w:bCs/>
          <w:sz w:val="24"/>
          <w:szCs w:val="24"/>
        </w:rPr>
        <w:t xml:space="preserve">Tabla 38. </w:t>
      </w:r>
      <w:r>
        <w:rPr>
          <w:rFonts w:ascii="Times New Roman" w:cs="Times New Roman" w:eastAsia="Times New Roman" w:hAnsi="Times New Roman"/>
          <w:i/>
          <w:iCs/>
          <w:sz w:val="24"/>
          <w:szCs w:val="24"/>
        </w:rPr>
        <w:t xml:space="preserve">Presupuesto según la fuente de financiación (en pesos colombianos).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Rubro</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Aporte propio</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UNAD (en especie)</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I.E. (en especie)</w:t>
            </w:r>
          </w:p>
        </w:tc>
        <w:tc>
          <w:tcPr>
            <w:tcW w:type="dxa" w:w="1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Total</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Equipo humano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$7.800.000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$2.000.000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$1.500.000</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$11.300.000</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Equipos y software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$3.280.000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$3.280.000</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Viajes y salidas de campo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$150.000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$150.000</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Materiales y suministros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$300.000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$300.000</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Bibliografía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9"/>
                <w:szCs w:val="19"/>
              </w:rPr>
              <w:t xml:space="preserve">$0</w:t>
            </w:r>
          </w:p>
        </w:tc>
      </w:tr>
      <w:tr>
        <w:trPr>
          <w:cantSplit/>
        </w:trPr>
        <w:tc>
          <w:tcPr>
            <w:tcW w:type="dxa" w:w="26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Total</w:t>
            </w:r>
          </w:p>
        </w:tc>
        <w:tc>
          <w:tcPr>
            <w:tcW w:type="dxa" w:w="17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$11.530.000</w:t>
            </w:r>
          </w:p>
        </w:tc>
        <w:tc>
          <w:tcPr>
            <w:tcW w:type="dxa" w:w="17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$2.000.000</w:t>
            </w:r>
          </w:p>
        </w:tc>
        <w:tc>
          <w:tcPr>
            <w:tcW w:type="dxa" w:w="170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$1.500.000</w:t>
            </w:r>
          </w:p>
        </w:tc>
        <w:tc>
          <w:tcPr>
            <w:tcW w:type="dxa" w:w="1660"/>
            <w:tcBorders>
              <w:top w:val="single" w:color="808080" w:sz="4"/>
              <w:left w:val="single" w:color="808080" w:sz="4"/>
              <w:bottom w:val="single" w:color="808080" w:sz="4"/>
              <w:right w:val="single" w:color="808080" w:sz="4"/>
            </w:tcBorders>
            <w:shd w:fill="E8EEF7"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$15.030.000</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keepNext/>
        <w:spacing w:after="100" w:before="200" w:line="240" w:lineRule="auto"/>
      </w:pPr>
      <w:r>
        <w:rPr>
          <w:rFonts w:ascii="Times New Roman" w:cs="Times New Roman" w:eastAsia="Times New Roman" w:hAnsi="Times New Roman"/>
          <w:b/>
          <w:bCs/>
          <w:sz w:val="24"/>
          <w:szCs w:val="24"/>
        </w:rPr>
        <w:t xml:space="preserve">Figura 18. </w:t>
      </w:r>
      <w:r>
        <w:rPr>
          <w:rFonts w:ascii="Times New Roman" w:cs="Times New Roman" w:eastAsia="Times New Roman" w:hAnsi="Times New Roman"/>
          <w:i/>
          <w:iCs/>
          <w:sz w:val="24"/>
          <w:szCs w:val="24"/>
        </w:rPr>
        <w:t xml:space="preserve">Distribución del presupuesto por categoría y por fuente de financiación.</w:t>
      </w:r>
    </w:p>
    <w:p>
      <w:pPr>
        <w:keepNext/>
        <w:spacing w:after="60" w:before="60" w:line="240" w:lineRule="auto"/>
        <w:jc w:val="center"/>
      </w:pPr>
      <w:r>
        <w:drawing>
          <wp:inline distT="0" distB="0" distL="0" distR="0">
            <wp:extent cx="5848350" cy="2505075"/>
            <wp:effectExtent t="0" r="0" b="0" l="0"/>
            <wp:docPr id="1" name="Distribución del presupuesto por categoría y por fuente de financiación." descr="Distribución del presupuesto por categoría y por fuente de financiación." title="Distribución del presupuesto por categoría y por fuente de finan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250507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ind w:firstLine="720"/>
        <w:jc w:val="left"/>
      </w:pPr>
      <w:r>
        <w:rPr>
          <w:rFonts w:ascii="Times New Roman" w:cs="Times New Roman" w:eastAsia="Times New Roman" w:hAnsi="Times New Roman"/>
          <w:sz w:val="24"/>
          <w:szCs w:val="24"/>
        </w:rPr>
        <w:t xml:space="preserve">Además de los recursos económicos, el proyecto requiere recursos humanos, tecnológicos, físicos e institucionales, que se resumen en la Tabla 39.</w:t>
      </w:r>
    </w:p>
    <w:p>
      <w:pPr>
        <w:keepNext/>
        <w:spacing w:after="100" w:before="200" w:line="240" w:lineRule="auto"/>
      </w:pPr>
      <w:r>
        <w:rPr>
          <w:rFonts w:ascii="Times New Roman" w:cs="Times New Roman" w:eastAsia="Times New Roman" w:hAnsi="Times New Roman"/>
          <w:b/>
          <w:bCs/>
          <w:sz w:val="24"/>
          <w:szCs w:val="24"/>
        </w:rPr>
        <w:t xml:space="preserve">Tabla 39. </w:t>
      </w:r>
      <w:r>
        <w:rPr>
          <w:rFonts w:ascii="Times New Roman" w:cs="Times New Roman" w:eastAsia="Times New Roman" w:hAnsi="Times New Roman"/>
          <w:i/>
          <w:iCs/>
          <w:sz w:val="24"/>
          <w:szCs w:val="24"/>
        </w:rPr>
        <w:t xml:space="preserve">Recursos no monetarios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6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Tipo</w:t>
            </w:r>
          </w:p>
        </w:tc>
        <w:tc>
          <w:tcPr>
            <w:tcW w:type="dxa" w:w="4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Recurso</w:t>
            </w:r>
          </w:p>
        </w:tc>
        <w:tc>
          <w:tcPr>
            <w:tcW w:type="dxa" w:w="30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Uso</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Humano</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Estudiantes ejecutores, director del proyecto, rectoría, docentes y estudiantes participantes</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Desarrollo, acompañamiento, validación y piloto</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Tecnológico</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Servidor en la nube, dominio, Moodle, H5P, GitHub, hoja de cálculo o Python</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Construcción, despliegue y análisis</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Físico</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Sala de cómputo y aulas de la institución; celulares de los participantes</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Capacitación, pruebas y piloto</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Institucional</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Autorización de la rectoría, acceso a los grupos y a los docentes, Biblioteca Virtual de la UNAD</w:t>
            </w:r>
          </w:p>
        </w:tc>
        <w:tc>
          <w:tcPr>
            <w:tcW w:type="dxa" w:w="3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Gestión del proyecto y sustento teórico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spacing w:after="0" w:before="0" w:line="480" w:lineRule="auto"/>
        <w:ind w:firstLine="720"/>
        <w:jc w:val="left"/>
      </w:pPr>
      <w:r>
        <w:rPr>
          <w:rFonts w:ascii="Times New Roman" w:cs="Times New Roman" w:eastAsia="Times New Roman" w:hAnsi="Times New Roman"/>
          <w:sz w:val="24"/>
          <w:szCs w:val="24"/>
        </w:rPr>
        <w:t xml:space="preserve">Tras la finalización del proyecto, la operación de la plataforma tendría un costo recurrente estimado de $1.500.000 anuales (servidor y dominio con los valores de referencia), que se definirá con la institución. Esta cifra, junto con el manual y la guía de transición, es parte del análisis de sostenibilidad.</w:t>
      </w:r>
    </w:p>
    <w:p>
      <w:pPr>
        <w:pStyle w:val="Heading2"/>
        <w:keepNext/>
        <w:spacing w:after="0" w:before="0" w:line="480" w:lineRule="auto"/>
      </w:pPr>
      <w:r>
        <w:rPr>
          <w:rFonts w:ascii="Times New Roman" w:cs="Times New Roman" w:eastAsia="Times New Roman" w:hAnsi="Times New Roman"/>
          <w:b/>
          <w:bCs/>
          <w:sz w:val="24"/>
          <w:szCs w:val="24"/>
        </w:rPr>
        <w:t xml:space="preserve">Resultados esperados</w:t>
      </w:r>
    </w:p>
    <w:p>
      <w:pPr>
        <w:spacing w:after="0" w:before="0" w:line="480" w:lineRule="auto"/>
        <w:ind w:firstLine="720"/>
        <w:jc w:val="left"/>
      </w:pPr>
      <w:r>
        <w:rPr>
          <w:rFonts w:ascii="Times New Roman" w:cs="Times New Roman" w:eastAsia="Times New Roman" w:hAnsi="Times New Roman"/>
          <w:sz w:val="24"/>
          <w:szCs w:val="24"/>
        </w:rPr>
        <w:t xml:space="preserve">Los resultados esperados se definen para cada objetivo específico, con su indicador, su beneficiario y su medio de verificación. Aparecen también las tipologías de producto reconocidas por el sistema de ciencia y tecnología, tal como se plantearon en la propuesta inicial. La Tabla 40 los presenta.</w:t>
      </w:r>
    </w:p>
    <w:p>
      <w:pPr>
        <w:keepNext/>
        <w:spacing w:after="100" w:before="200" w:line="240" w:lineRule="auto"/>
      </w:pPr>
      <w:r>
        <w:rPr>
          <w:rFonts w:ascii="Times New Roman" w:cs="Times New Roman" w:eastAsia="Times New Roman" w:hAnsi="Times New Roman"/>
          <w:b/>
          <w:bCs/>
          <w:sz w:val="24"/>
          <w:szCs w:val="24"/>
        </w:rPr>
        <w:t xml:space="preserve">Tabla 40. </w:t>
      </w:r>
      <w:r>
        <w:rPr>
          <w:rFonts w:ascii="Times New Roman" w:cs="Times New Roman" w:eastAsia="Times New Roman" w:hAnsi="Times New Roman"/>
          <w:i/>
          <w:iCs/>
          <w:sz w:val="24"/>
          <w:szCs w:val="24"/>
        </w:rPr>
        <w:t xml:space="preserve">Resultados o productos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700"/>
        <w:gridCol w:w="1660"/>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Resultado o producto</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Indicador</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Beneficiario</w:t>
            </w:r>
          </w:p>
        </w:tc>
        <w:tc>
          <w:tcPr>
            <w:tcW w:type="dxa" w:w="1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7"/>
                <w:szCs w:val="17"/>
              </w:rPr>
              <w:t xml:space="preserve">Verificación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Documento de diagnóstico y de requisitos de la plataforma (informe técnico, tipología Colciencias 2.2.3.3 / 2.2.3.6)</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1 documento aprobado; encuestas al 100 % de los docentes de las áreas priorizadas y a la muestra de estudiantes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Docentes, estudiantes y directivos de la I.E. El Carmelo</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Documento y base de datos anonimizada (OE1)</w:t>
            </w:r>
          </w:p>
        </w:tc>
      </w:tr>
      <w:tr>
        <w:trPr>
          <w:cantSplit/>
        </w:trPr>
        <w:tc>
          <w:tcPr>
            <w:tcW w:type="dxa" w:w="32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Plataforma digital de aprendizaje validada: software (tipología 2.2.2.1, producto tecnológico validado, TRL 5)</w:t>
            </w:r>
          </w:p>
        </w:tc>
        <w:tc>
          <w:tcPr>
            <w:tcW w:type="dxa" w:w="2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1 plataforma en producción con usuarios, cursos y acceso móvil; ≥ 90 % de pruebas funcionales superadas</w:t>
            </w:r>
          </w:p>
        </w:tc>
        <w:tc>
          <w:tcPr>
            <w:tcW w:type="dxa" w:w="1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Estudiantes y docentes de la I.E.</w:t>
            </w:r>
          </w:p>
        </w:tc>
        <w:tc>
          <w:tcPr>
            <w:tcW w:type="dxa" w:w="1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Plataforma en línea; registro de pruebas (OE2)</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Cursos y contenidos digitales alineados con la Taxonomía de Bloom (producción de contenido digital, 2.2.3.5)</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 3 áreas con cursos digitales; actividades en los 6 niveles de Bloom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Estudiantes y docentes</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Cursos y matriz de Bloom (OE2)</w:t>
            </w:r>
          </w:p>
        </w:tc>
      </w:tr>
      <w:tr>
        <w:trPr>
          <w:cantSplit/>
        </w:trPr>
        <w:tc>
          <w:tcPr>
            <w:tcW w:type="dxa" w:w="32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Docentes capacitados y manual de usuario (manual y guía especializada, 2.2.3.6; apropiación social, 2.2.3.3)</w:t>
            </w:r>
          </w:p>
        </w:tc>
        <w:tc>
          <w:tcPr>
            <w:tcW w:type="dxa" w:w="2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 80 % de los docentes participantes capacitados; 1 manual para docentes y estudiantes</w:t>
            </w:r>
          </w:p>
        </w:tc>
        <w:tc>
          <w:tcPr>
            <w:tcW w:type="dxa" w:w="1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Docentes de la I.E.</w:t>
            </w:r>
          </w:p>
        </w:tc>
        <w:tc>
          <w:tcPr>
            <w:tcW w:type="dxa" w:w="1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Listas de asistencia; manual (OE3)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Resultados de la prueba piloto: usabilidad y aceptación (informe de evaluación)</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Puntaje SUS ≥ 68; aceptación (TAM) favorable en ≥ 70 % de los encuestados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Comunidad educativa; UNAD</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Informe de evaluación (OE3)</w:t>
            </w:r>
          </w:p>
        </w:tc>
      </w:tr>
      <w:tr>
        <w:trPr>
          <w:cantSplit/>
        </w:trPr>
        <w:tc>
          <w:tcPr>
            <w:tcW w:type="dxa" w:w="32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Guía de transición digital replicable (guía especializada, 2.2.3.6)</w:t>
            </w:r>
          </w:p>
        </w:tc>
        <w:tc>
          <w:tcPr>
            <w:tcW w:type="dxa" w:w="28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1 guía; socialización ante la institución</w:t>
            </w:r>
          </w:p>
        </w:tc>
        <w:tc>
          <w:tcPr>
            <w:tcW w:type="dxa" w:w="170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Otras instituciones públicas; UNAD</w:t>
            </w:r>
          </w:p>
        </w:tc>
        <w:tc>
          <w:tcPr>
            <w:tcW w:type="dxa" w:w="1660"/>
            <w:tcBorders>
              <w:top w:val="single" w:color="808080" w:sz="4"/>
              <w:left w:val="single" w:color="808080" w:sz="4"/>
              <w:bottom w:val="single" w:color="808080" w:sz="4"/>
              <w:right w:val="single" w:color="808080" w:sz="4"/>
            </w:tcBorders>
            <w:shd w:fill="F5F7FA" w:color="auto" w:val="clear"/>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Guía y acta de socialización (OE3)</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Trabajo de grado de pregrado (dirección de trabajo de pregrado, 2.2.4.3)</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1 informe final aprobado y sustentado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Estudiantes; UNAD; Programa de Ingeniería de Sistemas</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7"/>
                <w:szCs w:val="17"/>
              </w:rPr>
              <w:t xml:space="preserve">Informe final y acta de sustentación</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la propuesta de la Fase 2.</w:t>
      </w:r>
    </w:p>
    <w:p>
      <w:pPr>
        <w:spacing w:after="0" w:before="0" w:line="480" w:lineRule="auto"/>
        <w:ind w:firstLine="720"/>
        <w:jc w:val="left"/>
      </w:pPr>
      <w:r>
        <w:rPr>
          <w:rFonts w:ascii="Times New Roman" w:cs="Times New Roman" w:eastAsia="Times New Roman" w:hAnsi="Times New Roman"/>
          <w:b/>
          <w:bCs/>
          <w:sz w:val="24"/>
          <w:szCs w:val="24"/>
        </w:rPr>
        <w:t xml:space="preserve">Resultados por objetivo específico.</w:t>
      </w:r>
      <w:r>
        <w:rPr>
          <w:rFonts w:ascii="Times New Roman" w:cs="Times New Roman" w:eastAsia="Times New Roman" w:hAnsi="Times New Roman"/>
          <w:sz w:val="24"/>
          <w:szCs w:val="24"/>
        </w:rPr>
        <w:t xml:space="preserve"> Con el cumplimiento del OE1, la institución contará por primera vez con una línea base documentada de sus condiciones de acceso, de conectividad y de competencias digitales, y con requisitos priorizados que orientan el diseño. Con el OE2, dispondrá de una plataforma funcional, con cursos y contenidos livianos organizados con criterios pedagógicos. Con el OE3, la plataforma será validada con usuarios reales, los docentes estarán capacitados, y la experiencia quedará documentada en una guía replicable.</w:t>
      </w:r>
    </w:p>
    <w:p>
      <w:pPr>
        <w:spacing w:after="0" w:before="0" w:line="480" w:lineRule="auto"/>
        <w:ind w:firstLine="720"/>
        <w:jc w:val="left"/>
      </w:pPr>
      <w:r>
        <w:rPr>
          <w:rFonts w:ascii="Times New Roman" w:cs="Times New Roman" w:eastAsia="Times New Roman" w:hAnsi="Times New Roman"/>
          <w:b/>
          <w:bCs/>
          <w:sz w:val="24"/>
          <w:szCs w:val="24"/>
        </w:rPr>
        <w:t xml:space="preserve">Impactos esperados.</w:t>
      </w:r>
      <w:r>
        <w:rPr>
          <w:rFonts w:ascii="Times New Roman" w:cs="Times New Roman" w:eastAsia="Times New Roman" w:hAnsi="Times New Roman"/>
          <w:sz w:val="24"/>
          <w:szCs w:val="24"/>
        </w:rPr>
        <w:t xml:space="preserve"> En lo social, se espera ampliar las oportunidades de aprendizaje de los estudiantes y reducir su dependencia exclusiva de la presencialidad. En lo académico, se espera que los docentes incorporen recursos y evaluaciones digitales en su práctica. En lo tecnológico, se aspira a un prototipo validado en un entorno relevante (TRL 5) y reproducible. Estos resultados contribuyen al ODS 4 y, de manera complementaria, a los ODS 9, 10 y 17 (Naciones Unidas, 2015).</w:t>
      </w:r>
    </w:p>
    <w:p>
      <w:pPr>
        <w:spacing w:after="0" w:before="0" w:line="480" w:lineRule="auto"/>
        <w:ind w:firstLine="720"/>
        <w:jc w:val="left"/>
      </w:pPr>
      <w:r>
        <w:rPr>
          <w:rFonts w:ascii="Times New Roman" w:cs="Times New Roman" w:eastAsia="Times New Roman" w:hAnsi="Times New Roman"/>
          <w:b/>
          <w:bCs/>
          <w:sz w:val="24"/>
          <w:szCs w:val="24"/>
        </w:rPr>
        <w:t xml:space="preserve">Riesgos para el logro de los resultados.</w:t>
      </w:r>
      <w:r>
        <w:rPr>
          <w:rFonts w:ascii="Times New Roman" w:cs="Times New Roman" w:eastAsia="Times New Roman" w:hAnsi="Times New Roman"/>
          <w:sz w:val="24"/>
          <w:szCs w:val="24"/>
        </w:rPr>
        <w:t xml:space="preserve"> Los resultados dependen de la autorización y del acompañamiento de la institución, de la disponibilidad de dispositivos y conectividad, y de la apropiación docente. Estos aspectos se controlan con las estrategias del registro de riesgos (Tabla 34) y con la medición de los indicadores en cada sprint.</w:t>
      </w:r>
    </w:p>
    <w:p>
      <w:pPr>
        <w:pStyle w:val="Heading1"/>
        <w:keepNext/>
        <w:spacing w:after="0" w:before="0" w:line="480" w:lineRule="auto"/>
        <w:jc w:val="center"/>
      </w:pPr>
      <w:r>
        <w:rPr>
          <w:rFonts w:ascii="Times New Roman" w:cs="Times New Roman" w:eastAsia="Times New Roman" w:hAnsi="Times New Roman"/>
          <w:b/>
          <w:bCs/>
          <w:sz w:val="24"/>
          <w:szCs w:val="24"/>
        </w:rPr>
        <w:t xml:space="preserve">Conclusiones</w:t>
      </w:r>
    </w:p>
    <w:p>
      <w:pPr>
        <w:spacing w:after="0" w:before="0" w:line="480" w:lineRule="auto"/>
        <w:ind w:firstLine="720"/>
        <w:jc w:val="left"/>
      </w:pPr>
      <w:r>
        <w:rPr>
          <w:rFonts w:ascii="Times New Roman" w:cs="Times New Roman" w:eastAsia="Times New Roman" w:hAnsi="Times New Roman"/>
          <w:sz w:val="24"/>
          <w:szCs w:val="24"/>
        </w:rPr>
        <w:t xml:space="preserve">Esta fase permitió formular el proceso metodológico investigativo y de desarrollo tecnológico del proyecto, con lo cual se cumple el resultado de aprendizaje de la actividad. Se consolidó el planteamiento de una problemática real: la persistencia de métodos tradicionales y la limitada incorporación de recursos digitales en la I.E. El Carmelo, en un escenario de brecha digital de conectividad, dispositivos y competencias. La revisión de antecedentes mostró que las plataformas de aprendizaje favorecen la autonomía y la motivación siempre que se diseñen para el contexto y se acompañen de capacitación docente.</w:t>
      </w:r>
    </w:p>
    <w:p>
      <w:pPr>
        <w:spacing w:after="0" w:before="0" w:line="480" w:lineRule="auto"/>
        <w:ind w:firstLine="720"/>
        <w:jc w:val="left"/>
      </w:pPr>
      <w:r>
        <w:rPr>
          <w:rFonts w:ascii="Times New Roman" w:cs="Times New Roman" w:eastAsia="Times New Roman" w:hAnsi="Times New Roman"/>
          <w:sz w:val="24"/>
          <w:szCs w:val="24"/>
        </w:rPr>
        <w:t xml:space="preserve">La plataforma basada en Moodle resultó la alternativa más adecuada según la matriz de decisión, pues es de software libre, ofrece acceso móvil y contenidos descargables y puede ser operada por la propia institución. Los marcos teórico, conceptual, jurídico y tecnológico ofrecen una base sólida para su diseño y evaluación, e incorporan la protección de datos de menores de edad.</w:t>
      </w:r>
    </w:p>
    <w:p>
      <w:pPr>
        <w:spacing w:after="0" w:before="0" w:line="480" w:lineRule="auto"/>
        <w:ind w:firstLine="720"/>
        <w:jc w:val="left"/>
      </w:pPr>
      <w:r>
        <w:rPr>
          <w:rFonts w:ascii="Times New Roman" w:cs="Times New Roman" w:eastAsia="Times New Roman" w:hAnsi="Times New Roman"/>
          <w:sz w:val="24"/>
          <w:szCs w:val="24"/>
        </w:rPr>
        <w:t xml:space="preserve">En atención a la recomendación de la fase anterior, se fortaleció la metodología de implementación y evaluación: se definieron hipótesis, variables, muestra, instrumentos, plan de análisis, criterios de éxito y control de amenazas a la validez. El análisis de requerimientos produjo 15 historias de usuario, 23 requisitos funcionales y 12 no funcionales, y el diseño preliminar aportó la arquitectura, las maquetas, el plan de pruebas y el plan de capacitación. Con un cronograma de seis meses y un presupuesto de $15.030.000, el proyecto es viable y proyecta alcanzar el TRL 5. Queda como tarea levantar los datos locales en el diagnóstico y ejecutar el desarrollo y el piloto en las fases siguientes.</w:t>
      </w:r>
    </w:p>
    <w:p>
      <w:pPr>
        <w:pStyle w:val="Heading1"/>
        <w:keepNext/>
        <w:spacing w:after="0" w:before="0" w:line="480" w:lineRule="auto"/>
        <w:jc w:val="center"/>
      </w:pPr>
      <w:r>
        <w:rPr>
          <w:rFonts w:ascii="Times New Roman" w:cs="Times New Roman" w:eastAsia="Times New Roman" w:hAnsi="Times New Roman"/>
          <w:b/>
          <w:bCs/>
          <w:sz w:val="24"/>
          <w:szCs w:val="24"/>
        </w:rPr>
        <w:t xml:space="preserve">Referencias</w:t>
      </w:r>
    </w:p>
    <w:p>
      <w:pPr>
        <w:spacing w:after="0" w:before="0" w:line="480" w:lineRule="auto"/>
        <w:ind w:left="720" w:hanging="720"/>
      </w:pPr>
      <w:r>
        <w:rPr>
          <w:rFonts w:ascii="Times New Roman" w:cs="Times New Roman" w:eastAsia="Times New Roman" w:hAnsi="Times New Roman"/>
          <w:sz w:val="24"/>
          <w:szCs w:val="24"/>
        </w:rPr>
        <w:t xml:space="preserve">Acosta-Sánchez, C. A. (2019). </w:t>
      </w:r>
      <w:r>
        <w:rPr>
          <w:rFonts w:ascii="Times New Roman" w:cs="Times New Roman" w:eastAsia="Times New Roman" w:hAnsi="Times New Roman"/>
          <w:i/>
          <w:iCs/>
          <w:sz w:val="24"/>
          <w:szCs w:val="24"/>
        </w:rPr>
        <w:t xml:space="preserve">Cuestiones prácticas para el planteamiento del problema en un proyecto de investigación</w:t>
      </w:r>
      <w:r>
        <w:rPr>
          <w:rFonts w:ascii="Times New Roman" w:cs="Times New Roman" w:eastAsia="Times New Roman" w:hAnsi="Times New Roman"/>
          <w:sz w:val="24"/>
          <w:szCs w:val="24"/>
        </w:rPr>
        <w:t xml:space="preserve"> [Objeto virtual de aprendizaje]. Repositorio Institucional UNAD. https://repository.unad.edu.co/handle/10596/31824</w:t>
      </w:r>
    </w:p>
    <w:p>
      <w:pPr>
        <w:spacing w:after="0" w:before="0" w:line="480" w:lineRule="auto"/>
        <w:ind w:left="720" w:hanging="720"/>
      </w:pPr>
      <w:r>
        <w:rPr>
          <w:rFonts w:ascii="Times New Roman" w:cs="Times New Roman" w:eastAsia="Times New Roman" w:hAnsi="Times New Roman"/>
          <w:sz w:val="24"/>
          <w:szCs w:val="24"/>
        </w:rPr>
        <w:t xml:space="preserve">Anderson, L. W., &amp; Krathwohl, D. R. (Eds.). (2001). </w:t>
      </w:r>
      <w:r>
        <w:rPr>
          <w:rFonts w:ascii="Times New Roman" w:cs="Times New Roman" w:eastAsia="Times New Roman" w:hAnsi="Times New Roman"/>
          <w:i/>
          <w:iCs/>
          <w:sz w:val="24"/>
          <w:szCs w:val="24"/>
        </w:rPr>
        <w:t xml:space="preserve">A taxonomy for learning, teaching, and assessing: A revision of Bloom's taxonomy of educational objectives</w:t>
      </w:r>
      <w:r>
        <w:rPr>
          <w:rFonts w:ascii="Times New Roman" w:cs="Times New Roman" w:eastAsia="Times New Roman" w:hAnsi="Times New Roman"/>
          <w:sz w:val="24"/>
          <w:szCs w:val="24"/>
        </w:rPr>
        <w:t xml:space="preserve">. Longman.</w:t>
      </w:r>
    </w:p>
    <w:p>
      <w:pPr>
        <w:spacing w:after="0" w:before="0" w:line="480" w:lineRule="auto"/>
        <w:ind w:left="720" w:hanging="720"/>
      </w:pPr>
      <w:r>
        <w:rPr>
          <w:rFonts w:ascii="Times New Roman" w:cs="Times New Roman" w:eastAsia="Times New Roman" w:hAnsi="Times New Roman"/>
          <w:sz w:val="24"/>
          <w:szCs w:val="24"/>
        </w:rPr>
        <w:t xml:space="preserve">Bangor, A., Kortum, P. T., &amp; Miller, J. T. (2008). An empirical evaluation of the System Usability Scale. </w:t>
      </w:r>
      <w:r>
        <w:rPr>
          <w:rFonts w:ascii="Times New Roman" w:cs="Times New Roman" w:eastAsia="Times New Roman" w:hAnsi="Times New Roman"/>
          <w:i/>
          <w:iCs/>
          <w:sz w:val="24"/>
          <w:szCs w:val="24"/>
        </w:rPr>
        <w:t xml:space="preserve">International Journal of Human–Computer Interaction, 24</w:t>
      </w:r>
      <w:r>
        <w:rPr>
          <w:rFonts w:ascii="Times New Roman" w:cs="Times New Roman" w:eastAsia="Times New Roman" w:hAnsi="Times New Roman"/>
          <w:sz w:val="24"/>
          <w:szCs w:val="24"/>
        </w:rPr>
        <w:t xml:space="preserve">(6), 574–594. https://doi.org/10.1080/10447310802205776</w:t>
      </w:r>
    </w:p>
    <w:p>
      <w:pPr>
        <w:spacing w:after="0" w:before="0" w:line="480" w:lineRule="auto"/>
        <w:ind w:left="720" w:hanging="720"/>
      </w:pPr>
      <w:r>
        <w:rPr>
          <w:rFonts w:ascii="Times New Roman" w:cs="Times New Roman" w:eastAsia="Times New Roman" w:hAnsi="Times New Roman"/>
          <w:sz w:val="24"/>
          <w:szCs w:val="24"/>
        </w:rPr>
        <w:t xml:space="preserve">Branch, R. M. (2009). </w:t>
      </w:r>
      <w:r>
        <w:rPr>
          <w:rFonts w:ascii="Times New Roman" w:cs="Times New Roman" w:eastAsia="Times New Roman" w:hAnsi="Times New Roman"/>
          <w:i/>
          <w:iCs/>
          <w:sz w:val="24"/>
          <w:szCs w:val="24"/>
        </w:rPr>
        <w:t xml:space="preserve">Instructional design: The ADDIE approach</w:t>
      </w:r>
      <w:r>
        <w:rPr>
          <w:rFonts w:ascii="Times New Roman" w:cs="Times New Roman" w:eastAsia="Times New Roman" w:hAnsi="Times New Roman"/>
          <w:sz w:val="24"/>
          <w:szCs w:val="24"/>
        </w:rPr>
        <w:t xml:space="preserve">. Springer.</w:t>
      </w:r>
    </w:p>
    <w:p>
      <w:pPr>
        <w:spacing w:after="0" w:before="0" w:line="480" w:lineRule="auto"/>
        <w:ind w:left="720" w:hanging="720"/>
      </w:pPr>
      <w:r>
        <w:rPr>
          <w:rFonts w:ascii="Times New Roman" w:cs="Times New Roman" w:eastAsia="Times New Roman" w:hAnsi="Times New Roman"/>
          <w:sz w:val="24"/>
          <w:szCs w:val="24"/>
        </w:rPr>
        <w:t xml:space="preserve">Brooke, J. (1996). SUS: A quick and dirty usability scale. En P. W. Jordan, B. Thomas, B. A. Weerdmeester, &amp; I. L. McClelland (Eds.), </w:t>
      </w:r>
      <w:r>
        <w:rPr>
          <w:rFonts w:ascii="Times New Roman" w:cs="Times New Roman" w:eastAsia="Times New Roman" w:hAnsi="Times New Roman"/>
          <w:i/>
          <w:iCs/>
          <w:sz w:val="24"/>
          <w:szCs w:val="24"/>
        </w:rPr>
        <w:t xml:space="preserve">Usability evaluation in industry</w:t>
      </w:r>
      <w:r>
        <w:rPr>
          <w:rFonts w:ascii="Times New Roman" w:cs="Times New Roman" w:eastAsia="Times New Roman" w:hAnsi="Times New Roman"/>
          <w:sz w:val="24"/>
          <w:szCs w:val="24"/>
        </w:rPr>
        <w:t xml:space="preserve"> (pp. 189–194). Taylor &amp; Francis.</w:t>
      </w:r>
    </w:p>
    <w:p>
      <w:pPr>
        <w:spacing w:after="0" w:before="0" w:line="480" w:lineRule="auto"/>
        <w:ind w:left="720" w:hanging="720"/>
      </w:pPr>
      <w:r>
        <w:rPr>
          <w:rFonts w:ascii="Times New Roman" w:cs="Times New Roman" w:eastAsia="Times New Roman" w:hAnsi="Times New Roman"/>
          <w:sz w:val="24"/>
          <w:szCs w:val="24"/>
        </w:rPr>
        <w:t xml:space="preserve">Bucheli, H. A. (2019). </w:t>
      </w:r>
      <w:r>
        <w:rPr>
          <w:rFonts w:ascii="Times New Roman" w:cs="Times New Roman" w:eastAsia="Times New Roman" w:hAnsi="Times New Roman"/>
          <w:i/>
          <w:iCs/>
          <w:sz w:val="24"/>
          <w:szCs w:val="24"/>
        </w:rPr>
        <w:t xml:space="preserve">CDIO (Concebir, Diseñar, Implementar y Operar): Iniciativa para la resolución de problemas en ingeniería</w:t>
      </w:r>
      <w:r>
        <w:rPr>
          <w:rFonts w:ascii="Times New Roman" w:cs="Times New Roman" w:eastAsia="Times New Roman" w:hAnsi="Times New Roman"/>
          <w:sz w:val="24"/>
          <w:szCs w:val="24"/>
        </w:rPr>
        <w:t xml:space="preserve"> [Objeto virtual de aprendizaje]. Repositorio Institucional UNAD. https://repository.unad.edu.co/handle/10596/33800</w:t>
      </w:r>
    </w:p>
    <w:p>
      <w:pPr>
        <w:spacing w:after="0" w:before="0" w:line="480" w:lineRule="auto"/>
        <w:ind w:left="720" w:hanging="720"/>
      </w:pPr>
      <w:r>
        <w:rPr>
          <w:rFonts w:ascii="Times New Roman" w:cs="Times New Roman" w:eastAsia="Times New Roman" w:hAnsi="Times New Roman"/>
          <w:sz w:val="24"/>
          <w:szCs w:val="24"/>
        </w:rPr>
        <w:t xml:space="preserve">Cardona-Acevedo, S., Agudelo-Ceballos, E., &amp; Cumpa-Vásquez, J. T. (2025). E-learning technologies at the secondary education level: Literature review. </w:t>
      </w:r>
      <w:r>
        <w:rPr>
          <w:rFonts w:ascii="Times New Roman" w:cs="Times New Roman" w:eastAsia="Times New Roman" w:hAnsi="Times New Roman"/>
          <w:i/>
          <w:iCs/>
          <w:sz w:val="24"/>
          <w:szCs w:val="24"/>
        </w:rPr>
        <w:t xml:space="preserve">Frontiers in Education, 10</w:t>
      </w:r>
      <w:r>
        <w:rPr>
          <w:rFonts w:ascii="Times New Roman" w:cs="Times New Roman" w:eastAsia="Times New Roman" w:hAnsi="Times New Roman"/>
          <w:sz w:val="24"/>
          <w:szCs w:val="24"/>
        </w:rPr>
        <w:t xml:space="preserve">. https://doi.org/10.3389/feduc.2025.1539763</w:t>
      </w:r>
    </w:p>
    <w:p>
      <w:pPr>
        <w:spacing w:after="0" w:before="0" w:line="480" w:lineRule="auto"/>
        <w:ind w:left="720" w:hanging="720"/>
      </w:pPr>
      <w:r>
        <w:rPr>
          <w:rFonts w:ascii="Times New Roman" w:cs="Times New Roman" w:eastAsia="Times New Roman" w:hAnsi="Times New Roman"/>
          <w:sz w:val="24"/>
          <w:szCs w:val="24"/>
        </w:rPr>
        <w:t xml:space="preserve">Cohen, J. (1988). </w:t>
      </w:r>
      <w:r>
        <w:rPr>
          <w:rFonts w:ascii="Times New Roman" w:cs="Times New Roman" w:eastAsia="Times New Roman" w:hAnsi="Times New Roman"/>
          <w:i/>
          <w:iCs/>
          <w:sz w:val="24"/>
          <w:szCs w:val="24"/>
        </w:rPr>
        <w:t xml:space="preserve">Statistical power analysis for the behavioral sciences</w:t>
      </w:r>
      <w:r>
        <w:rPr>
          <w:rFonts w:ascii="Times New Roman" w:cs="Times New Roman" w:eastAsia="Times New Roman" w:hAnsi="Times New Roman"/>
          <w:sz w:val="24"/>
          <w:szCs w:val="24"/>
        </w:rPr>
        <w:t xml:space="preserve"> (2.ª ed.). Lawrence Erlbaum Associates.</w:t>
      </w:r>
    </w:p>
    <w:p>
      <w:pPr>
        <w:spacing w:after="0" w:before="0" w:line="480" w:lineRule="auto"/>
        <w:ind w:left="720" w:hanging="720"/>
      </w:pPr>
      <w:r>
        <w:rPr>
          <w:rFonts w:ascii="Times New Roman" w:cs="Times New Roman" w:eastAsia="Times New Roman" w:hAnsi="Times New Roman"/>
          <w:sz w:val="24"/>
          <w:szCs w:val="24"/>
        </w:rPr>
        <w:t xml:space="preserve">Cohn, M. (2004). </w:t>
      </w:r>
      <w:r>
        <w:rPr>
          <w:rFonts w:ascii="Times New Roman" w:cs="Times New Roman" w:eastAsia="Times New Roman" w:hAnsi="Times New Roman"/>
          <w:i/>
          <w:iCs/>
          <w:sz w:val="24"/>
          <w:szCs w:val="24"/>
        </w:rPr>
        <w:t xml:space="preserve">User stories applied: For agile software development</w:t>
      </w:r>
      <w:r>
        <w:rPr>
          <w:rFonts w:ascii="Times New Roman" w:cs="Times New Roman" w:eastAsia="Times New Roman" w:hAnsi="Times New Roman"/>
          <w:sz w:val="24"/>
          <w:szCs w:val="24"/>
        </w:rPr>
        <w:t xml:space="preserve">. Addison-Wesley.</w:t>
      </w:r>
    </w:p>
    <w:p>
      <w:pPr>
        <w:spacing w:after="0" w:before="0" w:line="480" w:lineRule="auto"/>
        <w:ind w:left="720" w:hanging="720"/>
      </w:pPr>
      <w:r>
        <w:rPr>
          <w:rFonts w:ascii="Times New Roman" w:cs="Times New Roman" w:eastAsia="Times New Roman" w:hAnsi="Times New Roman"/>
          <w:sz w:val="24"/>
          <w:szCs w:val="24"/>
        </w:rPr>
        <w:t xml:space="preserve">COLCIENCIAS. (2018). </w:t>
      </w:r>
      <w:r>
        <w:rPr>
          <w:rFonts w:ascii="Times New Roman" w:cs="Times New Roman" w:eastAsia="Times New Roman" w:hAnsi="Times New Roman"/>
          <w:i/>
          <w:iCs/>
          <w:sz w:val="24"/>
          <w:szCs w:val="24"/>
        </w:rPr>
        <w:t xml:space="preserve">Anexo 1. Technology Readiness Levels – TRL. Convocatoria Cierre de Brechas Tecnológicas 2018</w:t>
      </w:r>
      <w:r>
        <w:rPr>
          <w:rFonts w:ascii="Times New Roman" w:cs="Times New Roman" w:eastAsia="Times New Roman" w:hAnsi="Times New Roman"/>
          <w:sz w:val="24"/>
          <w:szCs w:val="24"/>
        </w:rPr>
        <w:t xml:space="preserve">. Departamento Administrativo de Ciencia, Tecnología e Innovación.</w:t>
      </w:r>
    </w:p>
    <w:p>
      <w:pPr>
        <w:spacing w:after="0" w:before="0" w:line="480" w:lineRule="auto"/>
        <w:ind w:left="720" w:hanging="720"/>
      </w:pPr>
      <w:r>
        <w:rPr>
          <w:rFonts w:ascii="Times New Roman" w:cs="Times New Roman" w:eastAsia="Times New Roman" w:hAnsi="Times New Roman"/>
          <w:sz w:val="24"/>
          <w:szCs w:val="24"/>
        </w:rPr>
        <w:t xml:space="preserve">Congreso de la República de Colombia. (1982). </w:t>
      </w:r>
      <w:r>
        <w:rPr>
          <w:rFonts w:ascii="Times New Roman" w:cs="Times New Roman" w:eastAsia="Times New Roman" w:hAnsi="Times New Roman"/>
          <w:i/>
          <w:iCs/>
          <w:sz w:val="24"/>
          <w:szCs w:val="24"/>
        </w:rPr>
        <w:t xml:space="preserve">Ley 23 de 1982, sobre derechos de autor</w:t>
      </w:r>
      <w:r>
        <w:rPr>
          <w:rFonts w:ascii="Times New Roman" w:cs="Times New Roman" w:eastAsia="Times New Roman" w:hAnsi="Times New Roman"/>
          <w:sz w:val="24"/>
          <w:szCs w:val="24"/>
        </w:rPr>
        <w:t xml:space="preserve">. 28 de enero de 1982.</w:t>
      </w:r>
    </w:p>
    <w:p>
      <w:pPr>
        <w:spacing w:after="0" w:before="0" w:line="480" w:lineRule="auto"/>
        <w:ind w:left="720" w:hanging="720"/>
      </w:pPr>
      <w:r>
        <w:rPr>
          <w:rFonts w:ascii="Times New Roman" w:cs="Times New Roman" w:eastAsia="Times New Roman" w:hAnsi="Times New Roman"/>
          <w:sz w:val="24"/>
          <w:szCs w:val="24"/>
        </w:rPr>
        <w:t xml:space="preserve">Congreso de la República de Colombia. (1994). </w:t>
      </w:r>
      <w:r>
        <w:rPr>
          <w:rFonts w:ascii="Times New Roman" w:cs="Times New Roman" w:eastAsia="Times New Roman" w:hAnsi="Times New Roman"/>
          <w:i/>
          <w:iCs/>
          <w:sz w:val="24"/>
          <w:szCs w:val="24"/>
        </w:rPr>
        <w:t xml:space="preserve">Ley 115 de 1994, por la cual se expide la Ley General de Educación</w:t>
      </w:r>
      <w:r>
        <w:rPr>
          <w:rFonts w:ascii="Times New Roman" w:cs="Times New Roman" w:eastAsia="Times New Roman" w:hAnsi="Times New Roman"/>
          <w:sz w:val="24"/>
          <w:szCs w:val="24"/>
        </w:rPr>
        <w:t xml:space="preserve">. 8 de febrero de 1994.</w:t>
      </w:r>
    </w:p>
    <w:p>
      <w:pPr>
        <w:spacing w:after="0" w:before="0" w:line="480" w:lineRule="auto"/>
        <w:ind w:left="720" w:hanging="720"/>
      </w:pPr>
      <w:r>
        <w:rPr>
          <w:rFonts w:ascii="Times New Roman" w:cs="Times New Roman" w:eastAsia="Times New Roman" w:hAnsi="Times New Roman"/>
          <w:sz w:val="24"/>
          <w:szCs w:val="24"/>
        </w:rPr>
        <w:t xml:space="preserve">Congreso de la República de Colombia. (2006). </w:t>
      </w:r>
      <w:r>
        <w:rPr>
          <w:rFonts w:ascii="Times New Roman" w:cs="Times New Roman" w:eastAsia="Times New Roman" w:hAnsi="Times New Roman"/>
          <w:i/>
          <w:iCs/>
          <w:sz w:val="24"/>
          <w:szCs w:val="24"/>
        </w:rPr>
        <w:t xml:space="preserve">Ley 1098 de 2006, por la cual se expide el Código de la Infancia y la Adolescencia</w:t>
      </w:r>
      <w:r>
        <w:rPr>
          <w:rFonts w:ascii="Times New Roman" w:cs="Times New Roman" w:eastAsia="Times New Roman" w:hAnsi="Times New Roman"/>
          <w:sz w:val="24"/>
          <w:szCs w:val="24"/>
        </w:rPr>
        <w:t xml:space="preserve">. 8 de noviembre de 2006.</w:t>
      </w:r>
    </w:p>
    <w:p>
      <w:pPr>
        <w:spacing w:after="0" w:before="0" w:line="480" w:lineRule="auto"/>
        <w:ind w:left="720" w:hanging="720"/>
      </w:pPr>
      <w:r>
        <w:rPr>
          <w:rFonts w:ascii="Times New Roman" w:cs="Times New Roman" w:eastAsia="Times New Roman" w:hAnsi="Times New Roman"/>
          <w:sz w:val="24"/>
          <w:szCs w:val="24"/>
        </w:rPr>
        <w:t xml:space="preserve">Congreso de la República de Colombia. (2009a). </w:t>
      </w:r>
      <w:r>
        <w:rPr>
          <w:rFonts w:ascii="Times New Roman" w:cs="Times New Roman" w:eastAsia="Times New Roman" w:hAnsi="Times New Roman"/>
          <w:i/>
          <w:iCs/>
          <w:sz w:val="24"/>
          <w:szCs w:val="24"/>
        </w:rPr>
        <w:t xml:space="preserve">Ley 1273 de 2009, por medio de la cual se modifica el Código Penal y se crea el bien jurídico tutelado de la protección de la información y de los datos</w:t>
      </w:r>
      <w:r>
        <w:rPr>
          <w:rFonts w:ascii="Times New Roman" w:cs="Times New Roman" w:eastAsia="Times New Roman" w:hAnsi="Times New Roman"/>
          <w:sz w:val="24"/>
          <w:szCs w:val="24"/>
        </w:rPr>
        <w:t xml:space="preserve">. 5 de enero de 2009.</w:t>
      </w:r>
    </w:p>
    <w:p>
      <w:pPr>
        <w:spacing w:after="0" w:before="0" w:line="480" w:lineRule="auto"/>
        <w:ind w:left="720" w:hanging="720"/>
      </w:pPr>
      <w:r>
        <w:rPr>
          <w:rFonts w:ascii="Times New Roman" w:cs="Times New Roman" w:eastAsia="Times New Roman" w:hAnsi="Times New Roman"/>
          <w:sz w:val="24"/>
          <w:szCs w:val="24"/>
        </w:rPr>
        <w:t xml:space="preserve">Congreso de la República de Colombia. (2009b). </w:t>
      </w:r>
      <w:r>
        <w:rPr>
          <w:rFonts w:ascii="Times New Roman" w:cs="Times New Roman" w:eastAsia="Times New Roman" w:hAnsi="Times New Roman"/>
          <w:i/>
          <w:iCs/>
          <w:sz w:val="24"/>
          <w:szCs w:val="24"/>
        </w:rPr>
        <w:t xml:space="preserve">Ley 1341 de 2009, por la cual se definen principios y conceptos sobre la sociedad de la información y la organización de las TIC</w:t>
      </w:r>
      <w:r>
        <w:rPr>
          <w:rFonts w:ascii="Times New Roman" w:cs="Times New Roman" w:eastAsia="Times New Roman" w:hAnsi="Times New Roman"/>
          <w:sz w:val="24"/>
          <w:szCs w:val="24"/>
        </w:rPr>
        <w:t xml:space="preserve">. 30 de julio de 2009.</w:t>
      </w:r>
    </w:p>
    <w:p>
      <w:pPr>
        <w:spacing w:after="0" w:before="0" w:line="480" w:lineRule="auto"/>
        <w:ind w:left="720" w:hanging="720"/>
      </w:pPr>
      <w:r>
        <w:rPr>
          <w:rFonts w:ascii="Times New Roman" w:cs="Times New Roman" w:eastAsia="Times New Roman" w:hAnsi="Times New Roman"/>
          <w:sz w:val="24"/>
          <w:szCs w:val="24"/>
        </w:rPr>
        <w:t xml:space="preserve">Congreso de la República de Colombia. (2012). </w:t>
      </w:r>
      <w:r>
        <w:rPr>
          <w:rFonts w:ascii="Times New Roman" w:cs="Times New Roman" w:eastAsia="Times New Roman" w:hAnsi="Times New Roman"/>
          <w:i/>
          <w:iCs/>
          <w:sz w:val="24"/>
          <w:szCs w:val="24"/>
        </w:rPr>
        <w:t xml:space="preserve">Ley 1581 de 2012, por la cual se dictan disposiciones generales para la protección de datos personales</w:t>
      </w:r>
      <w:r>
        <w:rPr>
          <w:rFonts w:ascii="Times New Roman" w:cs="Times New Roman" w:eastAsia="Times New Roman" w:hAnsi="Times New Roman"/>
          <w:sz w:val="24"/>
          <w:szCs w:val="24"/>
        </w:rPr>
        <w:t xml:space="preserve">. 17 de octubre de 2012.</w:t>
      </w:r>
    </w:p>
    <w:p>
      <w:pPr>
        <w:spacing w:after="0" w:before="0" w:line="480" w:lineRule="auto"/>
        <w:ind w:left="720" w:hanging="720"/>
      </w:pPr>
      <w:r>
        <w:rPr>
          <w:rFonts w:ascii="Times New Roman" w:cs="Times New Roman" w:eastAsia="Times New Roman" w:hAnsi="Times New Roman"/>
          <w:sz w:val="24"/>
          <w:szCs w:val="24"/>
        </w:rPr>
        <w:t xml:space="preserve">Congreso de la República de Colombia. (2018). </w:t>
      </w:r>
      <w:r>
        <w:rPr>
          <w:rFonts w:ascii="Times New Roman" w:cs="Times New Roman" w:eastAsia="Times New Roman" w:hAnsi="Times New Roman"/>
          <w:i/>
          <w:iCs/>
          <w:sz w:val="24"/>
          <w:szCs w:val="24"/>
        </w:rPr>
        <w:t xml:space="preserve">Ley 1915 de 2018, por la cual se modifica la Ley 23 de 1982 y se establecen otras disposiciones en materia de derecho de autor y derechos conexos</w:t>
      </w:r>
      <w:r>
        <w:rPr>
          <w:rFonts w:ascii="Times New Roman" w:cs="Times New Roman" w:eastAsia="Times New Roman" w:hAnsi="Times New Roman"/>
          <w:sz w:val="24"/>
          <w:szCs w:val="24"/>
        </w:rPr>
        <w:t xml:space="preserve">. 12 de julio de 2018.</w:t>
      </w:r>
    </w:p>
    <w:p>
      <w:pPr>
        <w:spacing w:after="0" w:before="0" w:line="480" w:lineRule="auto"/>
        <w:ind w:left="720" w:hanging="720"/>
      </w:pPr>
      <w:r>
        <w:rPr>
          <w:rFonts w:ascii="Times New Roman" w:cs="Times New Roman" w:eastAsia="Times New Roman" w:hAnsi="Times New Roman"/>
          <w:sz w:val="24"/>
          <w:szCs w:val="24"/>
        </w:rPr>
        <w:t xml:space="preserve">Congreso de la República de Colombia. (2019). </w:t>
      </w:r>
      <w:r>
        <w:rPr>
          <w:rFonts w:ascii="Times New Roman" w:cs="Times New Roman" w:eastAsia="Times New Roman" w:hAnsi="Times New Roman"/>
          <w:i/>
          <w:iCs/>
          <w:sz w:val="24"/>
          <w:szCs w:val="24"/>
        </w:rPr>
        <w:t xml:space="preserve">Ley 1978 de 2019, por la cual se moderniza el sector de las Tecnologías de la Información y las Comunicaciones (TIC), se distribuyen competencias, se crea un regulador único y se dictan otras disposiciones</w:t>
      </w:r>
      <w:r>
        <w:rPr>
          <w:rFonts w:ascii="Times New Roman" w:cs="Times New Roman" w:eastAsia="Times New Roman" w:hAnsi="Times New Roman"/>
          <w:sz w:val="24"/>
          <w:szCs w:val="24"/>
        </w:rPr>
        <w:t xml:space="preserve">. 25 de julio de 2019.</w:t>
      </w:r>
    </w:p>
    <w:p>
      <w:pPr>
        <w:spacing w:after="0" w:before="0" w:line="480" w:lineRule="auto"/>
        <w:ind w:left="720" w:hanging="720"/>
      </w:pPr>
      <w:r>
        <w:rPr>
          <w:rFonts w:ascii="Times New Roman" w:cs="Times New Roman" w:eastAsia="Times New Roman" w:hAnsi="Times New Roman"/>
          <w:sz w:val="24"/>
          <w:szCs w:val="24"/>
        </w:rPr>
        <w:t xml:space="preserve">Congreso de la República de Colombia. (2021). </w:t>
      </w:r>
      <w:r>
        <w:rPr>
          <w:rFonts w:ascii="Times New Roman" w:cs="Times New Roman" w:eastAsia="Times New Roman" w:hAnsi="Times New Roman"/>
          <w:i/>
          <w:iCs/>
          <w:sz w:val="24"/>
          <w:szCs w:val="24"/>
        </w:rPr>
        <w:t xml:space="preserve">Ley 2108 de 2021, por medio de la cual se declara el internet como servicio público esencial y universal</w:t>
      </w:r>
      <w:r>
        <w:rPr>
          <w:rFonts w:ascii="Times New Roman" w:cs="Times New Roman" w:eastAsia="Times New Roman" w:hAnsi="Times New Roman"/>
          <w:sz w:val="24"/>
          <w:szCs w:val="24"/>
        </w:rPr>
        <w:t xml:space="preserve">. 29 de julio de 2021.</w:t>
      </w:r>
    </w:p>
    <w:p>
      <w:pPr>
        <w:spacing w:after="0" w:before="0" w:line="480" w:lineRule="auto"/>
        <w:ind w:left="720" w:hanging="720"/>
      </w:pPr>
      <w:r>
        <w:rPr>
          <w:rFonts w:ascii="Times New Roman" w:cs="Times New Roman" w:eastAsia="Times New Roman" w:hAnsi="Times New Roman"/>
          <w:sz w:val="24"/>
          <w:szCs w:val="24"/>
        </w:rPr>
        <w:t xml:space="preserve">Constitución Política de Colombia. (1991). </w:t>
      </w:r>
      <w:r>
        <w:rPr>
          <w:rFonts w:ascii="Times New Roman" w:cs="Times New Roman" w:eastAsia="Times New Roman" w:hAnsi="Times New Roman"/>
          <w:i/>
          <w:iCs/>
          <w:sz w:val="24"/>
          <w:szCs w:val="24"/>
        </w:rPr>
        <w:t xml:space="preserve">Constitución Política de Colombia</w:t>
      </w:r>
      <w:r>
        <w:rPr>
          <w:rFonts w:ascii="Times New Roman" w:cs="Times New Roman" w:eastAsia="Times New Roman" w:hAnsi="Times New Roman"/>
          <w:sz w:val="24"/>
          <w:szCs w:val="24"/>
        </w:rPr>
        <w:t xml:space="preserve">.</w:t>
      </w:r>
    </w:p>
    <w:p>
      <w:pPr>
        <w:spacing w:after="0" w:before="0" w:line="480" w:lineRule="auto"/>
        <w:ind w:left="720" w:hanging="720"/>
      </w:pPr>
      <w:r>
        <w:rPr>
          <w:rFonts w:ascii="Times New Roman" w:cs="Times New Roman" w:eastAsia="Times New Roman" w:hAnsi="Times New Roman"/>
          <w:sz w:val="24"/>
          <w:szCs w:val="24"/>
        </w:rPr>
        <w:t xml:space="preserve">Crawley, E. F., Malmqvist, J., Östlund, S., Brodeur, D. R., &amp; Edström, K. (2014). </w:t>
      </w:r>
      <w:r>
        <w:rPr>
          <w:rFonts w:ascii="Times New Roman" w:cs="Times New Roman" w:eastAsia="Times New Roman" w:hAnsi="Times New Roman"/>
          <w:i/>
          <w:iCs/>
          <w:sz w:val="24"/>
          <w:szCs w:val="24"/>
        </w:rPr>
        <w:t xml:space="preserve">Rethinking engineering education: The CDIO approach</w:t>
      </w:r>
      <w:r>
        <w:rPr>
          <w:rFonts w:ascii="Times New Roman" w:cs="Times New Roman" w:eastAsia="Times New Roman" w:hAnsi="Times New Roman"/>
          <w:sz w:val="24"/>
          <w:szCs w:val="24"/>
        </w:rPr>
        <w:t xml:space="preserve"> (2.ª ed.). Springer.</w:t>
      </w:r>
    </w:p>
    <w:p>
      <w:pPr>
        <w:spacing w:after="0" w:before="0" w:line="480" w:lineRule="auto"/>
        <w:ind w:left="720" w:hanging="720"/>
      </w:pPr>
      <w:r>
        <w:rPr>
          <w:rFonts w:ascii="Times New Roman" w:cs="Times New Roman" w:eastAsia="Times New Roman" w:hAnsi="Times New Roman"/>
          <w:sz w:val="24"/>
          <w:szCs w:val="24"/>
        </w:rPr>
        <w:t xml:space="preserve">Creswell, J. W., &amp; Plano Clark, V. L. (2018). </w:t>
      </w:r>
      <w:r>
        <w:rPr>
          <w:rFonts w:ascii="Times New Roman" w:cs="Times New Roman" w:eastAsia="Times New Roman" w:hAnsi="Times New Roman"/>
          <w:i/>
          <w:iCs/>
          <w:sz w:val="24"/>
          <w:szCs w:val="24"/>
        </w:rPr>
        <w:t xml:space="preserve">Designing and conducting mixed methods research</w:t>
      </w:r>
      <w:r>
        <w:rPr>
          <w:rFonts w:ascii="Times New Roman" w:cs="Times New Roman" w:eastAsia="Times New Roman" w:hAnsi="Times New Roman"/>
          <w:sz w:val="24"/>
          <w:szCs w:val="24"/>
        </w:rPr>
        <w:t xml:space="preserve"> (3.ª ed.). SAGE.</w:t>
      </w:r>
    </w:p>
    <w:p>
      <w:pPr>
        <w:spacing w:after="0" w:before="0" w:line="480" w:lineRule="auto"/>
        <w:ind w:left="720" w:hanging="720"/>
      </w:pPr>
      <w:r>
        <w:rPr>
          <w:rFonts w:ascii="Times New Roman" w:cs="Times New Roman" w:eastAsia="Times New Roman" w:hAnsi="Times New Roman"/>
          <w:sz w:val="24"/>
          <w:szCs w:val="24"/>
        </w:rPr>
        <w:t xml:space="preserve">Cronbach, L. J. (1951). Coefficient alpha and the internal structure of tests. </w:t>
      </w:r>
      <w:r>
        <w:rPr>
          <w:rFonts w:ascii="Times New Roman" w:cs="Times New Roman" w:eastAsia="Times New Roman" w:hAnsi="Times New Roman"/>
          <w:i/>
          <w:iCs/>
          <w:sz w:val="24"/>
          <w:szCs w:val="24"/>
        </w:rPr>
        <w:t xml:space="preserve">Psychometrika, 16</w:t>
      </w:r>
      <w:r>
        <w:rPr>
          <w:rFonts w:ascii="Times New Roman" w:cs="Times New Roman" w:eastAsia="Times New Roman" w:hAnsi="Times New Roman"/>
          <w:sz w:val="24"/>
          <w:szCs w:val="24"/>
        </w:rPr>
        <w:t xml:space="preserve">(3), 297–334. https://doi.org/10.1007/BF02310555</w:t>
      </w:r>
    </w:p>
    <w:p>
      <w:pPr>
        <w:spacing w:after="0" w:before="0" w:line="480" w:lineRule="auto"/>
        <w:ind w:left="720" w:hanging="720"/>
      </w:pPr>
      <w:r>
        <w:rPr>
          <w:rFonts w:ascii="Times New Roman" w:cs="Times New Roman" w:eastAsia="Times New Roman" w:hAnsi="Times New Roman"/>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sz w:val="24"/>
          <w:szCs w:val="24"/>
        </w:rPr>
        <w:t xml:space="preserve">(3), 319–340. https://doi.org/10.2307/249008</w:t>
      </w:r>
    </w:p>
    <w:p>
      <w:pPr>
        <w:spacing w:after="0" w:before="0" w:line="480" w:lineRule="auto"/>
        <w:ind w:left="720" w:hanging="720"/>
      </w:pPr>
      <w:r>
        <w:rPr>
          <w:rFonts w:ascii="Times New Roman" w:cs="Times New Roman" w:eastAsia="Times New Roman" w:hAnsi="Times New Roman"/>
          <w:sz w:val="24"/>
          <w:szCs w:val="24"/>
        </w:rPr>
        <w:t xml:space="preserve">Dougiamas, M., &amp; Taylor, P. C. (2003). Moodle: Using learning communities to create an open source course management system. En </w:t>
      </w:r>
      <w:r>
        <w:rPr>
          <w:rFonts w:ascii="Times New Roman" w:cs="Times New Roman" w:eastAsia="Times New Roman" w:hAnsi="Times New Roman"/>
          <w:i/>
          <w:iCs/>
          <w:sz w:val="24"/>
          <w:szCs w:val="24"/>
        </w:rPr>
        <w:t xml:space="preserve">Proceedings of EDMEDIA 2003</w:t>
      </w:r>
      <w:r>
        <w:rPr>
          <w:rFonts w:ascii="Times New Roman" w:cs="Times New Roman" w:eastAsia="Times New Roman" w:hAnsi="Times New Roman"/>
          <w:sz w:val="24"/>
          <w:szCs w:val="24"/>
        </w:rPr>
        <w:t xml:space="preserve">. Association for the Advancement of Computing in Education.</w:t>
      </w:r>
    </w:p>
    <w:p>
      <w:pPr>
        <w:spacing w:after="0" w:before="0" w:line="480" w:lineRule="auto"/>
        <w:ind w:left="720" w:hanging="720"/>
      </w:pPr>
      <w:r>
        <w:rPr>
          <w:rFonts w:ascii="Times New Roman" w:cs="Times New Roman" w:eastAsia="Times New Roman" w:hAnsi="Times New Roman"/>
          <w:sz w:val="24"/>
          <w:szCs w:val="24"/>
        </w:rPr>
        <w:t xml:space="preserve">Free Software Foundation. (2007). </w:t>
      </w:r>
      <w:r>
        <w:rPr>
          <w:rFonts w:ascii="Times New Roman" w:cs="Times New Roman" w:eastAsia="Times New Roman" w:hAnsi="Times New Roman"/>
          <w:i/>
          <w:iCs/>
          <w:sz w:val="24"/>
          <w:szCs w:val="24"/>
        </w:rPr>
        <w:t xml:space="preserve">GNU General Public License, version 3</w:t>
      </w:r>
      <w:r>
        <w:rPr>
          <w:rFonts w:ascii="Times New Roman" w:cs="Times New Roman" w:eastAsia="Times New Roman" w:hAnsi="Times New Roman"/>
          <w:sz w:val="24"/>
          <w:szCs w:val="24"/>
        </w:rPr>
        <w:t xml:space="preserve">. https://www.gnu.org/licenses/gpl-3.0.html</w:t>
      </w:r>
    </w:p>
    <w:p>
      <w:pPr>
        <w:spacing w:after="0" w:before="0" w:line="480" w:lineRule="auto"/>
        <w:ind w:left="720" w:hanging="720"/>
      </w:pPr>
      <w:r>
        <w:rPr>
          <w:rFonts w:ascii="Times New Roman" w:cs="Times New Roman" w:eastAsia="Times New Roman" w:hAnsi="Times New Roman"/>
          <w:sz w:val="24"/>
          <w:szCs w:val="24"/>
        </w:rPr>
        <w:t xml:space="preserve">Grisales Pérez, C. A. (2013). </w:t>
      </w:r>
      <w:r>
        <w:rPr>
          <w:rFonts w:ascii="Times New Roman" w:cs="Times New Roman" w:eastAsia="Times New Roman" w:hAnsi="Times New Roman"/>
          <w:i/>
          <w:iCs/>
          <w:sz w:val="24"/>
          <w:szCs w:val="24"/>
        </w:rPr>
        <w:t xml:space="preserve">Implementación de la plataforma Moodle en la Institución Educativa Luis López de Mesa</w:t>
      </w:r>
      <w:r>
        <w:rPr>
          <w:rFonts w:ascii="Times New Roman" w:cs="Times New Roman" w:eastAsia="Times New Roman" w:hAnsi="Times New Roman"/>
          <w:sz w:val="24"/>
          <w:szCs w:val="24"/>
        </w:rPr>
        <w:t xml:space="preserve"> [Tesis de maestría, Universidad Nacional de Colombia]. Repositorio institucional UNAL. https://bffrepositorio.unal.edu.co/server/api/core/bitstreams/de382cd5-ca87-4c1d-ae20-6621827c50b9/content</w:t>
      </w:r>
    </w:p>
    <w:p>
      <w:pPr>
        <w:spacing w:after="0" w:before="0" w:line="480" w:lineRule="auto"/>
        <w:ind w:left="720" w:hanging="720"/>
      </w:pPr>
      <w:r>
        <w:rPr>
          <w:rFonts w:ascii="Times New Roman" w:cs="Times New Roman" w:eastAsia="Times New Roman" w:hAnsi="Times New Roman"/>
          <w:sz w:val="24"/>
          <w:szCs w:val="24"/>
        </w:rPr>
        <w:t xml:space="preserve">Hernández Sampieri, R. (2018). </w:t>
      </w:r>
      <w:r>
        <w:rPr>
          <w:rFonts w:ascii="Times New Roman" w:cs="Times New Roman" w:eastAsia="Times New Roman" w:hAnsi="Times New Roman"/>
          <w:i/>
          <w:iCs/>
          <w:sz w:val="24"/>
          <w:szCs w:val="24"/>
        </w:rPr>
        <w:t xml:space="preserve">Metodología de la investigación: Las rutas cuantitativa, cualitativa y mixta</w:t>
      </w:r>
      <w:r>
        <w:rPr>
          <w:rFonts w:ascii="Times New Roman" w:cs="Times New Roman" w:eastAsia="Times New Roman" w:hAnsi="Times New Roman"/>
          <w:sz w:val="24"/>
          <w:szCs w:val="24"/>
        </w:rPr>
        <w:t xml:space="preserve">. McGraw-Hill Interamericana. https://www-ebooks7-24-com.bibliotecavirtual.unad.edu.co/?il=6443</w:t>
      </w:r>
    </w:p>
    <w:p>
      <w:pPr>
        <w:spacing w:after="0" w:before="0" w:line="480" w:lineRule="auto"/>
        <w:ind w:left="720" w:hanging="720"/>
      </w:pPr>
      <w:r>
        <w:rPr>
          <w:rFonts w:ascii="Times New Roman" w:cs="Times New Roman" w:eastAsia="Times New Roman" w:hAnsi="Times New Roman"/>
          <w:sz w:val="24"/>
          <w:szCs w:val="24"/>
        </w:rPr>
        <w:t xml:space="preserve">Hevner, A. R., March, S. T., Park, J., &amp; Ram, S. (2004). Design science in information systems research. </w:t>
      </w:r>
      <w:r>
        <w:rPr>
          <w:rFonts w:ascii="Times New Roman" w:cs="Times New Roman" w:eastAsia="Times New Roman" w:hAnsi="Times New Roman"/>
          <w:i/>
          <w:iCs/>
          <w:sz w:val="24"/>
          <w:szCs w:val="24"/>
        </w:rPr>
        <w:t xml:space="preserve">MIS Quarterly, 28</w:t>
      </w:r>
      <w:r>
        <w:rPr>
          <w:rFonts w:ascii="Times New Roman" w:cs="Times New Roman" w:eastAsia="Times New Roman" w:hAnsi="Times New Roman"/>
          <w:sz w:val="24"/>
          <w:szCs w:val="24"/>
        </w:rPr>
        <w:t xml:space="preserve">(1), 75–105. https://doi.org/10.2307/25148625</w:t>
      </w:r>
    </w:p>
    <w:p>
      <w:pPr>
        <w:spacing w:after="0" w:before="0" w:line="480" w:lineRule="auto"/>
        <w:ind w:left="720" w:hanging="720"/>
      </w:pPr>
      <w:r>
        <w:rPr>
          <w:rFonts w:ascii="Times New Roman" w:cs="Times New Roman" w:eastAsia="Times New Roman" w:hAnsi="Times New Roman"/>
          <w:sz w:val="24"/>
          <w:szCs w:val="24"/>
        </w:rPr>
        <w:t xml:space="preserve">International Organization for Standardization, International Electrotechnical Commission, &amp; Institute of Electrical and Electronics Engineers. (2018). </w:t>
      </w:r>
      <w:r>
        <w:rPr>
          <w:rFonts w:ascii="Times New Roman" w:cs="Times New Roman" w:eastAsia="Times New Roman" w:hAnsi="Times New Roman"/>
          <w:i/>
          <w:iCs/>
          <w:sz w:val="24"/>
          <w:szCs w:val="24"/>
        </w:rPr>
        <w:t xml:space="preserve">ISO/IEC/IEEE 29148:2018. Systems and software engineering — Life cycle processes — Requirements engineering</w:t>
      </w:r>
      <w:r>
        <w:rPr>
          <w:rFonts w:ascii="Times New Roman" w:cs="Times New Roman" w:eastAsia="Times New Roman" w:hAnsi="Times New Roman"/>
          <w:sz w:val="24"/>
          <w:szCs w:val="24"/>
        </w:rPr>
        <w:t xml:space="preserve">. ISO/IEC/IEEE.</w:t>
      </w:r>
    </w:p>
    <w:p>
      <w:pPr>
        <w:spacing w:after="0" w:before="0" w:line="480" w:lineRule="auto"/>
        <w:ind w:left="720" w:hanging="720"/>
      </w:pPr>
      <w:r>
        <w:rPr>
          <w:rFonts w:ascii="Times New Roman" w:cs="Times New Roman" w:eastAsia="Times New Roman" w:hAnsi="Times New Roman"/>
          <w:sz w:val="24"/>
          <w:szCs w:val="24"/>
        </w:rPr>
        <w:t xml:space="preserve">International Organization for Standardization &amp; International Electrotechnical Commission. (2011). </w:t>
      </w:r>
      <w:r>
        <w:rPr>
          <w:rFonts w:ascii="Times New Roman" w:cs="Times New Roman" w:eastAsia="Times New Roman" w:hAnsi="Times New Roman"/>
          <w:i/>
          <w:iCs/>
          <w:sz w:val="24"/>
          <w:szCs w:val="24"/>
        </w:rPr>
        <w:t xml:space="preserve">ISO/IEC 25010:2011. Systems and software engineering — Systems and software quality requirements and evaluation (SQuaRE) — System and software quality models</w:t>
      </w:r>
      <w:r>
        <w:rPr>
          <w:rFonts w:ascii="Times New Roman" w:cs="Times New Roman" w:eastAsia="Times New Roman" w:hAnsi="Times New Roman"/>
          <w:sz w:val="24"/>
          <w:szCs w:val="24"/>
        </w:rPr>
        <w:t xml:space="preserve">. ISO/IEC.</w:t>
      </w:r>
    </w:p>
    <w:p>
      <w:pPr>
        <w:spacing w:after="0" w:before="0" w:line="480" w:lineRule="auto"/>
        <w:ind w:left="720" w:hanging="720"/>
      </w:pPr>
      <w:r>
        <w:rPr>
          <w:rFonts w:ascii="Times New Roman" w:cs="Times New Roman" w:eastAsia="Times New Roman" w:hAnsi="Times New Roman"/>
          <w:sz w:val="24"/>
          <w:szCs w:val="24"/>
        </w:rPr>
        <w:t xml:space="preserve">Likert, R. (1932). A technique for the measurement of attitudes. </w:t>
      </w:r>
      <w:r>
        <w:rPr>
          <w:rFonts w:ascii="Times New Roman" w:cs="Times New Roman" w:eastAsia="Times New Roman" w:hAnsi="Times New Roman"/>
          <w:i/>
          <w:iCs/>
          <w:sz w:val="24"/>
          <w:szCs w:val="24"/>
        </w:rPr>
        <w:t xml:space="preserve">Archives of Psychology, 22</w:t>
      </w:r>
      <w:r>
        <w:rPr>
          <w:rFonts w:ascii="Times New Roman" w:cs="Times New Roman" w:eastAsia="Times New Roman" w:hAnsi="Times New Roman"/>
          <w:sz w:val="24"/>
          <w:szCs w:val="24"/>
        </w:rPr>
        <w:t xml:space="preserve">(140), 1–55.</w:t>
      </w:r>
    </w:p>
    <w:p>
      <w:pPr>
        <w:spacing w:after="0" w:before="0" w:line="480" w:lineRule="auto"/>
        <w:ind w:left="720" w:hanging="720"/>
      </w:pPr>
      <w:r>
        <w:rPr>
          <w:rFonts w:ascii="Times New Roman" w:cs="Times New Roman" w:eastAsia="Times New Roman" w:hAnsi="Times New Roman"/>
          <w:sz w:val="24"/>
          <w:szCs w:val="24"/>
        </w:rPr>
        <w:t xml:space="preserve">Linhalis, F., &amp; da Silva, A. C. (2023). Soluções para possibilitar o uso de TIC na educação em regiões com baixa conectividade à internet: Uma revisão da literatura. </w:t>
      </w:r>
      <w:r>
        <w:rPr>
          <w:rFonts w:ascii="Times New Roman" w:cs="Times New Roman" w:eastAsia="Times New Roman" w:hAnsi="Times New Roman"/>
          <w:i/>
          <w:iCs/>
          <w:sz w:val="24"/>
          <w:szCs w:val="24"/>
        </w:rPr>
        <w:t xml:space="preserve">Cadernos de Educação, Tecnologia e Sociedade, 16</w:t>
      </w:r>
      <w:r>
        <w:rPr>
          <w:rFonts w:ascii="Times New Roman" w:cs="Times New Roman" w:eastAsia="Times New Roman" w:hAnsi="Times New Roman"/>
          <w:sz w:val="24"/>
          <w:szCs w:val="24"/>
        </w:rPr>
        <w:t xml:space="preserve">(4), 1185–1196. https://doi.org/10.14571/brajets.v16.n4.1185-1196</w:t>
      </w:r>
    </w:p>
    <w:p>
      <w:pPr>
        <w:spacing w:after="0" w:before="0" w:line="480" w:lineRule="auto"/>
        <w:ind w:left="720" w:hanging="720"/>
      </w:pPr>
      <w:r>
        <w:rPr>
          <w:rFonts w:ascii="Times New Roman" w:cs="Times New Roman" w:eastAsia="Times New Roman" w:hAnsi="Times New Roman"/>
          <w:sz w:val="24"/>
          <w:szCs w:val="24"/>
        </w:rPr>
        <w:t xml:space="preserve">Mena Amado, D. J., &amp; Hernández, H. A. (2026). Prospectiva de plataforma educativa para zonas con baja o inexistente cobertura a internet. </w:t>
      </w:r>
      <w:r>
        <w:rPr>
          <w:rFonts w:ascii="Times New Roman" w:cs="Times New Roman" w:eastAsia="Times New Roman" w:hAnsi="Times New Roman"/>
          <w:i/>
          <w:iCs/>
          <w:sz w:val="24"/>
          <w:szCs w:val="24"/>
        </w:rPr>
        <w:t xml:space="preserve">Revista Humanismo y Sociedad, 14</w:t>
      </w:r>
      <w:r>
        <w:rPr>
          <w:rFonts w:ascii="Times New Roman" w:cs="Times New Roman" w:eastAsia="Times New Roman" w:hAnsi="Times New Roman"/>
          <w:sz w:val="24"/>
          <w:szCs w:val="24"/>
        </w:rPr>
        <w:t xml:space="preserve">(1). https://doi.org/10.22209/rhs.v14n1a03</w:t>
      </w:r>
    </w:p>
    <w:p>
      <w:pPr>
        <w:spacing w:after="0" w:before="0" w:line="480" w:lineRule="auto"/>
        <w:ind w:left="720" w:hanging="720"/>
      </w:pPr>
      <w:r>
        <w:rPr>
          <w:rFonts w:ascii="Times New Roman" w:cs="Times New Roman" w:eastAsia="Times New Roman" w:hAnsi="Times New Roman"/>
          <w:sz w:val="24"/>
          <w:szCs w:val="24"/>
        </w:rPr>
        <w:t xml:space="preserve">Ministerio de Educación Nacional. (2013). </w:t>
      </w:r>
      <w:r>
        <w:rPr>
          <w:rFonts w:ascii="Times New Roman" w:cs="Times New Roman" w:eastAsia="Times New Roman" w:hAnsi="Times New Roman"/>
          <w:i/>
          <w:iCs/>
          <w:sz w:val="24"/>
          <w:szCs w:val="24"/>
        </w:rPr>
        <w:t xml:space="preserve">Competencias TIC para el desarrollo profesional docente</w:t>
      </w:r>
      <w:r>
        <w:rPr>
          <w:rFonts w:ascii="Times New Roman" w:cs="Times New Roman" w:eastAsia="Times New Roman" w:hAnsi="Times New Roman"/>
          <w:sz w:val="24"/>
          <w:szCs w:val="24"/>
        </w:rPr>
        <w:t xml:space="preserve">. MEN.</w:t>
      </w:r>
    </w:p>
    <w:p>
      <w:pPr>
        <w:spacing w:after="0" w:before="0" w:line="480" w:lineRule="auto"/>
        <w:ind w:left="720" w:hanging="720"/>
      </w:pPr>
      <w:r>
        <w:rPr>
          <w:rFonts w:ascii="Times New Roman" w:cs="Times New Roman" w:eastAsia="Times New Roman" w:hAnsi="Times New Roman"/>
          <w:sz w:val="24"/>
          <w:szCs w:val="24"/>
        </w:rPr>
        <w:t xml:space="preserve">Ministerio de Educación Nacional. (2015). </w:t>
      </w:r>
      <w:r>
        <w:rPr>
          <w:rFonts w:ascii="Times New Roman" w:cs="Times New Roman" w:eastAsia="Times New Roman" w:hAnsi="Times New Roman"/>
          <w:i/>
          <w:iCs/>
          <w:sz w:val="24"/>
          <w:szCs w:val="24"/>
        </w:rPr>
        <w:t xml:space="preserve">Decreto 1075 de 2015, por medio del cual se expide el Decreto Único Reglamentario del Sector Educación</w:t>
      </w:r>
      <w:r>
        <w:rPr>
          <w:rFonts w:ascii="Times New Roman" w:cs="Times New Roman" w:eastAsia="Times New Roman" w:hAnsi="Times New Roman"/>
          <w:sz w:val="24"/>
          <w:szCs w:val="24"/>
        </w:rPr>
        <w:t xml:space="preserve">. 26 de mayo de 2015.</w:t>
      </w:r>
    </w:p>
    <w:p>
      <w:pPr>
        <w:spacing w:after="0" w:before="0" w:line="480" w:lineRule="auto"/>
        <w:ind w:left="720" w:hanging="720"/>
      </w:pPr>
      <w:r>
        <w:rPr>
          <w:rFonts w:ascii="Times New Roman" w:cs="Times New Roman" w:eastAsia="Times New Roman" w:hAnsi="Times New Roman"/>
          <w:sz w:val="24"/>
          <w:szCs w:val="24"/>
        </w:rPr>
        <w:t xml:space="preserve">Ministerio de Educación Nacional. (2017). </w:t>
      </w:r>
      <w:r>
        <w:rPr>
          <w:rFonts w:ascii="Times New Roman" w:cs="Times New Roman" w:eastAsia="Times New Roman" w:hAnsi="Times New Roman"/>
          <w:i/>
          <w:iCs/>
          <w:sz w:val="24"/>
          <w:szCs w:val="24"/>
        </w:rPr>
        <w:t xml:space="preserve">Plan Nacional Decenal de Educación 2016-2026: El camino hacia la calidad y la equidad</w:t>
      </w:r>
      <w:r>
        <w:rPr>
          <w:rFonts w:ascii="Times New Roman" w:cs="Times New Roman" w:eastAsia="Times New Roman" w:hAnsi="Times New Roman"/>
          <w:sz w:val="24"/>
          <w:szCs w:val="24"/>
        </w:rPr>
        <w:t xml:space="preserve">. MEN.</w:t>
      </w:r>
    </w:p>
    <w:p>
      <w:pPr>
        <w:spacing w:after="0" w:before="0" w:line="480" w:lineRule="auto"/>
        <w:ind w:left="720" w:hanging="720"/>
      </w:pPr>
      <w:r>
        <w:rPr>
          <w:rFonts w:ascii="Times New Roman" w:cs="Times New Roman" w:eastAsia="Times New Roman" w:hAnsi="Times New Roman"/>
          <w:sz w:val="24"/>
          <w:szCs w:val="24"/>
        </w:rPr>
        <w:t xml:space="preserve">Ministerio de Salud de Colombia. (1993). </w:t>
      </w:r>
      <w:r>
        <w:rPr>
          <w:rFonts w:ascii="Times New Roman" w:cs="Times New Roman" w:eastAsia="Times New Roman" w:hAnsi="Times New Roman"/>
          <w:i/>
          <w:iCs/>
          <w:sz w:val="24"/>
          <w:szCs w:val="24"/>
        </w:rPr>
        <w:t xml:space="preserve">Resolución 8430 de 1993, por la cual se establecen las normas científicas, técnicas y administrativas para la investigación en salud</w:t>
      </w:r>
      <w:r>
        <w:rPr>
          <w:rFonts w:ascii="Times New Roman" w:cs="Times New Roman" w:eastAsia="Times New Roman" w:hAnsi="Times New Roman"/>
          <w:sz w:val="24"/>
          <w:szCs w:val="24"/>
        </w:rPr>
        <w:t xml:space="preserve">. 4 de octubre de 1993.</w:t>
      </w:r>
    </w:p>
    <w:p>
      <w:pPr>
        <w:spacing w:after="0" w:before="0" w:line="480" w:lineRule="auto"/>
        <w:ind w:left="720" w:hanging="720"/>
      </w:pPr>
      <w:r>
        <w:rPr>
          <w:rFonts w:ascii="Times New Roman" w:cs="Times New Roman" w:eastAsia="Times New Roman" w:hAnsi="Times New Roman"/>
          <w:sz w:val="24"/>
          <w:szCs w:val="24"/>
        </w:rPr>
        <w:t xml:space="preserve">Miranda, S., &amp; Ortiz, J. (2020). Los paradigmas de la investigación: Un acercamiento teórico para reflexionar desde el campo de la investigación educativa. </w:t>
      </w:r>
      <w:r>
        <w:rPr>
          <w:rFonts w:ascii="Times New Roman" w:cs="Times New Roman" w:eastAsia="Times New Roman" w:hAnsi="Times New Roman"/>
          <w:i/>
          <w:iCs/>
          <w:sz w:val="24"/>
          <w:szCs w:val="24"/>
        </w:rPr>
        <w:t xml:space="preserve">RIDE Revista Iberoamericana para la Investigación y el Desarrollo Educativo, 11</w:t>
      </w:r>
      <w:r>
        <w:rPr>
          <w:rFonts w:ascii="Times New Roman" w:cs="Times New Roman" w:eastAsia="Times New Roman" w:hAnsi="Times New Roman"/>
          <w:sz w:val="24"/>
          <w:szCs w:val="24"/>
        </w:rPr>
        <w:t xml:space="preserve">(21), e064. http://www.scielo.org.mx/pdf/ride/v11n21/2007-7467-ride-11-21-e064.pdf</w:t>
      </w:r>
    </w:p>
    <w:p>
      <w:pPr>
        <w:spacing w:after="0" w:before="0" w:line="480" w:lineRule="auto"/>
        <w:ind w:left="720" w:hanging="720"/>
      </w:pPr>
      <w:r>
        <w:rPr>
          <w:rFonts w:ascii="Times New Roman" w:cs="Times New Roman" w:eastAsia="Times New Roman" w:hAnsi="Times New Roman"/>
          <w:sz w:val="24"/>
          <w:szCs w:val="24"/>
        </w:rPr>
        <w:t xml:space="preserve">Mishra, P., &amp; Koehler, M. J. (2006). Technological pedagogical content knowledge: A framework for teacher knowledge. </w:t>
      </w:r>
      <w:r>
        <w:rPr>
          <w:rFonts w:ascii="Times New Roman" w:cs="Times New Roman" w:eastAsia="Times New Roman" w:hAnsi="Times New Roman"/>
          <w:i/>
          <w:iCs/>
          <w:sz w:val="24"/>
          <w:szCs w:val="24"/>
        </w:rPr>
        <w:t xml:space="preserve">Teachers College Record, 108</w:t>
      </w:r>
      <w:r>
        <w:rPr>
          <w:rFonts w:ascii="Times New Roman" w:cs="Times New Roman" w:eastAsia="Times New Roman" w:hAnsi="Times New Roman"/>
          <w:sz w:val="24"/>
          <w:szCs w:val="24"/>
        </w:rPr>
        <w:t xml:space="preserve">(6), 1017–1054. https://doi.org/10.1111/j.1467-9620.2006.00684.x</w:t>
      </w:r>
    </w:p>
    <w:p>
      <w:pPr>
        <w:spacing w:after="0" w:before="0" w:line="480" w:lineRule="auto"/>
        <w:ind w:left="720" w:hanging="720"/>
      </w:pPr>
      <w:r>
        <w:rPr>
          <w:rFonts w:ascii="Times New Roman" w:cs="Times New Roman" w:eastAsia="Times New Roman" w:hAnsi="Times New Roman"/>
          <w:sz w:val="24"/>
          <w:szCs w:val="24"/>
        </w:rPr>
        <w:t xml:space="preserve">Moodle Pty Ltd. (s. f.). </w:t>
      </w:r>
      <w:r>
        <w:rPr>
          <w:rFonts w:ascii="Times New Roman" w:cs="Times New Roman" w:eastAsia="Times New Roman" w:hAnsi="Times New Roman"/>
          <w:i/>
          <w:iCs/>
          <w:sz w:val="24"/>
          <w:szCs w:val="24"/>
        </w:rPr>
        <w:t xml:space="preserve">Moodle documentation</w:t>
      </w:r>
      <w:r>
        <w:rPr>
          <w:rFonts w:ascii="Times New Roman" w:cs="Times New Roman" w:eastAsia="Times New Roman" w:hAnsi="Times New Roman"/>
          <w:sz w:val="24"/>
          <w:szCs w:val="24"/>
        </w:rPr>
        <w:t xml:space="preserve">. https://docs.moodle.org</w:t>
      </w:r>
    </w:p>
    <w:p>
      <w:pPr>
        <w:spacing w:after="0" w:before="0" w:line="480" w:lineRule="auto"/>
        <w:ind w:left="720" w:hanging="720"/>
      </w:pPr>
      <w:r>
        <w:rPr>
          <w:rFonts w:ascii="Times New Roman" w:cs="Times New Roman" w:eastAsia="Times New Roman" w:hAnsi="Times New Roman"/>
          <w:sz w:val="24"/>
          <w:szCs w:val="24"/>
        </w:rPr>
        <w:t xml:space="preserve">Naciones Unidas. (2015). </w:t>
      </w:r>
      <w:r>
        <w:rPr>
          <w:rFonts w:ascii="Times New Roman" w:cs="Times New Roman" w:eastAsia="Times New Roman" w:hAnsi="Times New Roman"/>
          <w:i/>
          <w:iCs/>
          <w:sz w:val="24"/>
          <w:szCs w:val="24"/>
        </w:rPr>
        <w:t xml:space="preserve">Transformar nuestro mundo: La Agenda 2030 para el Desarrollo Sostenible</w:t>
      </w:r>
      <w:r>
        <w:rPr>
          <w:rFonts w:ascii="Times New Roman" w:cs="Times New Roman" w:eastAsia="Times New Roman" w:hAnsi="Times New Roman"/>
          <w:sz w:val="24"/>
          <w:szCs w:val="24"/>
        </w:rPr>
        <w:t xml:space="preserve"> (A/RES/70/1).</w:t>
      </w:r>
    </w:p>
    <w:p>
      <w:pPr>
        <w:spacing w:after="0" w:before="0" w:line="480" w:lineRule="auto"/>
        <w:ind w:left="720" w:hanging="720"/>
      </w:pPr>
      <w:r>
        <w:rPr>
          <w:rFonts w:ascii="Times New Roman" w:cs="Times New Roman" w:eastAsia="Times New Roman" w:hAnsi="Times New Roman"/>
          <w:sz w:val="24"/>
          <w:szCs w:val="24"/>
        </w:rPr>
        <w:t xml:space="preserve">Nielsen, J. (1993). </w:t>
      </w:r>
      <w:r>
        <w:rPr>
          <w:rFonts w:ascii="Times New Roman" w:cs="Times New Roman" w:eastAsia="Times New Roman" w:hAnsi="Times New Roman"/>
          <w:i/>
          <w:iCs/>
          <w:sz w:val="24"/>
          <w:szCs w:val="24"/>
        </w:rPr>
        <w:t xml:space="preserve">Usability engineering</w:t>
      </w:r>
      <w:r>
        <w:rPr>
          <w:rFonts w:ascii="Times New Roman" w:cs="Times New Roman" w:eastAsia="Times New Roman" w:hAnsi="Times New Roman"/>
          <w:sz w:val="24"/>
          <w:szCs w:val="24"/>
        </w:rPr>
        <w:t xml:space="preserve">. Academic Press.</w:t>
      </w:r>
    </w:p>
    <w:p>
      <w:pPr>
        <w:spacing w:after="0" w:before="0" w:line="480" w:lineRule="auto"/>
        <w:ind w:left="720" w:hanging="720"/>
      </w:pPr>
      <w:r>
        <w:rPr>
          <w:rFonts w:ascii="Times New Roman" w:cs="Times New Roman" w:eastAsia="Times New Roman" w:hAnsi="Times New Roman"/>
          <w:sz w:val="24"/>
          <w:szCs w:val="24"/>
        </w:rPr>
        <w:t xml:space="preserve">Palacios Alvarado, W., Calixto, N. J., &amp; Caicedo-Rolón, A., Jr. (2023). </w:t>
      </w:r>
      <w:r>
        <w:rPr>
          <w:rFonts w:ascii="Times New Roman" w:cs="Times New Roman" w:eastAsia="Times New Roman" w:hAnsi="Times New Roman"/>
          <w:i/>
          <w:iCs/>
          <w:sz w:val="24"/>
          <w:szCs w:val="24"/>
        </w:rPr>
        <w:t xml:space="preserve">Conceptos y enfoques de metodología de la investigación</w:t>
      </w:r>
      <w:r>
        <w:rPr>
          <w:rFonts w:ascii="Times New Roman" w:cs="Times New Roman" w:eastAsia="Times New Roman" w:hAnsi="Times New Roman"/>
          <w:sz w:val="24"/>
          <w:szCs w:val="24"/>
        </w:rPr>
        <w:t xml:space="preserve">. Editorial Creser S.A.S. https://repositorio.ufps.edu.co/handle/ufps/6728</w:t>
      </w:r>
    </w:p>
    <w:p>
      <w:pPr>
        <w:spacing w:after="0" w:before="0" w:line="480" w:lineRule="auto"/>
        <w:ind w:left="720" w:hanging="720"/>
      </w:pPr>
      <w:r>
        <w:rPr>
          <w:rFonts w:ascii="Times New Roman" w:cs="Times New Roman" w:eastAsia="Times New Roman" w:hAnsi="Times New Roman"/>
          <w:sz w:val="24"/>
          <w:szCs w:val="24"/>
        </w:rPr>
        <w:t xml:space="preserve">Parada, R. (2024, 4 de abril). Modelo Colegios: La iniciativa que busca cerrar la brecha digital de los colegios de Colombia y ha beneficiado a más de 20 mil estudiantes. </w:t>
      </w:r>
      <w:r>
        <w:rPr>
          <w:rFonts w:ascii="Times New Roman" w:cs="Times New Roman" w:eastAsia="Times New Roman" w:hAnsi="Times New Roman"/>
          <w:i/>
          <w:iCs/>
          <w:sz w:val="24"/>
          <w:szCs w:val="24"/>
        </w:rPr>
        <w:t xml:space="preserve">Infobae</w:t>
      </w:r>
      <w:r>
        <w:rPr>
          <w:rFonts w:ascii="Times New Roman" w:cs="Times New Roman" w:eastAsia="Times New Roman" w:hAnsi="Times New Roman"/>
          <w:sz w:val="24"/>
          <w:szCs w:val="24"/>
        </w:rPr>
        <w:t xml:space="preserve">. https://www.infobae.com/educacion/2024/04/04/modelo-colegios-la-iniciativa-que-busca-cerrar-la-brecha-digital-de-los-colegios-de-colombia-y-ha-beneficiado-a-mas-de-20-mil-estudiantes/</w:t>
      </w:r>
    </w:p>
    <w:p>
      <w:pPr>
        <w:spacing w:after="0" w:before="0" w:line="480" w:lineRule="auto"/>
        <w:ind w:left="720" w:hanging="720"/>
      </w:pPr>
      <w:r>
        <w:rPr>
          <w:rFonts w:ascii="Times New Roman" w:cs="Times New Roman" w:eastAsia="Times New Roman" w:hAnsi="Times New Roman"/>
          <w:sz w:val="24"/>
          <w:szCs w:val="24"/>
        </w:rPr>
        <w:t xml:space="preserve">Peffers, K., Tuunanen, T., Rothenberger, M. A., &amp; Chatterjee, S. (2007). A design science research methodology for information systems research. </w:t>
      </w:r>
      <w:r>
        <w:rPr>
          <w:rFonts w:ascii="Times New Roman" w:cs="Times New Roman" w:eastAsia="Times New Roman" w:hAnsi="Times New Roman"/>
          <w:i/>
          <w:iCs/>
          <w:sz w:val="24"/>
          <w:szCs w:val="24"/>
        </w:rPr>
        <w:t xml:space="preserve">Journal of Management Information Systems, 24</w:t>
      </w:r>
      <w:r>
        <w:rPr>
          <w:rFonts w:ascii="Times New Roman" w:cs="Times New Roman" w:eastAsia="Times New Roman" w:hAnsi="Times New Roman"/>
          <w:sz w:val="24"/>
          <w:szCs w:val="24"/>
        </w:rPr>
        <w:t xml:space="preserve">(3), 45–77. https://doi.org/10.2753/MIS0742-1222240302</w:t>
      </w:r>
    </w:p>
    <w:p>
      <w:pPr>
        <w:spacing w:after="0" w:before="0" w:line="480" w:lineRule="auto"/>
        <w:ind w:left="720" w:hanging="720"/>
      </w:pPr>
      <w:r>
        <w:rPr>
          <w:rFonts w:ascii="Times New Roman" w:cs="Times New Roman" w:eastAsia="Times New Roman" w:hAnsi="Times New Roman"/>
          <w:sz w:val="24"/>
          <w:szCs w:val="24"/>
        </w:rPr>
        <w:t xml:space="preserve">Presidencia de la República de Colombia. (2013). </w:t>
      </w:r>
      <w:r>
        <w:rPr>
          <w:rFonts w:ascii="Times New Roman" w:cs="Times New Roman" w:eastAsia="Times New Roman" w:hAnsi="Times New Roman"/>
          <w:i/>
          <w:iCs/>
          <w:sz w:val="24"/>
          <w:szCs w:val="24"/>
        </w:rPr>
        <w:t xml:space="preserve">Decreto 1377 de 2013, por el cual se reglamenta parcialmente la Ley 1581 de 2012</w:t>
      </w:r>
      <w:r>
        <w:rPr>
          <w:rFonts w:ascii="Times New Roman" w:cs="Times New Roman" w:eastAsia="Times New Roman" w:hAnsi="Times New Roman"/>
          <w:sz w:val="24"/>
          <w:szCs w:val="24"/>
        </w:rPr>
        <w:t xml:space="preserve">. 27 de junio de 2013.</w:t>
      </w:r>
    </w:p>
    <w:p>
      <w:pPr>
        <w:spacing w:after="0" w:before="0" w:line="480" w:lineRule="auto"/>
        <w:ind w:left="720" w:hanging="720"/>
      </w:pPr>
      <w:r>
        <w:rPr>
          <w:rFonts w:ascii="Times New Roman" w:cs="Times New Roman" w:eastAsia="Times New Roman" w:hAnsi="Times New Roman"/>
          <w:sz w:val="24"/>
          <w:szCs w:val="24"/>
        </w:rPr>
        <w:t xml:space="preserve">Presidencia de la República de Colombia. (2018). </w:t>
      </w:r>
      <w:r>
        <w:rPr>
          <w:rFonts w:ascii="Times New Roman" w:cs="Times New Roman" w:eastAsia="Times New Roman" w:hAnsi="Times New Roman"/>
          <w:i/>
          <w:iCs/>
          <w:sz w:val="24"/>
          <w:szCs w:val="24"/>
        </w:rPr>
        <w:t xml:space="preserve">Decreto 1008 de 2018, por el cual se establecen los lineamientos generales de la política de Gobierno Digital</w:t>
      </w:r>
      <w:r>
        <w:rPr>
          <w:rFonts w:ascii="Times New Roman" w:cs="Times New Roman" w:eastAsia="Times New Roman" w:hAnsi="Times New Roman"/>
          <w:sz w:val="24"/>
          <w:szCs w:val="24"/>
        </w:rPr>
        <w:t xml:space="preserve">. 14 de junio de 2018.</w:t>
      </w:r>
    </w:p>
    <w:p>
      <w:pPr>
        <w:spacing w:after="0" w:before="0" w:line="480" w:lineRule="auto"/>
        <w:ind w:left="720" w:hanging="720"/>
      </w:pPr>
      <w:r>
        <w:rPr>
          <w:rFonts w:ascii="Times New Roman" w:cs="Times New Roman" w:eastAsia="Times New Roman" w:hAnsi="Times New Roman"/>
          <w:sz w:val="24"/>
          <w:szCs w:val="24"/>
        </w:rPr>
        <w:t xml:space="preserve">Ryan, R. M., &amp; Deci, E. L. (2000). Self-determination theory and the facilitation of intrinsic motivation, social development, and well-being. </w:t>
      </w:r>
      <w:r>
        <w:rPr>
          <w:rFonts w:ascii="Times New Roman" w:cs="Times New Roman" w:eastAsia="Times New Roman" w:hAnsi="Times New Roman"/>
          <w:i/>
          <w:iCs/>
          <w:sz w:val="24"/>
          <w:szCs w:val="24"/>
        </w:rPr>
        <w:t xml:space="preserve">American Psychologist, 55</w:t>
      </w:r>
      <w:r>
        <w:rPr>
          <w:rFonts w:ascii="Times New Roman" w:cs="Times New Roman" w:eastAsia="Times New Roman" w:hAnsi="Times New Roman"/>
          <w:sz w:val="24"/>
          <w:szCs w:val="24"/>
        </w:rPr>
        <w:t xml:space="preserve">(1), 68–78. https://doi.org/10.1037/0003-066X.55.1.68</w:t>
      </w:r>
    </w:p>
    <w:p>
      <w:pPr>
        <w:spacing w:after="0" w:before="0" w:line="480" w:lineRule="auto"/>
        <w:ind w:left="720" w:hanging="720"/>
      </w:pPr>
      <w:r>
        <w:rPr>
          <w:rFonts w:ascii="Times New Roman" w:cs="Times New Roman" w:eastAsia="Times New Roman" w:hAnsi="Times New Roman"/>
          <w:sz w:val="24"/>
          <w:szCs w:val="24"/>
        </w:rPr>
        <w:t xml:space="preserve">Salgado Ruiz, E. E. (2020). </w:t>
      </w:r>
      <w:r>
        <w:rPr>
          <w:rFonts w:ascii="Times New Roman" w:cs="Times New Roman" w:eastAsia="Times New Roman" w:hAnsi="Times New Roman"/>
          <w:i/>
          <w:iCs/>
          <w:sz w:val="24"/>
          <w:szCs w:val="24"/>
        </w:rPr>
        <w:t xml:space="preserve">Implementación de un sistema de aula virtual mediante la plataforma Moodle como soporte tecnológico para apoyar la gestión del aprendizaje de los niños de primaria en la sala de sistemas del CDIT de la vereda Quiba Guabal en Ciudad Bolívar</w:t>
      </w:r>
      <w:r>
        <w:rPr>
          <w:rFonts w:ascii="Times New Roman" w:cs="Times New Roman" w:eastAsia="Times New Roman" w:hAnsi="Times New Roman"/>
          <w:sz w:val="24"/>
          <w:szCs w:val="24"/>
        </w:rPr>
        <w:t xml:space="preserve"> [Trabajo de grado, Universidad Santo Tomás]. Repositorio institucional USTA. https://repository.usta.edu.co/bitstreams/988652fb-990a-4fa0-a636-c6c71f5de091/download</w:t>
      </w:r>
    </w:p>
    <w:p>
      <w:pPr>
        <w:spacing w:after="0" w:before="0" w:line="480" w:lineRule="auto"/>
        <w:ind w:left="720" w:hanging="720"/>
      </w:pPr>
      <w:r>
        <w:rPr>
          <w:rFonts w:ascii="Times New Roman" w:cs="Times New Roman" w:eastAsia="Times New Roman" w:hAnsi="Times New Roman"/>
          <w:sz w:val="24"/>
          <w:szCs w:val="24"/>
        </w:rPr>
        <w:t xml:space="preserve">Schwaber, K., &amp; Sutherland, J. (2020). </w:t>
      </w:r>
      <w:r>
        <w:rPr>
          <w:rFonts w:ascii="Times New Roman" w:cs="Times New Roman" w:eastAsia="Times New Roman" w:hAnsi="Times New Roman"/>
          <w:i/>
          <w:iCs/>
          <w:sz w:val="24"/>
          <w:szCs w:val="24"/>
        </w:rPr>
        <w:t xml:space="preserve">La guía de Scrum</w:t>
      </w:r>
      <w:r>
        <w:rPr>
          <w:rFonts w:ascii="Times New Roman" w:cs="Times New Roman" w:eastAsia="Times New Roman" w:hAnsi="Times New Roman"/>
          <w:sz w:val="24"/>
          <w:szCs w:val="24"/>
        </w:rPr>
        <w:t xml:space="preserve">. https://scrumguides.org</w:t>
      </w:r>
    </w:p>
    <w:p>
      <w:pPr>
        <w:spacing w:after="0" w:before="0" w:line="480" w:lineRule="auto"/>
        <w:ind w:left="720" w:hanging="720"/>
      </w:pPr>
      <w:r>
        <w:rPr>
          <w:rFonts w:ascii="Times New Roman" w:cs="Times New Roman" w:eastAsia="Times New Roman" w:hAnsi="Times New Roman"/>
          <w:sz w:val="24"/>
          <w:szCs w:val="24"/>
        </w:rPr>
        <w:t xml:space="preserve">Shapiro, S. S., &amp; Wilk, M. B. (1965). An analysis of variance test for normality (complete samples). </w:t>
      </w:r>
      <w:r>
        <w:rPr>
          <w:rFonts w:ascii="Times New Roman" w:cs="Times New Roman" w:eastAsia="Times New Roman" w:hAnsi="Times New Roman"/>
          <w:i/>
          <w:iCs/>
          <w:sz w:val="24"/>
          <w:szCs w:val="24"/>
        </w:rPr>
        <w:t xml:space="preserve">Biometrika, 52</w:t>
      </w:r>
      <w:r>
        <w:rPr>
          <w:rFonts w:ascii="Times New Roman" w:cs="Times New Roman" w:eastAsia="Times New Roman" w:hAnsi="Times New Roman"/>
          <w:sz w:val="24"/>
          <w:szCs w:val="24"/>
        </w:rPr>
        <w:t xml:space="preserve">(3–4), 591–611. https://doi.org/10.1093/biomet/52.3-4.591</w:t>
      </w:r>
    </w:p>
    <w:p>
      <w:pPr>
        <w:spacing w:after="0" w:before="0" w:line="480" w:lineRule="auto"/>
        <w:ind w:left="720" w:hanging="720"/>
      </w:pPr>
      <w:r>
        <w:rPr>
          <w:rFonts w:ascii="Times New Roman" w:cs="Times New Roman" w:eastAsia="Times New Roman" w:hAnsi="Times New Roman"/>
          <w:sz w:val="24"/>
          <w:szCs w:val="24"/>
        </w:rPr>
        <w:t xml:space="preserve">Siemens, G. (2005). Connectivism: A learning theory for the digital age. </w:t>
      </w:r>
      <w:r>
        <w:rPr>
          <w:rFonts w:ascii="Times New Roman" w:cs="Times New Roman" w:eastAsia="Times New Roman" w:hAnsi="Times New Roman"/>
          <w:i/>
          <w:iCs/>
          <w:sz w:val="24"/>
          <w:szCs w:val="24"/>
        </w:rPr>
        <w:t xml:space="preserve">International Journal of Instructional Technology and Distance Learning, 2</w:t>
      </w:r>
      <w:r>
        <w:rPr>
          <w:rFonts w:ascii="Times New Roman" w:cs="Times New Roman" w:eastAsia="Times New Roman" w:hAnsi="Times New Roman"/>
          <w:sz w:val="24"/>
          <w:szCs w:val="24"/>
        </w:rPr>
        <w:t xml:space="preserve">(1), 3–10.</w:t>
      </w:r>
    </w:p>
    <w:p>
      <w:pPr>
        <w:spacing w:after="0" w:before="0" w:line="480" w:lineRule="auto"/>
        <w:ind w:left="720" w:hanging="720"/>
      </w:pPr>
      <w:r>
        <w:rPr>
          <w:rFonts w:ascii="Times New Roman" w:cs="Times New Roman" w:eastAsia="Times New Roman" w:hAnsi="Times New Roman"/>
          <w:sz w:val="24"/>
          <w:szCs w:val="24"/>
        </w:rPr>
        <w:t xml:space="preserve">Sommerville, I. (2011). </w:t>
      </w:r>
      <w:r>
        <w:rPr>
          <w:rFonts w:ascii="Times New Roman" w:cs="Times New Roman" w:eastAsia="Times New Roman" w:hAnsi="Times New Roman"/>
          <w:i/>
          <w:iCs/>
          <w:sz w:val="24"/>
          <w:szCs w:val="24"/>
        </w:rPr>
        <w:t xml:space="preserve">Ingeniería de software</w:t>
      </w:r>
      <w:r>
        <w:rPr>
          <w:rFonts w:ascii="Times New Roman" w:cs="Times New Roman" w:eastAsia="Times New Roman" w:hAnsi="Times New Roman"/>
          <w:sz w:val="24"/>
          <w:szCs w:val="24"/>
        </w:rPr>
        <w:t xml:space="preserve"> (9.ª ed.). Pearson Educación.</w:t>
      </w:r>
    </w:p>
    <w:p>
      <w:pPr>
        <w:spacing w:after="0" w:before="0" w:line="480" w:lineRule="auto"/>
        <w:ind w:left="720" w:hanging="720"/>
      </w:pPr>
      <w:r>
        <w:rPr>
          <w:rFonts w:ascii="Times New Roman" w:cs="Times New Roman" w:eastAsia="Times New Roman" w:hAnsi="Times New Roman"/>
          <w:sz w:val="24"/>
          <w:szCs w:val="24"/>
        </w:rPr>
        <w:t xml:space="preserve">UNESCO. (2023). </w:t>
      </w:r>
      <w:r>
        <w:rPr>
          <w:rFonts w:ascii="Times New Roman" w:cs="Times New Roman" w:eastAsia="Times New Roman" w:hAnsi="Times New Roman"/>
          <w:i/>
          <w:iCs/>
          <w:sz w:val="24"/>
          <w:szCs w:val="24"/>
        </w:rPr>
        <w:t xml:space="preserve">Global education monitoring report 2023: Technology in education: A tool on whose terms?</w:t>
      </w:r>
      <w:r>
        <w:rPr>
          <w:rFonts w:ascii="Times New Roman" w:cs="Times New Roman" w:eastAsia="Times New Roman" w:hAnsi="Times New Roman"/>
          <w:sz w:val="24"/>
          <w:szCs w:val="24"/>
        </w:rPr>
        <w:t xml:space="preserve"> UNESCO. https://shop.unesco.org/en/products/gem-report-2023-technology-in-education-2023-a-tool-on-whose-terms</w:t>
      </w:r>
    </w:p>
    <w:p>
      <w:pPr>
        <w:spacing w:after="0" w:before="0" w:line="480" w:lineRule="auto"/>
        <w:ind w:left="720" w:hanging="720"/>
      </w:pPr>
      <w:r>
        <w:rPr>
          <w:rFonts w:ascii="Times New Roman" w:cs="Times New Roman" w:eastAsia="Times New Roman" w:hAnsi="Times New Roman"/>
          <w:sz w:val="24"/>
          <w:szCs w:val="24"/>
        </w:rPr>
        <w:t xml:space="preserve">Universidad Nacional Abierta y a Distancia. (2008). </w:t>
      </w:r>
      <w:r>
        <w:rPr>
          <w:rFonts w:ascii="Times New Roman" w:cs="Times New Roman" w:eastAsia="Times New Roman" w:hAnsi="Times New Roman"/>
          <w:i/>
          <w:iCs/>
          <w:sz w:val="24"/>
          <w:szCs w:val="24"/>
        </w:rPr>
        <w:t xml:space="preserve">Acuerdo 06 de 2008: Estatuto de Propiedad Intelectual</w:t>
      </w:r>
      <w:r>
        <w:rPr>
          <w:rFonts w:ascii="Times New Roman" w:cs="Times New Roman" w:eastAsia="Times New Roman" w:hAnsi="Times New Roman"/>
          <w:sz w:val="24"/>
          <w:szCs w:val="24"/>
        </w:rPr>
        <w:t xml:space="preserve">. UNAD.</w:t>
      </w:r>
    </w:p>
    <w:p>
      <w:pPr>
        <w:spacing w:after="0" w:before="0" w:line="480" w:lineRule="auto"/>
        <w:ind w:left="720" w:hanging="720"/>
      </w:pPr>
      <w:r>
        <w:rPr>
          <w:rFonts w:ascii="Times New Roman" w:cs="Times New Roman" w:eastAsia="Times New Roman" w:hAnsi="Times New Roman"/>
          <w:sz w:val="24"/>
          <w:szCs w:val="24"/>
        </w:rPr>
        <w:t xml:space="preserve">Universidad Nacional Abierta y a Distancia. (2019). </w:t>
      </w:r>
      <w:r>
        <w:rPr>
          <w:rFonts w:ascii="Times New Roman" w:cs="Times New Roman" w:eastAsia="Times New Roman" w:hAnsi="Times New Roman"/>
          <w:i/>
          <w:iCs/>
          <w:sz w:val="24"/>
          <w:szCs w:val="24"/>
        </w:rPr>
        <w:t xml:space="preserve">Plan de Desarrollo 2019-2023 «Más UNAD, más país»</w:t>
      </w:r>
      <w:r>
        <w:rPr>
          <w:rFonts w:ascii="Times New Roman" w:cs="Times New Roman" w:eastAsia="Times New Roman" w:hAnsi="Times New Roman"/>
          <w:sz w:val="24"/>
          <w:szCs w:val="24"/>
        </w:rPr>
        <w:t xml:space="preserve">. UNAD.</w:t>
      </w:r>
    </w:p>
    <w:p>
      <w:pPr>
        <w:spacing w:after="0" w:before="0" w:line="480" w:lineRule="auto"/>
        <w:ind w:left="720" w:hanging="720"/>
      </w:pPr>
      <w:r>
        <w:rPr>
          <w:rFonts w:ascii="Times New Roman" w:cs="Times New Roman" w:eastAsia="Times New Roman" w:hAnsi="Times New Roman"/>
          <w:sz w:val="24"/>
          <w:szCs w:val="24"/>
        </w:rPr>
        <w:t xml:space="preserve">Venkatesh, V., &amp; Davis, F. D. (2000). A theoretical extension of the technology acceptance model: Four longitudinal field studies. </w:t>
      </w:r>
      <w:r>
        <w:rPr>
          <w:rFonts w:ascii="Times New Roman" w:cs="Times New Roman" w:eastAsia="Times New Roman" w:hAnsi="Times New Roman"/>
          <w:i/>
          <w:iCs/>
          <w:sz w:val="24"/>
          <w:szCs w:val="24"/>
        </w:rPr>
        <w:t xml:space="preserve">Management Science, 46</w:t>
      </w:r>
      <w:r>
        <w:rPr>
          <w:rFonts w:ascii="Times New Roman" w:cs="Times New Roman" w:eastAsia="Times New Roman" w:hAnsi="Times New Roman"/>
          <w:sz w:val="24"/>
          <w:szCs w:val="24"/>
        </w:rPr>
        <w:t xml:space="preserve">(2), 186–204. https://doi.org/10.1287/mnsc.46.2.186.11926</w:t>
      </w:r>
    </w:p>
    <w:p>
      <w:pPr>
        <w:spacing w:after="0" w:before="0" w:line="480" w:lineRule="auto"/>
        <w:ind w:left="720" w:hanging="720"/>
      </w:pPr>
      <w:r>
        <w:rPr>
          <w:rFonts w:ascii="Times New Roman" w:cs="Times New Roman" w:eastAsia="Times New Roman" w:hAnsi="Times New Roman"/>
          <w:sz w:val="24"/>
          <w:szCs w:val="24"/>
        </w:rPr>
        <w:t xml:space="preserve">Vygotsky, L. S. (1978). </w:t>
      </w:r>
      <w:r>
        <w:rPr>
          <w:rFonts w:ascii="Times New Roman" w:cs="Times New Roman" w:eastAsia="Times New Roman" w:hAnsi="Times New Roman"/>
          <w:i/>
          <w:iCs/>
          <w:sz w:val="24"/>
          <w:szCs w:val="24"/>
        </w:rPr>
        <w:t xml:space="preserve">Mind in society: The development of higher psychological processes</w:t>
      </w:r>
      <w:r>
        <w:rPr>
          <w:rFonts w:ascii="Times New Roman" w:cs="Times New Roman" w:eastAsia="Times New Roman" w:hAnsi="Times New Roman"/>
          <w:sz w:val="24"/>
          <w:szCs w:val="24"/>
        </w:rPr>
        <w:t xml:space="preserve">. Harvard University Press.</w:t>
      </w:r>
    </w:p>
    <w:p>
      <w:pPr>
        <w:spacing w:after="0" w:before="0" w:line="480" w:lineRule="auto"/>
        <w:ind w:left="720" w:hanging="720"/>
      </w:pPr>
      <w:r>
        <w:rPr>
          <w:rFonts w:ascii="Times New Roman" w:cs="Times New Roman" w:eastAsia="Times New Roman" w:hAnsi="Times New Roman"/>
          <w:sz w:val="24"/>
          <w:szCs w:val="24"/>
        </w:rPr>
        <w:t xml:space="preserve">World Wide Web Consortium. (2018). </w:t>
      </w:r>
      <w:r>
        <w:rPr>
          <w:rFonts w:ascii="Times New Roman" w:cs="Times New Roman" w:eastAsia="Times New Roman" w:hAnsi="Times New Roman"/>
          <w:i/>
          <w:iCs/>
          <w:sz w:val="24"/>
          <w:szCs w:val="24"/>
        </w:rPr>
        <w:t xml:space="preserve">Web Content Accessibility Guidelines (WCAG) 2.1</w:t>
      </w:r>
      <w:r>
        <w:rPr>
          <w:rFonts w:ascii="Times New Roman" w:cs="Times New Roman" w:eastAsia="Times New Roman" w:hAnsi="Times New Roman"/>
          <w:sz w:val="24"/>
          <w:szCs w:val="24"/>
        </w:rPr>
        <w:t xml:space="preserve">. W3C. https://www.w3.org/TR/WCAG21/</w:t>
      </w:r>
    </w:p>
    <w:p>
      <w:r>
        <w:br w:type="page"/>
      </w:r>
    </w:p>
    <w:p>
      <w:pPr>
        <w:pStyle w:val="Heading1"/>
        <w:keepNext/>
        <w:spacing w:after="0" w:before="0" w:line="480" w:lineRule="auto"/>
        <w:jc w:val="center"/>
      </w:pPr>
      <w:r>
        <w:rPr>
          <w:rFonts w:ascii="Times New Roman" w:cs="Times New Roman" w:eastAsia="Times New Roman" w:hAnsi="Times New Roman"/>
          <w:b/>
          <w:bCs/>
          <w:sz w:val="24"/>
          <w:szCs w:val="24"/>
        </w:rPr>
        <w:t xml:space="preserve">Anexos</w:t>
      </w:r>
    </w:p>
    <w:p>
      <w:pPr>
        <w:spacing w:after="0" w:before="0" w:line="480" w:lineRule="auto"/>
        <w:ind w:firstLine="720"/>
        <w:jc w:val="left"/>
      </w:pPr>
      <w:r>
        <w:rPr>
          <w:rFonts w:ascii="Times New Roman" w:cs="Times New Roman" w:eastAsia="Times New Roman" w:hAnsi="Times New Roman"/>
          <w:sz w:val="24"/>
          <w:szCs w:val="24"/>
        </w:rPr>
        <w:t xml:space="preserve">Los anexos A a H contienen los formatos preliminares de los instrumentos y del consentimiento informado. El Anexo I reúne las evidencias de participación que exige la guía de la actividad. Los formatos se ajustarán después de la validación por juicio de expertos.</w:t>
      </w:r>
    </w:p>
    <w:p>
      <w:pPr>
        <w:pStyle w:val="Heading2"/>
        <w:keepNext/>
        <w:spacing w:after="0" w:before="0" w:line="480" w:lineRule="auto"/>
      </w:pPr>
      <w:r>
        <w:rPr>
          <w:rFonts w:ascii="Times New Roman" w:cs="Times New Roman" w:eastAsia="Times New Roman" w:hAnsi="Times New Roman"/>
          <w:b/>
          <w:bCs/>
          <w:sz w:val="24"/>
          <w:szCs w:val="24"/>
        </w:rPr>
        <w:t xml:space="preserve">Anexo A. Encuesta de diagnóstico (versión estudiantes)</w:t>
      </w:r>
    </w:p>
    <w:p>
      <w:pPr>
        <w:spacing w:after="0" w:before="0" w:line="240" w:lineRule="auto"/>
      </w:pPr>
      <w:r>
        <w:rPr>
          <w:rFonts w:ascii="Times New Roman" w:cs="Times New Roman" w:eastAsia="Times New Roman" w:hAnsi="Times New Roman"/>
          <w:i/>
          <w:iCs/>
          <w:sz w:val="24"/>
          <w:szCs w:val="24"/>
        </w:rPr>
        <w:t xml:space="preserve">Instrucciones:</w:t>
      </w:r>
      <w:r>
        <w:rPr>
          <w:rFonts w:ascii="Times New Roman" w:cs="Times New Roman" w:eastAsia="Times New Roman" w:hAnsi="Times New Roman"/>
          <w:sz w:val="24"/>
          <w:szCs w:val="24"/>
        </w:rPr>
        <w:t xml:space="preserve"> esta encuesta es anónima y se usará solo con fines académicos. Marca una opción o escribe tu respuesta. Para los ítems de acuerdo, usa la escala 1 (totalmente en desacuerdo) a 5 (totalmente de acuerdo).</w:t>
      </w:r>
    </w:p>
    <w:p>
      <w:pPr>
        <w:keepNext/>
        <w:spacing w:after="100" w:before="200" w:line="240" w:lineRule="auto"/>
      </w:pPr>
      <w:r>
        <w:rPr>
          <w:rFonts w:ascii="Times New Roman" w:cs="Times New Roman" w:eastAsia="Times New Roman" w:hAnsi="Times New Roman"/>
          <w:b/>
          <w:bCs/>
          <w:sz w:val="24"/>
          <w:szCs w:val="24"/>
        </w:rPr>
        <w:t xml:space="preserve">Tabla 41. </w:t>
      </w:r>
      <w:r>
        <w:rPr>
          <w:rFonts w:ascii="Times New Roman" w:cs="Times New Roman" w:eastAsia="Times New Roman" w:hAnsi="Times New Roman"/>
          <w:i/>
          <w:iCs/>
          <w:sz w:val="24"/>
          <w:szCs w:val="24"/>
        </w:rPr>
        <w:t xml:space="preserve">Estructura de la encuesta de diagnóstico para estudiantes.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5200"/>
        <w:gridCol w:w="166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Dimensión</w:t>
            </w:r>
          </w:p>
        </w:tc>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N.º</w:t>
            </w:r>
          </w:p>
        </w:tc>
        <w:tc>
          <w:tcPr>
            <w:tcW w:type="dxa" w:w="5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Ítem</w:t>
            </w:r>
          </w:p>
        </w:tc>
        <w:tc>
          <w:tcPr>
            <w:tcW w:type="dxa" w:w="1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Tipo de respuesta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Datos generales</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Grado que cursas</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Rango de edad (11 a 13; 14 a 15; 16 o más)</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Zona donde vives (urbana o rural)</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Acceso a dispositivos</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¿Con qué dispositivos cuentas para estudiar? (celular propio, celular compartido, computador, tableta, ninguno)</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múltiple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El celular que usas tiene acceso a internet (siempre, a veces, nunca)</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6</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¿Cuántas horas al día puedes usar el dispositivo para estudiar? (menos de 1; de 1 a 2; más de 2)</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7</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Tu dispositivo tiene espacio para instalar aplicaciones (sí, no, no sé)</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Conectividad</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8</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Tipo de conexión en tu casa (wifi, datos móviles, ninguna)</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9</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Mi conexión a internet en casa es estable</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10</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conexión a internet en el colegio es estable</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11</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Cuentas con plan de datos (sí, a veces recargo, no)</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Uso actual de las TIC</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12</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Frecuencia con que usas internet para estudiar (nunca, a veces, casi siempre, siempre)</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13</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Herramientas que usas para estudiar (WhatsApp, YouTube, buscadores, Google Classroom, otras, ninguna)</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múltiple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14</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Mis docentes usan recursos digitales en clase</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15</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¿Has usado una plataforma virtual de aprendizaje? (sí, no)</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única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16</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¿Qué te gustaría hacer en una plataforma? (ver videos, resolver cuestionarios, entregar tareas, participar en foros)</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múltiple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Competencias digitales</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17</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buscar información confiable en internet</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18</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descargar y guardar archivos</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19</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adjuntar un archivo para enviar una tarea</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20</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resolver un cuestionario en línea</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21</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 siento seguro(a) usando herramientas digitales para estudiar</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22</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cuidar mi contraseña y mis datos personales</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Expectativas y barreras</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23</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 gustaría estudiar con el apoyo de una plataforma digital</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Likert 1–5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24</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Obstáculos que veo para usarla (conexión, dispositivo, tiempo, no sé usarla, otro)</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Opción múltiple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25</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Comentarios o sugerencias</w:t>
            </w:r>
          </w:p>
        </w:tc>
        <w:tc>
          <w:tcPr>
            <w:tcW w:type="dxa" w:w="1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Abierta</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La versión para docentes adapta los ítems a la práctica de enseñanza y agrega preguntas sobre áreas, número de grupos, uso de materiales digitales y necesidades de capacitación.</w:t>
      </w:r>
    </w:p>
    <w:p>
      <w:pPr>
        <w:pStyle w:val="Heading2"/>
        <w:keepNext/>
        <w:spacing w:after="0" w:before="0" w:line="480" w:lineRule="auto"/>
      </w:pPr>
      <w:r>
        <w:rPr>
          <w:rFonts w:ascii="Times New Roman" w:cs="Times New Roman" w:eastAsia="Times New Roman" w:hAnsi="Times New Roman"/>
          <w:b/>
          <w:bCs/>
          <w:sz w:val="24"/>
          <w:szCs w:val="24"/>
        </w:rPr>
        <w:t xml:space="preserve">Anexo B. Guion de entrevista semiestructurada</w:t>
      </w:r>
    </w:p>
    <w:p>
      <w:pPr>
        <w:pStyle w:val="ListParagraph"/>
        <w:numPr>
          <w:ilvl w:val="0"/>
          <w:numId w:val="5"/>
        </w:numPr>
        <w:spacing w:after="60" w:before="0" w:line="360" w:lineRule="auto"/>
      </w:pPr>
      <w:r>
        <w:rPr>
          <w:rFonts w:ascii="Times New Roman" w:cs="Times New Roman" w:eastAsia="Times New Roman" w:hAnsi="Times New Roman"/>
          <w:sz w:val="24"/>
          <w:szCs w:val="24"/>
        </w:rPr>
        <w:t xml:space="preserve">¿Cómo describe hoy el uso de las TIC en los procesos de enseñanza de la institución?</w:t>
      </w:r>
    </w:p>
    <w:p>
      <w:pPr>
        <w:pStyle w:val="ListParagraph"/>
        <w:numPr>
          <w:ilvl w:val="0"/>
          <w:numId w:val="5"/>
        </w:numPr>
        <w:spacing w:after="60" w:before="0" w:line="360" w:lineRule="auto"/>
      </w:pPr>
      <w:r>
        <w:rPr>
          <w:rFonts w:ascii="Times New Roman" w:cs="Times New Roman" w:eastAsia="Times New Roman" w:hAnsi="Times New Roman"/>
          <w:sz w:val="24"/>
          <w:szCs w:val="24"/>
        </w:rPr>
        <w:t xml:space="preserve">¿Con qué recursos tecnológicos y de conectividad cuenta la institución?</w:t>
      </w:r>
    </w:p>
    <w:p>
      <w:pPr>
        <w:pStyle w:val="ListParagraph"/>
        <w:numPr>
          <w:ilvl w:val="0"/>
          <w:numId w:val="5"/>
        </w:numPr>
        <w:spacing w:after="60" w:before="0" w:line="360" w:lineRule="auto"/>
      </w:pPr>
      <w:r>
        <w:rPr>
          <w:rFonts w:ascii="Times New Roman" w:cs="Times New Roman" w:eastAsia="Times New Roman" w:hAnsi="Times New Roman"/>
          <w:sz w:val="24"/>
          <w:szCs w:val="24"/>
        </w:rPr>
        <w:t xml:space="preserve">¿Qué experiencias previas han tenido con plataformas virtuales o aulas digitales?</w:t>
      </w:r>
    </w:p>
    <w:p>
      <w:pPr>
        <w:pStyle w:val="ListParagraph"/>
        <w:numPr>
          <w:ilvl w:val="0"/>
          <w:numId w:val="5"/>
        </w:numPr>
        <w:spacing w:after="60" w:before="0" w:line="360" w:lineRule="auto"/>
      </w:pPr>
      <w:r>
        <w:rPr>
          <w:rFonts w:ascii="Times New Roman" w:cs="Times New Roman" w:eastAsia="Times New Roman" w:hAnsi="Times New Roman"/>
          <w:sz w:val="24"/>
          <w:szCs w:val="24"/>
        </w:rPr>
        <w:t xml:space="preserve">¿Qué beneficios espera de una plataforma digital de aprendizaje?</w:t>
      </w:r>
    </w:p>
    <w:p>
      <w:pPr>
        <w:pStyle w:val="ListParagraph"/>
        <w:numPr>
          <w:ilvl w:val="0"/>
          <w:numId w:val="5"/>
        </w:numPr>
        <w:spacing w:after="60" w:before="0" w:line="360" w:lineRule="auto"/>
      </w:pPr>
      <w:r>
        <w:rPr>
          <w:rFonts w:ascii="Times New Roman" w:cs="Times New Roman" w:eastAsia="Times New Roman" w:hAnsi="Times New Roman"/>
          <w:sz w:val="24"/>
          <w:szCs w:val="24"/>
        </w:rPr>
        <w:t xml:space="preserve">¿Qué barreras anticipa (conectividad, dispositivos, formación, tiempo)?</w:t>
      </w:r>
    </w:p>
    <w:p>
      <w:pPr>
        <w:pStyle w:val="ListParagraph"/>
        <w:numPr>
          <w:ilvl w:val="0"/>
          <w:numId w:val="5"/>
        </w:numPr>
        <w:spacing w:after="60" w:before="0" w:line="360" w:lineRule="auto"/>
      </w:pPr>
      <w:r>
        <w:rPr>
          <w:rFonts w:ascii="Times New Roman" w:cs="Times New Roman" w:eastAsia="Times New Roman" w:hAnsi="Times New Roman"/>
          <w:sz w:val="24"/>
          <w:szCs w:val="24"/>
        </w:rPr>
        <w:t xml:space="preserve">¿Cómo debería organizarse la capacitación docente para que sea efectiva?</w:t>
      </w:r>
    </w:p>
    <w:p>
      <w:pPr>
        <w:pStyle w:val="ListParagraph"/>
        <w:numPr>
          <w:ilvl w:val="0"/>
          <w:numId w:val="5"/>
        </w:numPr>
        <w:spacing w:after="60" w:before="0" w:line="360" w:lineRule="auto"/>
      </w:pPr>
      <w:r>
        <w:rPr>
          <w:rFonts w:ascii="Times New Roman" w:cs="Times New Roman" w:eastAsia="Times New Roman" w:hAnsi="Times New Roman"/>
          <w:sz w:val="24"/>
          <w:szCs w:val="24"/>
        </w:rPr>
        <w:t xml:space="preserve">¿Qué condiciones se necesitan para sostener la plataforma después de finalizado el proyecto?</w:t>
      </w:r>
    </w:p>
    <w:p>
      <w:pPr>
        <w:pStyle w:val="ListParagraph"/>
        <w:numPr>
          <w:ilvl w:val="0"/>
          <w:numId w:val="5"/>
        </w:numPr>
        <w:spacing w:after="60" w:before="0" w:line="360" w:lineRule="auto"/>
      </w:pPr>
      <w:r>
        <w:rPr>
          <w:rFonts w:ascii="Times New Roman" w:cs="Times New Roman" w:eastAsia="Times New Roman" w:hAnsi="Times New Roman"/>
          <w:sz w:val="24"/>
          <w:szCs w:val="24"/>
        </w:rPr>
        <w:t xml:space="preserve">¿Qué áreas y grupos priorizaría para el piloto y por qué?</w:t>
      </w:r>
    </w:p>
    <w:p>
      <w:pPr>
        <w:pStyle w:val="Heading2"/>
        <w:keepNext/>
        <w:spacing w:after="0" w:before="0" w:line="480" w:lineRule="auto"/>
      </w:pPr>
      <w:r>
        <w:rPr>
          <w:rFonts w:ascii="Times New Roman" w:cs="Times New Roman" w:eastAsia="Times New Roman" w:hAnsi="Times New Roman"/>
          <w:b/>
          <w:bCs/>
          <w:sz w:val="24"/>
          <w:szCs w:val="24"/>
        </w:rPr>
        <w:t xml:space="preserve">Anexo C. Lista de chequeo de infraestructura tecnológica</w:t>
      </w:r>
    </w:p>
    <w:p>
      <w:pPr>
        <w:keepNext/>
        <w:spacing w:after="100" w:before="200" w:line="240" w:lineRule="auto"/>
      </w:pPr>
      <w:r>
        <w:rPr>
          <w:rFonts w:ascii="Times New Roman" w:cs="Times New Roman" w:eastAsia="Times New Roman" w:hAnsi="Times New Roman"/>
          <w:b/>
          <w:bCs/>
          <w:sz w:val="24"/>
          <w:szCs w:val="24"/>
        </w:rPr>
        <w:t xml:space="preserve">Tabla 42. </w:t>
      </w:r>
      <w:r>
        <w:rPr>
          <w:rFonts w:ascii="Times New Roman" w:cs="Times New Roman" w:eastAsia="Times New Roman" w:hAnsi="Times New Roman"/>
          <w:i/>
          <w:iCs/>
          <w:sz w:val="24"/>
          <w:szCs w:val="24"/>
        </w:rPr>
        <w:t xml:space="preserve">Lista de chequeo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1760"/>
        <w:gridCol w:w="2200"/>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Elemento a verificar</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Existe (sí/no)</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Cantidad</w:t>
            </w:r>
          </w:p>
        </w:tc>
        <w:tc>
          <w:tcPr>
            <w:tcW w:type="dxa" w:w="1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Estado (bueno, regular, malo)</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Observaciones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Computadores en la sala de cómputo</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Computadores con navegador web actualizado</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Red inalámbrica (wifi) disponible en la sala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Velocidad de conexión medida (Mbps)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Cobertura de datos móviles en la sede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Video proyector o televisor</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Puntos eléctricos suficientes para cargar equipos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Horario disponible de la sala para el piloto</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Persona responsable del soporte técnico</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Políticas o reglamento de uso de los equipos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pStyle w:val="Heading2"/>
        <w:keepNext/>
        <w:spacing w:after="0" w:before="0" w:line="480" w:lineRule="auto"/>
      </w:pPr>
      <w:r>
        <w:rPr>
          <w:rFonts w:ascii="Times New Roman" w:cs="Times New Roman" w:eastAsia="Times New Roman" w:hAnsi="Times New Roman"/>
          <w:b/>
          <w:bCs/>
          <w:sz w:val="24"/>
          <w:szCs w:val="24"/>
        </w:rPr>
        <w:t xml:space="preserve">Anexo D. Escala de usabilidad del sistema (SUS)</w:t>
      </w:r>
    </w:p>
    <w:p>
      <w:pPr>
        <w:spacing w:after="0" w:before="0" w:line="240" w:lineRule="auto"/>
      </w:pPr>
      <w:r>
        <w:rPr>
          <w:rFonts w:ascii="Times New Roman" w:cs="Times New Roman" w:eastAsia="Times New Roman" w:hAnsi="Times New Roman"/>
          <w:i/>
          <w:iCs/>
          <w:sz w:val="24"/>
          <w:szCs w:val="24"/>
        </w:rPr>
        <w:t xml:space="preserve">Escala adaptada de Brooke (1996). Responde de 1 (totalmente en desacuerdo) a 5 (totalmente de acuerdo).</w:t>
      </w:r>
    </w:p>
    <w:p>
      <w:pPr>
        <w:keepNext/>
        <w:spacing w:after="100" w:before="200" w:line="240" w:lineRule="auto"/>
      </w:pPr>
      <w:r>
        <w:rPr>
          <w:rFonts w:ascii="Times New Roman" w:cs="Times New Roman" w:eastAsia="Times New Roman" w:hAnsi="Times New Roman"/>
          <w:b/>
          <w:bCs/>
          <w:sz w:val="24"/>
          <w:szCs w:val="24"/>
        </w:rPr>
        <w:t xml:space="preserve">Tabla 43. </w:t>
      </w:r>
      <w:r>
        <w:rPr>
          <w:rFonts w:ascii="Times New Roman" w:cs="Times New Roman" w:eastAsia="Times New Roman" w:hAnsi="Times New Roman"/>
          <w:i/>
          <w:iCs/>
          <w:sz w:val="24"/>
          <w:szCs w:val="24"/>
        </w:rPr>
        <w:t xml:space="preserve">Ítems de la escala 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520"/>
        <w:gridCol w:w="520"/>
        <w:gridCol w:w="520"/>
        <w:gridCol w:w="520"/>
        <w:gridCol w:w="52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N.º</w:t>
            </w:r>
          </w:p>
        </w:tc>
        <w:tc>
          <w:tcPr>
            <w:tcW w:type="dxa" w:w="6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Ítem</w:t>
            </w:r>
          </w:p>
        </w:tc>
        <w:tc>
          <w:tcPr>
            <w:tcW w:type="dxa" w:w="5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1</w:t>
            </w:r>
          </w:p>
        </w:tc>
        <w:tc>
          <w:tcPr>
            <w:tcW w:type="dxa" w:w="5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2</w:t>
            </w:r>
          </w:p>
        </w:tc>
        <w:tc>
          <w:tcPr>
            <w:tcW w:type="dxa" w:w="5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3</w:t>
            </w:r>
          </w:p>
        </w:tc>
        <w:tc>
          <w:tcPr>
            <w:tcW w:type="dxa" w:w="5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4</w:t>
            </w:r>
          </w:p>
        </w:tc>
        <w:tc>
          <w:tcPr>
            <w:tcW w:type="dxa" w:w="5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5</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Creo que me gustaría usar esta plataforma con frecuencia.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Encontré la plataforma innecesariamente compleja.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Pensé que la plataforma era fácil de usar.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Creo que necesitaría el apoyo de una persona técnica para poder usar esta plataforma.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Encontré que las diversas funciones de la plataforma estaban bien integradas.</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6</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Pensé que había demasiada inconsistencia en la plataforma.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7</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Imagino que la mayoría de las personas aprendería a usar esta plataforma muy rápidamente.</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8</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Encontré la plataforma muy incómoda de usar.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9</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 sentí muy seguro(a) usando la plataforma.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10</w:t>
            </w:r>
          </w:p>
        </w:tc>
        <w:tc>
          <w:tcPr>
            <w:tcW w:type="dxa" w:w="6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Necesité aprender muchas cosas antes de poder empezar a usar la plataforma.</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Adaptación en español de la escala SUS (Brooke, 1996).</w:t>
      </w:r>
    </w:p>
    <w:p>
      <w:pPr>
        <w:pStyle w:val="Heading2"/>
        <w:keepNext/>
        <w:spacing w:after="0" w:before="0" w:line="480" w:lineRule="auto"/>
      </w:pPr>
      <w:r>
        <w:rPr>
          <w:rFonts w:ascii="Times New Roman" w:cs="Times New Roman" w:eastAsia="Times New Roman" w:hAnsi="Times New Roman"/>
          <w:b/>
          <w:bCs/>
          <w:sz w:val="24"/>
          <w:szCs w:val="24"/>
        </w:rPr>
        <w:t xml:space="preserve">Anexo E. Cuestionario de aceptación tecnológica (TAM)</w:t>
      </w:r>
    </w:p>
    <w:p>
      <w:pPr>
        <w:keepNext/>
        <w:spacing w:after="100" w:before="200" w:line="240" w:lineRule="auto"/>
      </w:pPr>
      <w:r>
        <w:rPr>
          <w:rFonts w:ascii="Times New Roman" w:cs="Times New Roman" w:eastAsia="Times New Roman" w:hAnsi="Times New Roman"/>
          <w:b/>
          <w:bCs/>
          <w:sz w:val="24"/>
          <w:szCs w:val="24"/>
        </w:rPr>
        <w:t xml:space="preserve">Tabla 44. </w:t>
      </w:r>
      <w:r>
        <w:rPr>
          <w:rFonts w:ascii="Times New Roman" w:cs="Times New Roman" w:eastAsia="Times New Roman" w:hAnsi="Times New Roman"/>
          <w:i/>
          <w:iCs/>
          <w:sz w:val="24"/>
          <w:szCs w:val="24"/>
        </w:rPr>
        <w:t xml:space="preserve">Ítems del cuestionario 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Dimensión</w:t>
            </w:r>
          </w:p>
        </w:tc>
        <w:tc>
          <w:tcPr>
            <w:tcW w:type="dxa" w:w="6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Ítem (escala de 1 a 5)</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Utilidad percibida</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Usar la plataforma mejora mi aprendizaje (o mi enseñanza).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plataforma me permite realizar mis actividades con mayor rapidez.</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plataforma me resulta útil para mis estudios (o mi trabajo).</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plataforma me ayuda a estar al día con mis tareas y evaluaciones.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Facilidad de uso percibida</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Aprender a usar la plataforma fue fácil para mí.</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La interacción con la plataforma es clara y comprensible.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Es fácil lograr que la plataforma haga lo que quiero.</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 resulta fácil volverme hábil en el uso de la plataforma.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8"/>
                <w:szCs w:val="18"/>
              </w:rPr>
              <w:t xml:space="preserve">Intención de uso</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Tengo la intención de seguir usando la plataforma.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Recomendaría la plataforma a otros compañeros o docentes.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 gustaría usar la plataforma en otras áreas.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Prefiero usar la plataforma como complemento de las clases presenciales.</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base en Davis (1989).</w:t>
      </w:r>
    </w:p>
    <w:p>
      <w:pPr>
        <w:pStyle w:val="Heading2"/>
        <w:keepNext/>
        <w:spacing w:after="0" w:before="0" w:line="480" w:lineRule="auto"/>
      </w:pPr>
      <w:r>
        <w:rPr>
          <w:rFonts w:ascii="Times New Roman" w:cs="Times New Roman" w:eastAsia="Times New Roman" w:hAnsi="Times New Roman"/>
          <w:b/>
          <w:bCs/>
          <w:sz w:val="24"/>
          <w:szCs w:val="24"/>
        </w:rPr>
        <w:t xml:space="preserve">Anexo F. Ficha de observación del piloto</w:t>
      </w:r>
    </w:p>
    <w:p>
      <w:pPr>
        <w:keepNext/>
        <w:spacing w:after="100" w:before="200" w:line="240" w:lineRule="auto"/>
      </w:pPr>
      <w:r>
        <w:rPr>
          <w:rFonts w:ascii="Times New Roman" w:cs="Times New Roman" w:eastAsia="Times New Roman" w:hAnsi="Times New Roman"/>
          <w:b/>
          <w:bCs/>
          <w:sz w:val="24"/>
          <w:szCs w:val="24"/>
        </w:rPr>
        <w:t xml:space="preserve">Tabla 45. </w:t>
      </w:r>
      <w:r>
        <w:rPr>
          <w:rFonts w:ascii="Times New Roman" w:cs="Times New Roman" w:eastAsia="Times New Roman" w:hAnsi="Times New Roman"/>
          <w:i/>
          <w:iCs/>
          <w:sz w:val="24"/>
          <w:szCs w:val="24"/>
        </w:rPr>
        <w:t xml:space="preserve">Ficha de observación por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rPr>
          <w:cantSplit/>
          <w:tblHeader/>
        </w:trPr>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Aspecto observado</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Registro (sí/no o escala de 1 a 5)</w:t>
            </w:r>
          </w:p>
        </w:tc>
        <w:tc>
          <w:tcPr>
            <w:tcW w:type="dxa" w:w="2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Observaciones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Fecha, grupo, área y número de participantes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Los estudiantes ingresan a la plataforma sin ayuda</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Dificultades técnicas (conexión, dispositivos, cuentas)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Los estudiantes localizan y abren los recursos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Participación en las actividades y en los foros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Uso del modo sin conexión de la aplicación móvil</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Apoyo del docente durante la sesión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Sugerencias de mejora percibidas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c>
          <w:tcPr>
            <w:tcW w:type="dxa" w:w="2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w:t>
      </w:r>
    </w:p>
    <w:p>
      <w:pPr>
        <w:pStyle w:val="Heading2"/>
        <w:keepNext/>
        <w:spacing w:after="0" w:before="0" w:line="480" w:lineRule="auto"/>
      </w:pPr>
      <w:r>
        <w:rPr>
          <w:rFonts w:ascii="Times New Roman" w:cs="Times New Roman" w:eastAsia="Times New Roman" w:hAnsi="Times New Roman"/>
          <w:b/>
          <w:bCs/>
          <w:sz w:val="24"/>
          <w:szCs w:val="24"/>
        </w:rPr>
        <w:t xml:space="preserve">Anexo G. Modelo de consentimiento y asentimiento informado</w:t>
      </w:r>
    </w:p>
    <w:p>
      <w:pPr>
        <w:spacing w:after="0" w:before="0" w:line="240" w:lineRule="auto"/>
        <w:ind w:firstLine="0"/>
      </w:pPr>
      <w:r>
        <w:rPr>
          <w:rFonts w:ascii="Times New Roman" w:cs="Times New Roman" w:eastAsia="Times New Roman" w:hAnsi="Times New Roman"/>
          <w:sz w:val="24"/>
          <w:szCs w:val="24"/>
        </w:rPr>
        <w:t xml:space="preserve">Yo, ____________________________, identificado(a) con documento n.º ____________, en calidad de ☐ docente ☐ acudiente del estudiante ____________________________, declaro que he sido informado(a) sobre el proyecto “Plataforma digital de aprendizaje para la transición de la enseñanza tradicional a la digital en la I.E. El Carmelo”, desarrollado por estudiantes de Ingeniería de Sistemas de la UNAD. Entiendo que la participación es voluntaria, que puedo retirarme en cualquier momento sin consecuencias, que los datos serán anónimos y se usarán solo con fines académicos, y que serán tratados conforme a la Ley 1581 de 2012. Autorizo la participación y el tratamiento de los datos descritos.</w:t>
      </w:r>
    </w:p>
    <w:p>
      <w:pPr>
        <w:spacing w:after="0" w:before="0" w:line="240" w:lineRule="auto"/>
      </w:pPr>
      <w:r>
        <w:rPr>
          <w:rFonts w:ascii="Times New Roman" w:cs="Times New Roman" w:eastAsia="Times New Roman" w:hAnsi="Times New Roman"/>
          <w:sz w:val="24"/>
          <w:szCs w:val="24"/>
        </w:rPr>
        <w:t xml:space="preserve">Firma: ____________________   Fecha: ____ / ____ / ______</w:t>
      </w:r>
    </w:p>
    <w:p>
      <w:pPr>
        <w:spacing w:after="0" w:before="0" w:line="240" w:lineRule="auto"/>
      </w:pPr>
      <w:r>
        <w:rPr>
          <w:rFonts w:ascii="Times New Roman" w:cs="Times New Roman" w:eastAsia="Times New Roman" w:hAnsi="Times New Roman"/>
          <w:i/>
          <w:iCs/>
          <w:sz w:val="24"/>
          <w:szCs w:val="24"/>
        </w:rPr>
        <w:t xml:space="preserve">Asentimiento del estudiante:</w:t>
      </w:r>
      <w:r>
        <w:rPr>
          <w:rFonts w:ascii="Times New Roman" w:cs="Times New Roman" w:eastAsia="Times New Roman" w:hAnsi="Times New Roman"/>
          <w:sz w:val="24"/>
          <w:szCs w:val="24"/>
        </w:rPr>
        <w:t xml:space="preserve"> he comprendido de qué se trata el proyecto y acepto participar. Firma: ____________________</w:t>
      </w:r>
    </w:p>
    <w:p>
      <w:pPr>
        <w:pStyle w:val="Heading2"/>
        <w:keepNext/>
        <w:spacing w:after="0" w:before="0" w:line="480" w:lineRule="auto"/>
      </w:pPr>
      <w:r>
        <w:rPr>
          <w:rFonts w:ascii="Times New Roman" w:cs="Times New Roman" w:eastAsia="Times New Roman" w:hAnsi="Times New Roman"/>
          <w:b/>
          <w:bCs/>
          <w:sz w:val="24"/>
          <w:szCs w:val="24"/>
        </w:rPr>
        <w:t xml:space="preserve">Anexo H. Escala de competencias digitales autopercibidas (ICDA)</w:t>
      </w:r>
    </w:p>
    <w:p>
      <w:pPr>
        <w:keepNext/>
        <w:spacing w:after="100" w:before="200" w:line="240" w:lineRule="auto"/>
      </w:pPr>
      <w:r>
        <w:rPr>
          <w:rFonts w:ascii="Times New Roman" w:cs="Times New Roman" w:eastAsia="Times New Roman" w:hAnsi="Times New Roman"/>
          <w:b/>
          <w:bCs/>
          <w:sz w:val="24"/>
          <w:szCs w:val="24"/>
        </w:rPr>
        <w:t xml:space="preserve">Tabla 46. </w:t>
      </w:r>
      <w:r>
        <w:rPr>
          <w:rFonts w:ascii="Times New Roman" w:cs="Times New Roman" w:eastAsia="Times New Roman" w:hAnsi="Times New Roman"/>
          <w:i/>
          <w:iCs/>
          <w:sz w:val="24"/>
          <w:szCs w:val="24"/>
        </w:rPr>
        <w:t xml:space="preserve">Ítems de la escala ICDA (escala de 1 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N.º</w:t>
            </w:r>
          </w:p>
        </w:tc>
        <w:tc>
          <w:tcPr>
            <w:tcW w:type="dxa" w:w="8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8"/>
                <w:szCs w:val="18"/>
              </w:rPr>
              <w:t xml:space="preserve">Ítem</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usar un navegador para entrar a páginas de estudio.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2</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buscar información confiable para mis tareas.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3</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descargar y guardar archivos en mi dispositivo.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4</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abrir documentos, presentaciones y videos.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5</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enviar un archivo adjunto por una plataforma o aplicación.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6</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resolver un cuestionario en línea.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7</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participar en un foro o chat de estudio.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8</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consultar mis notas y fechas de entrega en línea.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9</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crear un documento o presentación sencilla.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10</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proteger mi contraseña y mis datos personales.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11</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Sé pedir ayuda cuando una herramienta digital no funciona.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val="false"/>
                <w:bCs w:val="false"/>
                <w:sz w:val="18"/>
                <w:szCs w:val="18"/>
              </w:rPr>
              <w:t xml:space="preserve">12</w:t>
            </w:r>
          </w:p>
        </w:tc>
        <w:tc>
          <w:tcPr>
            <w:tcW w:type="dxa" w:w="8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8"/>
                <w:szCs w:val="18"/>
              </w:rPr>
              <w:t xml:space="preserve">Me siento seguro(a) usando herramientas digitales para aprender.</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(2026), con referencia a las competencias TIC del MEN (2013). Se aplica antes y después del piloto.</w:t>
      </w:r>
    </w:p>
    <w:p>
      <w:pPr>
        <w:pStyle w:val="Heading2"/>
        <w:keepNext/>
        <w:spacing w:after="0" w:before="0" w:line="480" w:lineRule="auto"/>
      </w:pPr>
      <w:r>
        <w:rPr>
          <w:rFonts w:ascii="Times New Roman" w:cs="Times New Roman" w:eastAsia="Times New Roman" w:hAnsi="Times New Roman"/>
          <w:b/>
          <w:bCs/>
          <w:sz w:val="24"/>
          <w:szCs w:val="24"/>
        </w:rPr>
        <w:t xml:space="preserve">Anexo I. Evidencias de participación</w:t>
      </w:r>
    </w:p>
    <w:p>
      <w:pPr>
        <w:spacing w:after="0" w:before="0" w:line="480" w:lineRule="auto"/>
        <w:ind w:firstLine="720"/>
        <w:jc w:val="left"/>
      </w:pPr>
      <w:r>
        <w:rPr>
          <w:rFonts w:ascii="Times New Roman" w:cs="Times New Roman" w:eastAsia="Times New Roman" w:hAnsi="Times New Roman"/>
          <w:sz w:val="24"/>
          <w:szCs w:val="24"/>
        </w:rPr>
        <w:t xml:space="preserve">Según la guía de la actividad, las siguientes evidencias se cargan como anexos al final del documento maestro y en el tema de socialización del foro.</w:t>
      </w:r>
    </w:p>
    <w:p>
      <w:pPr>
        <w:keepNext/>
        <w:spacing w:after="100" w:before="200" w:line="240" w:lineRule="auto"/>
      </w:pPr>
      <w:r>
        <w:rPr>
          <w:rFonts w:ascii="Times New Roman" w:cs="Times New Roman" w:eastAsia="Times New Roman" w:hAnsi="Times New Roman"/>
          <w:b/>
          <w:bCs/>
          <w:sz w:val="24"/>
          <w:szCs w:val="24"/>
        </w:rPr>
        <w:t xml:space="preserve">Tabla 47. </w:t>
      </w:r>
      <w:r>
        <w:rPr>
          <w:rFonts w:ascii="Times New Roman" w:cs="Times New Roman" w:eastAsia="Times New Roman" w:hAnsi="Times New Roman"/>
          <w:i/>
          <w:iCs/>
          <w:sz w:val="24"/>
          <w:szCs w:val="24"/>
        </w:rPr>
        <w:t xml:space="preserve">Evidencias de participación requeridas por la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Evidencia</w:t>
            </w:r>
          </w:p>
        </w:tc>
        <w:tc>
          <w:tcPr>
            <w:tcW w:type="dxa" w:w="4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Descripción</w:t>
            </w:r>
          </w:p>
        </w:tc>
        <w:tc>
          <w:tcPr>
            <w:tcW w:type="dxa" w:w="3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20" w:before="20" w:line="240" w:lineRule="auto"/>
              <w:jc w:val="center"/>
            </w:pPr>
            <w:r>
              <w:rPr>
                <w:rFonts w:ascii="Times New Roman" w:cs="Times New Roman" w:eastAsia="Times New Roman" w:hAnsi="Times New Roman"/>
                <w:b/>
                <w:bCs/>
                <w:sz w:val="19"/>
                <w:szCs w:val="19"/>
              </w:rPr>
              <w:t xml:space="preserve">Imagen (insertar captura)</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Evidencia 1</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Imagen de la unión a una de las dos mejores propuestas seleccionadas en la fase anterior, o de la continuidad de la propuesta presentada</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[Insertar captura de pantalla]</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Evidencia 2</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Imagen de la aceptación, por parte del formulador principal, del nuevo integrante del proyecto</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[Insertar captura de pantalla]</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bCs/>
                <w:sz w:val="19"/>
                <w:szCs w:val="19"/>
              </w:rPr>
              <w:t xml:space="preserve">Evidencia 3</w:t>
            </w:r>
          </w:p>
        </w:tc>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Imagen de la participación en la construcción de cada uno de los ítems de la actividad</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before="20" w:line="240" w:lineRule="auto"/>
              <w:jc w:val="left"/>
            </w:pPr>
            <w:r>
              <w:rPr>
                <w:rFonts w:ascii="Times New Roman" w:cs="Times New Roman" w:eastAsia="Times New Roman" w:hAnsi="Times New Roman"/>
                <w:b w:val="false"/>
                <w:bCs w:val="false"/>
                <w:sz w:val="19"/>
                <w:szCs w:val="19"/>
              </w:rPr>
              <w:t xml:space="preserve">[Insertar capturas por ítem]</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Pendiente de completar por los integrantes del grupo antes de la entrega.</w:t>
      </w:r>
    </w:p>
    <w:sectPr>
      <w:head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image" Target="media/aa3e0a6485b22fa72ef5fac5544f87b4efb23466.png"/><Relationship Id="rId12" Type="http://schemas.openxmlformats.org/officeDocument/2006/relationships/image" Target="media/c8e14aca5994bcea47e822eefec341add4276d8e.png"/><Relationship Id="rId13" Type="http://schemas.openxmlformats.org/officeDocument/2006/relationships/image" Target="media/88e0afd75da73a3ba822c695fe181a20cd4ca450.png"/><Relationship Id="rId14" Type="http://schemas.openxmlformats.org/officeDocument/2006/relationships/image" Target="media/9a08894e007038320aa15ab581a3ffacd140851b.png"/><Relationship Id="rId15" Type="http://schemas.openxmlformats.org/officeDocument/2006/relationships/image" Target="media/0bc5db4d2e5205abc1f0f9cd3ad6e91aa62a9f25.png"/><Relationship Id="rId16" Type="http://schemas.openxmlformats.org/officeDocument/2006/relationships/image" Target="media/765b9f3e7388bd76b0f603619edf8d7eb0cbd696.png"/><Relationship Id="rId17" Type="http://schemas.openxmlformats.org/officeDocument/2006/relationships/image" Target="media/07918e28ff613b653de776743dfa92a0f173d952.png"/><Relationship Id="rId18" Type="http://schemas.openxmlformats.org/officeDocument/2006/relationships/image" Target="media/63cb4b1471b587615e0894c3e3b59ecaef1af063.png"/><Relationship Id="rId19" Type="http://schemas.openxmlformats.org/officeDocument/2006/relationships/image" Target="media/89ce502df5e69db3ec0723062fcc7989e48a25c8.png"/><Relationship Id="rId20" Type="http://schemas.openxmlformats.org/officeDocument/2006/relationships/image" Target="media/80d91394a978c9d9a0272a8ba2118584e9bb36d7.png"/><Relationship Id="rId21" Type="http://schemas.openxmlformats.org/officeDocument/2006/relationships/image" Target="media/00274f1a14771ea65b4242da62ad6a147b8ea206.png"/><Relationship Id="rId22" Type="http://schemas.openxmlformats.org/officeDocument/2006/relationships/image" Target="media/ba0ae05c2efbab516cd4655d93cbc597121e2292.png"/><Relationship Id="rId23" Type="http://schemas.openxmlformats.org/officeDocument/2006/relationships/image" Target="media/995d685c5a547194840616e97a446d76111bbc82.png"/><Relationship Id="rId24" Type="http://schemas.openxmlformats.org/officeDocument/2006/relationships/image" Target="media/150155e0abaa380b0ba110426e554b9af74b16ff.png"/><Relationship Id="rId25" Type="http://schemas.openxmlformats.org/officeDocument/2006/relationships/image" Target="media/0148cb861357dff9fccd8c5a0d140556f30c24a0.png"/><Relationship Id="rId26" Type="http://schemas.openxmlformats.org/officeDocument/2006/relationships/image" Target="media/f8842fbcf99fc0307aa464a9659101835dfad439.png"/><Relationship Id="rId27" Type="http://schemas.openxmlformats.org/officeDocument/2006/relationships/image" Target="media/8da302df93ecdc7bc8dc1e272a9305dae4738284.png"/><Relationship Id="rId28" Type="http://schemas.openxmlformats.org/officeDocument/2006/relationships/image" Target="media/d61d57c56383acb93b19d751590771bf7ebedd60.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 Fase 3 – Formulación del proceso metodológico investigativo</dc:title>
  <dc:creator>Proyecto de grado – UNAD</dc:creator>
  <cp:lastModifiedBy>Un-named</cp:lastModifiedBy>
  <cp:revision>1</cp:revision>
  <dcterms:created xsi:type="dcterms:W3CDTF">2026-10-22T05:32:00.890Z</dcterms:created>
  <dcterms:modified xsi:type="dcterms:W3CDTF">2026-10-22T05:32:00.890Z</dcterms:modified>
</cp:coreProperties>
</file>

<file path=docProps/custom.xml><?xml version="1.0" encoding="utf-8"?>
<Properties xmlns="http://schemas.openxmlformats.org/officeDocument/2006/custom-properties" xmlns:vt="http://schemas.openxmlformats.org/officeDocument/2006/docPropsVTypes"/>
</file>