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1CB39234" w:rsidR="00B30E05" w:rsidRPr="007511F2" w:rsidRDefault="00B30E05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40"/>
          <w:szCs w:val="40"/>
          <w:u w:val="single"/>
          <w:lang w:val="es-ES"/>
        </w:rPr>
        <w:t xml:space="preserve">Informe inflación </w:t>
      </w:r>
      <w:r w:rsidR="00AA10B0">
        <w:rPr>
          <w:rFonts w:asciiTheme="majorHAnsi" w:hAnsiTheme="majorHAnsi" w:cstheme="majorHAnsi"/>
          <w:b/>
          <w:bCs/>
          <w:sz w:val="40"/>
          <w:szCs w:val="40"/>
          <w:u w:val="single"/>
          <w:lang w:val="es-ES"/>
        </w:rPr>
        <w:t>septiembre</w:t>
      </w:r>
      <w:r w:rsidRPr="007511F2">
        <w:rPr>
          <w:rFonts w:asciiTheme="majorHAnsi" w:hAnsiTheme="majorHAnsi" w:cstheme="majorHAnsi"/>
          <w:b/>
          <w:bCs/>
          <w:sz w:val="40"/>
          <w:szCs w:val="40"/>
          <w:u w:val="single"/>
          <w:lang w:val="es-ES"/>
        </w:rPr>
        <w:t xml:space="preserve"> 2022</w:t>
      </w:r>
    </w:p>
    <w:p w14:paraId="78DFA991" w14:textId="4C9CD2F0" w:rsidR="00B30E05" w:rsidRPr="007511F2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Gráfica 1. </w:t>
      </w:r>
      <w:r w:rsidR="00B30E05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Variación mensual- IPC Total </w:t>
      </w:r>
      <w:r w:rsidR="00DE3FCA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>por año</w:t>
      </w:r>
    </w:p>
    <w:p w14:paraId="37551555" w14:textId="0892E80A" w:rsidR="00974B34" w:rsidRPr="007511F2" w:rsidRDefault="00140FF4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227692" wp14:editId="509E0901">
                <wp:simplePos x="0" y="0"/>
                <wp:positionH relativeFrom="column">
                  <wp:posOffset>3709035</wp:posOffset>
                </wp:positionH>
                <wp:positionV relativeFrom="paragraph">
                  <wp:posOffset>887730</wp:posOffset>
                </wp:positionV>
                <wp:extent cx="197511" cy="182880"/>
                <wp:effectExtent l="0" t="0" r="12065" b="2667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BFF65" id="Elipse 6" o:spid="_x0000_s1026" style="position:absolute;margin-left:292.05pt;margin-top:69.9pt;width:15.5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" filled="f" strokecolor="fuchsia"/>
            </w:pict>
          </mc:Fallback>
        </mc:AlternateContent>
      </w:r>
      <w:r w:rsidR="00AA10B0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w:drawing>
          <wp:inline distT="0" distB="0" distL="0" distR="0" wp14:anchorId="06DC6D7A" wp14:editId="4EA7F825">
            <wp:extent cx="5291137" cy="2645569"/>
            <wp:effectExtent l="0" t="0" r="5080" b="254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38" cy="26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7A2" w14:textId="343E6AEB" w:rsidR="00306FC7" w:rsidRPr="007511F2" w:rsidRDefault="00306FC7" w:rsidP="00E47B21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7511F2">
        <w:rPr>
          <w:rFonts w:asciiTheme="majorHAnsi" w:hAnsiTheme="majorHAnsi" w:cstheme="majorHAnsi"/>
          <w:b/>
          <w:bCs/>
          <w:sz w:val="18"/>
          <w:szCs w:val="18"/>
          <w:lang w:val="es-ES"/>
        </w:rPr>
        <w:t>Fuente: DANE. Índice de precios al consumidor</w:t>
      </w:r>
    </w:p>
    <w:p w14:paraId="2055818C" w14:textId="4ED8DEB9" w:rsidR="00F54EEA" w:rsidRPr="007511F2" w:rsidRDefault="001434DB" w:rsidP="00E02026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La inflación mensual fue de </w:t>
      </w:r>
      <w:r w:rsidR="00BD74B7">
        <w:rPr>
          <w:rFonts w:asciiTheme="majorHAnsi" w:hAnsiTheme="majorHAnsi" w:cstheme="majorHAnsi"/>
          <w:sz w:val="20"/>
          <w:szCs w:val="20"/>
          <w:lang w:val="es-ES"/>
        </w:rPr>
        <w:t>0.93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%, 0</w:t>
      </w:r>
      <w:r w:rsidR="0098432E" w:rsidRPr="007511F2">
        <w:rPr>
          <w:rFonts w:asciiTheme="majorHAnsi" w:hAnsiTheme="majorHAnsi" w:cstheme="majorHAnsi"/>
          <w:sz w:val="20"/>
          <w:szCs w:val="20"/>
          <w:lang w:val="es-ES"/>
        </w:rPr>
        <w:t>.</w:t>
      </w:r>
      <w:r w:rsidR="0096477E" w:rsidRPr="007511F2">
        <w:rPr>
          <w:rFonts w:asciiTheme="majorHAnsi" w:hAnsiTheme="majorHAnsi" w:cstheme="majorHAnsi"/>
          <w:sz w:val="20"/>
          <w:szCs w:val="20"/>
          <w:lang w:val="es-ES"/>
        </w:rPr>
        <w:t>5</w:t>
      </w:r>
      <w:r w:rsidR="007B1AB7">
        <w:rPr>
          <w:rFonts w:asciiTheme="majorHAnsi" w:hAnsiTheme="majorHAnsi" w:cstheme="majorHAnsi"/>
          <w:sz w:val="20"/>
          <w:szCs w:val="20"/>
          <w:lang w:val="es-ES"/>
        </w:rPr>
        <w:t>5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ED0A80" w:rsidRPr="007511F2">
        <w:rPr>
          <w:rFonts w:asciiTheme="majorHAnsi" w:hAnsiTheme="majorHAnsi" w:cstheme="majorHAnsi"/>
          <w:sz w:val="20"/>
          <w:szCs w:val="20"/>
          <w:lang w:val="es-ES"/>
        </w:rPr>
        <w:t>p.p</w:t>
      </w:r>
      <w:r w:rsidR="00735953" w:rsidRPr="007511F2">
        <w:rPr>
          <w:rFonts w:asciiTheme="majorHAnsi" w:hAnsiTheme="majorHAnsi" w:cstheme="majorHAnsi"/>
          <w:sz w:val="20"/>
          <w:szCs w:val="20"/>
          <w:lang w:val="es-ES"/>
        </w:rPr>
        <w:t>.</w:t>
      </w:r>
      <w:r w:rsidR="00ED0A80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por </w:t>
      </w:r>
      <w:r w:rsidR="00544F1B" w:rsidRPr="007511F2">
        <w:rPr>
          <w:rFonts w:asciiTheme="majorHAnsi" w:hAnsiTheme="majorHAnsi" w:cstheme="majorHAnsi"/>
          <w:sz w:val="20"/>
          <w:szCs w:val="20"/>
          <w:lang w:val="es-ES"/>
        </w:rPr>
        <w:t>encima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del 202</w:t>
      </w:r>
      <w:r w:rsidR="00E532FD" w:rsidRPr="007511F2">
        <w:rPr>
          <w:rFonts w:asciiTheme="majorHAnsi" w:hAnsiTheme="majorHAnsi" w:cstheme="majorHAnsi"/>
          <w:sz w:val="20"/>
          <w:szCs w:val="20"/>
          <w:lang w:val="es-ES"/>
        </w:rPr>
        <w:t>1</w:t>
      </w:r>
      <w:r w:rsidR="0045438D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. </w:t>
      </w:r>
    </w:p>
    <w:p w14:paraId="586ACADF" w14:textId="28FE9A39" w:rsidR="0043711B" w:rsidRPr="007511F2" w:rsidRDefault="0043711B" w:rsidP="0043711B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>La inflación anual fue de 1</w:t>
      </w:r>
      <w:r w:rsidR="002F69EF">
        <w:rPr>
          <w:rFonts w:asciiTheme="majorHAnsi" w:hAnsiTheme="majorHAnsi" w:cstheme="majorHAnsi"/>
          <w:sz w:val="20"/>
          <w:szCs w:val="20"/>
          <w:lang w:val="es-ES"/>
        </w:rPr>
        <w:t>1,</w:t>
      </w:r>
      <w:r w:rsidR="00C22B44">
        <w:rPr>
          <w:rFonts w:asciiTheme="majorHAnsi" w:hAnsiTheme="majorHAnsi" w:cstheme="majorHAnsi"/>
          <w:sz w:val="20"/>
          <w:szCs w:val="20"/>
          <w:lang w:val="es-ES"/>
        </w:rPr>
        <w:t xml:space="preserve">44 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%, 6.</w:t>
      </w:r>
      <w:r w:rsidR="00C22B44">
        <w:rPr>
          <w:rFonts w:asciiTheme="majorHAnsi" w:hAnsiTheme="majorHAnsi" w:cstheme="majorHAnsi"/>
          <w:sz w:val="20"/>
          <w:szCs w:val="20"/>
          <w:lang w:val="es-ES"/>
        </w:rPr>
        <w:t>93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p.p. por encima del 2021. </w:t>
      </w:r>
    </w:p>
    <w:p w14:paraId="5FC30A30" w14:textId="77777777" w:rsidR="0043711B" w:rsidRPr="007511F2" w:rsidRDefault="0043711B" w:rsidP="0043711B">
      <w:pPr>
        <w:pStyle w:val="Prrafodelista"/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3B301D35" w14:textId="30EC1585" w:rsidR="00FB5C81" w:rsidRPr="007511F2" w:rsidRDefault="00242CFC" w:rsidP="00FB5C81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Gráfica 2. </w:t>
      </w:r>
      <w:r w:rsidR="00256750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Serie Variación mensual – IPC Total e IPC alimentos </w:t>
      </w:r>
      <w:r w:rsidR="00DE3FCA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>2019-2022</w:t>
      </w:r>
    </w:p>
    <w:p w14:paraId="5BFC2F6C" w14:textId="01D3AEF8" w:rsidR="00FB5C81" w:rsidRPr="007511F2" w:rsidRDefault="00177069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68E3C0" wp14:editId="12F71880">
                <wp:simplePos x="0" y="0"/>
                <wp:positionH relativeFrom="column">
                  <wp:posOffset>4865688</wp:posOffset>
                </wp:positionH>
                <wp:positionV relativeFrom="paragraph">
                  <wp:posOffset>1297940</wp:posOffset>
                </wp:positionV>
                <wp:extent cx="197511" cy="182880"/>
                <wp:effectExtent l="0" t="0" r="12065" b="266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649EB4" id="Elipse 9" o:spid="_x0000_s1026" style="position:absolute;margin-left:383.15pt;margin-top:102.2pt;width:15.55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" filled="f" strokecolor="#00b0f0"/>
            </w:pict>
          </mc:Fallback>
        </mc:AlternateContent>
      </w:r>
      <w:r w:rsidR="000D5990" w:rsidRPr="007511F2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01FCD" wp14:editId="18A29EC5">
                <wp:simplePos x="0" y="0"/>
                <wp:positionH relativeFrom="column">
                  <wp:posOffset>4849812</wp:posOffset>
                </wp:positionH>
                <wp:positionV relativeFrom="paragraph">
                  <wp:posOffset>1669415</wp:posOffset>
                </wp:positionV>
                <wp:extent cx="197511" cy="182880"/>
                <wp:effectExtent l="0" t="0" r="12065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FF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5A1DC5" id="Elipse 7" o:spid="_x0000_s1026" style="position:absolute;margin-left:381.85pt;margin-top:131.45pt;width:15.5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" filled="f" strokecolor="aqua"/>
            </w:pict>
          </mc:Fallback>
        </mc:AlternateContent>
      </w:r>
      <w:r w:rsidR="000D5990" w:rsidRPr="00281A90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w:drawing>
          <wp:inline distT="0" distB="0" distL="0" distR="0" wp14:anchorId="4D2C6A63" wp14:editId="422EFBB2">
            <wp:extent cx="5819775" cy="2909888"/>
            <wp:effectExtent l="0" t="0" r="0" b="5080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092" cy="29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955E" w14:textId="4D6BE165" w:rsidR="00306FC7" w:rsidRPr="007511F2" w:rsidRDefault="00306FC7" w:rsidP="0045438D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18"/>
          <w:szCs w:val="18"/>
          <w:lang w:val="es-ES"/>
        </w:rPr>
        <w:t>Fuente: DANE. Índice de precios al consumidor</w:t>
      </w:r>
    </w:p>
    <w:p w14:paraId="1AD6BD2F" w14:textId="2C29C14E" w:rsidR="00425EF1" w:rsidRPr="007511F2" w:rsidRDefault="001E057B" w:rsidP="00A862C6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>La inflación</w:t>
      </w:r>
      <w:r w:rsidR="00532B4F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de alimentos </w:t>
      </w:r>
      <w:r w:rsidR="001E52AA">
        <w:rPr>
          <w:rFonts w:asciiTheme="majorHAnsi" w:hAnsiTheme="majorHAnsi" w:cstheme="majorHAnsi"/>
          <w:sz w:val="20"/>
          <w:szCs w:val="20"/>
          <w:lang w:val="es-ES"/>
        </w:rPr>
        <w:t>disminuyó</w:t>
      </w:r>
      <w:r w:rsidR="00532B4F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6775DD" w:rsidRPr="007511F2">
        <w:rPr>
          <w:rFonts w:asciiTheme="majorHAnsi" w:hAnsiTheme="majorHAnsi" w:cstheme="majorHAnsi"/>
          <w:sz w:val="20"/>
          <w:szCs w:val="20"/>
          <w:lang w:val="es-ES"/>
        </w:rPr>
        <w:t>0</w:t>
      </w:r>
      <w:r w:rsidR="00203335" w:rsidRPr="007511F2">
        <w:rPr>
          <w:rFonts w:asciiTheme="majorHAnsi" w:hAnsiTheme="majorHAnsi" w:cstheme="majorHAnsi"/>
          <w:sz w:val="20"/>
          <w:szCs w:val="20"/>
          <w:lang w:val="es-ES"/>
        </w:rPr>
        <w:t>.</w:t>
      </w:r>
      <w:r w:rsidR="001E52AA">
        <w:rPr>
          <w:rFonts w:asciiTheme="majorHAnsi" w:hAnsiTheme="majorHAnsi" w:cstheme="majorHAnsi"/>
          <w:sz w:val="20"/>
          <w:szCs w:val="20"/>
          <w:lang w:val="es-ES"/>
        </w:rPr>
        <w:t>24</w:t>
      </w:r>
      <w:r w:rsidR="00203335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6042E6" w:rsidRPr="007511F2">
        <w:rPr>
          <w:rFonts w:asciiTheme="majorHAnsi" w:hAnsiTheme="majorHAnsi" w:cstheme="majorHAnsi"/>
          <w:sz w:val="20"/>
          <w:szCs w:val="20"/>
          <w:lang w:val="es-ES"/>
        </w:rPr>
        <w:t>p.p</w:t>
      </w:r>
      <w:r w:rsidR="002A5BC0" w:rsidRPr="007511F2">
        <w:rPr>
          <w:rFonts w:asciiTheme="majorHAnsi" w:hAnsiTheme="majorHAnsi" w:cstheme="majorHAnsi"/>
          <w:sz w:val="20"/>
          <w:szCs w:val="20"/>
          <w:lang w:val="es-ES"/>
        </w:rPr>
        <w:t>.</w:t>
      </w:r>
      <w:r w:rsidR="00203335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con respecto al mes anterior. </w:t>
      </w:r>
      <w:r w:rsidR="00203335" w:rsidRPr="007511F2">
        <w:rPr>
          <w:rFonts w:asciiTheme="majorHAnsi" w:hAnsiTheme="majorHAnsi" w:cstheme="majorHAnsi"/>
          <w:sz w:val="20"/>
          <w:szCs w:val="20"/>
          <w:lang w:val="es-ES"/>
        </w:rPr>
        <w:t>T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uvo una variación mensual de </w:t>
      </w:r>
      <w:r w:rsidR="004F75DE" w:rsidRPr="007511F2">
        <w:rPr>
          <w:rFonts w:asciiTheme="majorHAnsi" w:hAnsiTheme="majorHAnsi" w:cstheme="majorHAnsi"/>
          <w:sz w:val="20"/>
          <w:szCs w:val="20"/>
          <w:lang w:val="es-ES"/>
        </w:rPr>
        <w:t>1.</w:t>
      </w:r>
      <w:r w:rsidR="001E52AA">
        <w:rPr>
          <w:rFonts w:asciiTheme="majorHAnsi" w:hAnsiTheme="majorHAnsi" w:cstheme="majorHAnsi"/>
          <w:sz w:val="20"/>
          <w:szCs w:val="20"/>
          <w:lang w:val="es-ES"/>
        </w:rPr>
        <w:t>61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%. </w:t>
      </w:r>
    </w:p>
    <w:p w14:paraId="73944D71" w14:textId="77777777" w:rsidR="00BF1397" w:rsidRPr="007511F2" w:rsidRDefault="00BF1397" w:rsidP="00BF1397">
      <w:pPr>
        <w:pStyle w:val="Prrafodelista"/>
        <w:spacing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</w:p>
    <w:p w14:paraId="4DDA551F" w14:textId="0DEDEFE1" w:rsidR="000F1B59" w:rsidRPr="007511F2" w:rsidRDefault="00242CFC" w:rsidP="00BF1397">
      <w:pPr>
        <w:pStyle w:val="Prrafodelista"/>
        <w:spacing w:line="240" w:lineRule="auto"/>
        <w:ind w:left="1428" w:firstLine="696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lastRenderedPageBreak/>
        <w:t xml:space="preserve">Gráfica 3. </w:t>
      </w:r>
      <w:r w:rsidR="000F1B59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Variación año corrido- IPC Total e IPC alimentos </w:t>
      </w:r>
      <w:r w:rsidR="00DE3FCA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>por año</w:t>
      </w:r>
    </w:p>
    <w:p w14:paraId="49B6031B" w14:textId="5D2EB04E" w:rsidR="00C33AEF" w:rsidRPr="007511F2" w:rsidRDefault="00094C6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18FBC" wp14:editId="4B29DEAB">
                <wp:simplePos x="0" y="0"/>
                <wp:positionH relativeFrom="column">
                  <wp:posOffset>4416425</wp:posOffset>
                </wp:positionH>
                <wp:positionV relativeFrom="paragraph">
                  <wp:posOffset>221725</wp:posOffset>
                </wp:positionV>
                <wp:extent cx="197511" cy="182880"/>
                <wp:effectExtent l="0" t="0" r="12065" b="266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AD5B5" id="Elipse 13" o:spid="_x0000_s1026" style="position:absolute;margin-left:347.75pt;margin-top:17.45pt;width:15.55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" filled="f" strokecolor="fuchsia"/>
            </w:pict>
          </mc:Fallback>
        </mc:AlternateContent>
      </w:r>
      <w:r w:rsidRPr="007511F2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A6E38" wp14:editId="7154CB0B">
                <wp:simplePos x="0" y="0"/>
                <wp:positionH relativeFrom="column">
                  <wp:posOffset>2217448</wp:posOffset>
                </wp:positionH>
                <wp:positionV relativeFrom="paragraph">
                  <wp:posOffset>1151724</wp:posOffset>
                </wp:positionV>
                <wp:extent cx="197511" cy="182880"/>
                <wp:effectExtent l="0" t="0" r="12065" b="2667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8288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FF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B5BE07" id="Elipse 12" o:spid="_x0000_s1026" style="position:absolute;margin-left:174.6pt;margin-top:90.7pt;width:15.5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" filled="f" strokecolor="fuchsia"/>
            </w:pict>
          </mc:Fallback>
        </mc:AlternateContent>
      </w:r>
      <w:r w:rsidRPr="00094C61"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w:drawing>
          <wp:inline distT="0" distB="0" distL="0" distR="0" wp14:anchorId="40BBD9EB" wp14:editId="6E39ABC4">
            <wp:extent cx="5072933" cy="2536467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82" cy="25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3AA" w14:textId="4A55CC8E" w:rsidR="00306FC7" w:rsidRPr="007511F2" w:rsidRDefault="00306FC7" w:rsidP="0045438D">
      <w:pPr>
        <w:spacing w:line="240" w:lineRule="auto"/>
        <w:ind w:left="708" w:hanging="708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18"/>
          <w:szCs w:val="18"/>
          <w:lang w:val="es-ES"/>
        </w:rPr>
        <w:t>Fuente: DANE. Índice de precios al consumidor</w:t>
      </w:r>
    </w:p>
    <w:p w14:paraId="7C13AE6B" w14:textId="4962AA0C" w:rsidR="00010D8F" w:rsidRPr="007511F2" w:rsidRDefault="00502DB2" w:rsidP="00AA0C33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Mientras </w:t>
      </w:r>
      <w:r w:rsidR="00C558E6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que 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>para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septiembr</w:t>
      </w:r>
      <w:r w:rsidR="0037542B">
        <w:rPr>
          <w:rFonts w:asciiTheme="majorHAnsi" w:hAnsiTheme="majorHAnsi" w:cstheme="majorHAnsi"/>
          <w:sz w:val="20"/>
          <w:szCs w:val="20"/>
          <w:lang w:val="es-ES"/>
        </w:rPr>
        <w:t>e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de 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2021 se acumulaba el </w:t>
      </w:r>
      <w:r w:rsidR="00094C61">
        <w:rPr>
          <w:rFonts w:asciiTheme="majorHAnsi" w:hAnsiTheme="majorHAnsi" w:cstheme="majorHAnsi"/>
          <w:sz w:val="20"/>
          <w:szCs w:val="20"/>
          <w:lang w:val="es-ES"/>
        </w:rPr>
        <w:t>4</w:t>
      </w:r>
      <w:r w:rsidR="00E51D13" w:rsidRPr="007511F2">
        <w:rPr>
          <w:rFonts w:asciiTheme="majorHAnsi" w:hAnsiTheme="majorHAnsi" w:cstheme="majorHAnsi"/>
          <w:sz w:val="20"/>
          <w:szCs w:val="20"/>
          <w:lang w:val="es-ES"/>
        </w:rPr>
        <w:t>,</w:t>
      </w:r>
      <w:r w:rsidR="00094C61">
        <w:rPr>
          <w:rFonts w:asciiTheme="majorHAnsi" w:hAnsiTheme="majorHAnsi" w:cstheme="majorHAnsi"/>
          <w:sz w:val="20"/>
          <w:szCs w:val="20"/>
          <w:lang w:val="es-ES"/>
        </w:rPr>
        <w:t>3</w:t>
      </w:r>
      <w:r w:rsidR="00C558E6" w:rsidRPr="007511F2">
        <w:rPr>
          <w:rFonts w:asciiTheme="majorHAnsi" w:hAnsiTheme="majorHAnsi" w:cstheme="majorHAnsi"/>
          <w:sz w:val="20"/>
          <w:szCs w:val="20"/>
          <w:lang w:val="es-ES"/>
        </w:rPr>
        <w:t>3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>% de la inflación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, p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>ara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septiembre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de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este año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se ha 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>acumula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do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el </w:t>
      </w:r>
      <w:r w:rsidR="00094C61">
        <w:rPr>
          <w:rFonts w:asciiTheme="majorHAnsi" w:hAnsiTheme="majorHAnsi" w:cstheme="majorHAnsi"/>
          <w:sz w:val="20"/>
          <w:szCs w:val="20"/>
          <w:lang w:val="es-ES"/>
        </w:rPr>
        <w:t>10</w:t>
      </w:r>
      <w:r w:rsidR="00C90DC1" w:rsidRPr="007511F2">
        <w:rPr>
          <w:rFonts w:asciiTheme="majorHAnsi" w:hAnsiTheme="majorHAnsi" w:cstheme="majorHAnsi"/>
          <w:sz w:val="20"/>
          <w:szCs w:val="20"/>
          <w:lang w:val="es-ES"/>
        </w:rPr>
        <w:t>,</w:t>
      </w:r>
      <w:r w:rsidR="00C558E6" w:rsidRPr="007511F2">
        <w:rPr>
          <w:rFonts w:asciiTheme="majorHAnsi" w:hAnsiTheme="majorHAnsi" w:cstheme="majorHAnsi"/>
          <w:sz w:val="20"/>
          <w:szCs w:val="20"/>
          <w:lang w:val="es-ES"/>
        </w:rPr>
        <w:t>0</w:t>
      </w:r>
      <w:r w:rsidR="00094C61">
        <w:rPr>
          <w:rFonts w:asciiTheme="majorHAnsi" w:hAnsiTheme="majorHAnsi" w:cstheme="majorHAnsi"/>
          <w:sz w:val="20"/>
          <w:szCs w:val="20"/>
          <w:lang w:val="es-ES"/>
        </w:rPr>
        <w:t>8</w:t>
      </w:r>
      <w:r w:rsidR="00600E91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%. </w:t>
      </w:r>
    </w:p>
    <w:p w14:paraId="1242A854" w14:textId="3D2B022B" w:rsidR="005A2C13" w:rsidRPr="007511F2" w:rsidRDefault="00600E91" w:rsidP="005A2C13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16"/>
          <w:szCs w:val="16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Para los alimentos, en 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septiembre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del 2021 se acumulaba el </w:t>
      </w:r>
      <w:r w:rsidR="00094C61">
        <w:rPr>
          <w:rFonts w:asciiTheme="majorHAnsi" w:hAnsiTheme="majorHAnsi" w:cstheme="majorHAnsi"/>
          <w:sz w:val="20"/>
          <w:szCs w:val="20"/>
          <w:lang w:val="es-ES"/>
        </w:rPr>
        <w:t>12</w:t>
      </w:r>
      <w:r w:rsidR="007C26B0" w:rsidRPr="007511F2">
        <w:rPr>
          <w:rFonts w:asciiTheme="majorHAnsi" w:hAnsiTheme="majorHAnsi" w:cstheme="majorHAnsi"/>
          <w:sz w:val="20"/>
          <w:szCs w:val="20"/>
          <w:lang w:val="es-ES"/>
        </w:rPr>
        <w:t>,</w:t>
      </w:r>
      <w:r w:rsidR="00094C61">
        <w:rPr>
          <w:rFonts w:asciiTheme="majorHAnsi" w:hAnsiTheme="majorHAnsi" w:cstheme="majorHAnsi"/>
          <w:sz w:val="20"/>
          <w:szCs w:val="20"/>
          <w:lang w:val="es-ES"/>
        </w:rPr>
        <w:t>21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% de la inflación</w:t>
      </w:r>
      <w:r w:rsidR="00926827" w:rsidRPr="007511F2">
        <w:rPr>
          <w:rFonts w:asciiTheme="majorHAnsi" w:hAnsiTheme="majorHAnsi" w:cstheme="majorHAnsi"/>
          <w:sz w:val="20"/>
          <w:szCs w:val="20"/>
          <w:lang w:val="es-ES"/>
        </w:rPr>
        <w:t>,</w:t>
      </w:r>
      <w:r w:rsidR="00E00CEF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mientras que este 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año </w:t>
      </w:r>
      <w:r w:rsidR="00E00CEF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ya 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se encuentra en </w:t>
      </w:r>
      <w:r w:rsidR="00094C61">
        <w:rPr>
          <w:rFonts w:asciiTheme="majorHAnsi" w:hAnsiTheme="majorHAnsi" w:cstheme="majorHAnsi"/>
          <w:sz w:val="20"/>
          <w:szCs w:val="20"/>
          <w:lang w:val="es-ES"/>
        </w:rPr>
        <w:t>21,19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%</w:t>
      </w:r>
      <w:r w:rsidR="005A2C13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. </w:t>
      </w:r>
    </w:p>
    <w:p w14:paraId="1C7148CE" w14:textId="6D0C62CE" w:rsidR="00306FC7" w:rsidRPr="007511F2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Gráfica 4. </w:t>
      </w:r>
      <w:r w:rsidR="00306FC7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Variación Año corrido por nivel de ingreso </w:t>
      </w:r>
      <w:r w:rsidR="00DE3FCA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>2022</w:t>
      </w:r>
    </w:p>
    <w:p w14:paraId="343EFEFB" w14:textId="60161EAA" w:rsidR="0045438D" w:rsidRPr="007511F2" w:rsidRDefault="005363AC" w:rsidP="0045438D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b/>
          <w:bCs/>
          <w:noProof/>
          <w:sz w:val="20"/>
          <w:szCs w:val="20"/>
          <w:lang w:val="es-ES"/>
        </w:rPr>
        <w:drawing>
          <wp:inline distT="0" distB="0" distL="0" distR="0" wp14:anchorId="4BA352EC" wp14:editId="1CAC4BDA">
            <wp:extent cx="5119687" cy="2559844"/>
            <wp:effectExtent l="0" t="0" r="508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082" cy="25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7868" w14:textId="7CD937CF" w:rsidR="00DE3FCA" w:rsidRPr="007511F2" w:rsidRDefault="00306FC7" w:rsidP="0045438D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b/>
          <w:bCs/>
          <w:sz w:val="18"/>
          <w:szCs w:val="18"/>
          <w:lang w:val="es-ES"/>
        </w:rPr>
        <w:t>Fuente: DANE. Índice de precios al consumidor</w:t>
      </w:r>
    </w:p>
    <w:p w14:paraId="132A9F91" w14:textId="35FEF8E0" w:rsidR="001434DB" w:rsidRDefault="00036224" w:rsidP="007F5685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noProof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P</w:t>
      </w:r>
      <w:r w:rsidR="001434D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or nivel de ingreso, los pobres y vulnerables </w:t>
      </w:r>
      <w:r w:rsidR="00E0073A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enfrentaron una inflación acumulada</w:t>
      </w:r>
      <w:r w:rsidR="001434D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del </w:t>
      </w:r>
      <w:r w:rsidR="00B201E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1</w:t>
      </w:r>
      <w:r w:rsidR="001E52AA">
        <w:rPr>
          <w:rFonts w:asciiTheme="majorHAnsi" w:hAnsiTheme="majorHAnsi" w:cstheme="majorHAnsi"/>
          <w:noProof/>
          <w:sz w:val="20"/>
          <w:szCs w:val="20"/>
          <w:lang w:val="es-ES"/>
        </w:rPr>
        <w:t>1</w:t>
      </w:r>
      <w:r w:rsidR="00B201E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.3</w:t>
      </w:r>
      <w:r w:rsidR="001E52AA">
        <w:rPr>
          <w:rFonts w:asciiTheme="majorHAnsi" w:hAnsiTheme="majorHAnsi" w:cstheme="majorHAnsi"/>
          <w:noProof/>
          <w:sz w:val="20"/>
          <w:szCs w:val="20"/>
          <w:lang w:val="es-ES"/>
        </w:rPr>
        <w:t>9</w:t>
      </w:r>
      <w:r w:rsidR="001434D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%,</w:t>
      </w:r>
      <w:r w:rsidR="00167B0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</w:t>
      </w:r>
      <w:r w:rsidR="001434D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guardan</w:t>
      </w:r>
      <w:r w:rsidR="00167B0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do</w:t>
      </w:r>
      <w:r w:rsidR="001434D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una brecha de </w:t>
      </w:r>
      <w:r w:rsidR="00E0073A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1</w:t>
      </w:r>
      <w:r w:rsidR="00DF130D">
        <w:rPr>
          <w:rFonts w:asciiTheme="majorHAnsi" w:hAnsiTheme="majorHAnsi" w:cstheme="majorHAnsi"/>
          <w:noProof/>
          <w:sz w:val="20"/>
          <w:szCs w:val="20"/>
          <w:lang w:val="es-ES"/>
        </w:rPr>
        <w:t>.31</w:t>
      </w:r>
      <w:r w:rsidR="00E0073A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p.p.</w:t>
      </w:r>
      <w:r w:rsidR="001434D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respecto a los grupos de clase media y la inflación total</w:t>
      </w:r>
      <w:r w:rsidR="007F5685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y una brecha de </w:t>
      </w:r>
      <w:r w:rsidR="00663A4D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2.</w:t>
      </w:r>
      <w:r w:rsidR="00E474AF">
        <w:rPr>
          <w:rFonts w:asciiTheme="majorHAnsi" w:hAnsiTheme="majorHAnsi" w:cstheme="majorHAnsi"/>
          <w:noProof/>
          <w:sz w:val="20"/>
          <w:szCs w:val="20"/>
          <w:lang w:val="es-ES"/>
        </w:rPr>
        <w:t>54</w:t>
      </w:r>
      <w:r w:rsidR="00663A4D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</w:t>
      </w:r>
      <w:r w:rsidR="007F5685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p</w:t>
      </w:r>
      <w:r w:rsidR="00663A4D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.</w:t>
      </w:r>
      <w:r w:rsidR="007F5685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>p frente a la población de ingresos altos</w:t>
      </w:r>
      <w:r w:rsidR="00E52ED3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</w:t>
      </w:r>
      <w:r w:rsidR="001434DB" w:rsidRPr="007511F2">
        <w:rPr>
          <w:rFonts w:asciiTheme="majorHAnsi" w:hAnsiTheme="majorHAnsi" w:cstheme="majorHAnsi"/>
          <w:noProof/>
          <w:sz w:val="20"/>
          <w:szCs w:val="20"/>
          <w:lang w:val="es-ES"/>
        </w:rPr>
        <w:t xml:space="preserve"> </w:t>
      </w:r>
    </w:p>
    <w:p w14:paraId="119E6745" w14:textId="77777777" w:rsidR="00094C61" w:rsidRPr="00094C61" w:rsidRDefault="00094C61" w:rsidP="00094C61">
      <w:pPr>
        <w:spacing w:line="240" w:lineRule="auto"/>
        <w:ind w:left="708" w:hanging="708"/>
        <w:jc w:val="both"/>
        <w:rPr>
          <w:rFonts w:asciiTheme="majorHAnsi" w:hAnsiTheme="majorHAnsi" w:cstheme="majorHAnsi"/>
          <w:noProof/>
          <w:sz w:val="20"/>
          <w:szCs w:val="20"/>
          <w:lang w:val="es-ES"/>
        </w:rPr>
      </w:pPr>
    </w:p>
    <w:p w14:paraId="3A53CB74" w14:textId="77777777" w:rsidR="00305301" w:rsidRDefault="00305301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</w:p>
    <w:p w14:paraId="76364060" w14:textId="5B933B38" w:rsidR="00E474AF" w:rsidRPr="007511F2" w:rsidRDefault="00E474AF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sectPr w:rsidR="00E474AF" w:rsidRPr="007511F2" w:rsidSect="006830DE"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</w:p>
    <w:p w14:paraId="4609DA66" w14:textId="5D3A5E0E" w:rsidR="00306FC7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lastRenderedPageBreak/>
        <w:t xml:space="preserve">Tabla 1. </w:t>
      </w:r>
      <w:r w:rsidR="003117D4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>Inflación por ciudades:</w:t>
      </w:r>
    </w:p>
    <w:tbl>
      <w:tblPr>
        <w:tblW w:w="39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09"/>
        <w:gridCol w:w="1196"/>
        <w:gridCol w:w="1196"/>
      </w:tblGrid>
      <w:tr w:rsidR="00E830FF" w:rsidRPr="00E830FF" w14:paraId="6392C449" w14:textId="77777777" w:rsidTr="00E830FF">
        <w:trPr>
          <w:trHeight w:val="243"/>
        </w:trPr>
        <w:tc>
          <w:tcPr>
            <w:tcW w:w="1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3BCAA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  <w:t>Ciudades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9860C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  <w:t xml:space="preserve">Mensual 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4E5A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b/>
                <w:bCs/>
                <w:color w:val="000000"/>
                <w:sz w:val="14"/>
                <w:szCs w:val="14"/>
                <w:lang w:eastAsia="es-CO"/>
              </w:rPr>
              <w:t>Año corrido</w:t>
            </w:r>
          </w:p>
        </w:tc>
      </w:tr>
      <w:tr w:rsidR="00E830FF" w:rsidRPr="00E830FF" w14:paraId="5148F984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10C73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Riohacha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748C8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1,09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53FF28E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12,32</w:t>
            </w:r>
          </w:p>
        </w:tc>
      </w:tr>
      <w:tr w:rsidR="00E830FF" w:rsidRPr="00E830FF" w14:paraId="0C8C2C3E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9252D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Montería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42296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0,93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01FBC6A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12,02</w:t>
            </w:r>
          </w:p>
        </w:tc>
      </w:tr>
      <w:tr w:rsidR="00E830FF" w:rsidRPr="00E830FF" w14:paraId="33344841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F234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Valledupar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F1DB11F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0,58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120D266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11,77</w:t>
            </w:r>
          </w:p>
        </w:tc>
      </w:tr>
      <w:tr w:rsidR="00E830FF" w:rsidRPr="00E830FF" w14:paraId="63D5F537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BE1A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Cúcuta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1BDD924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1,20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010EB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11,74</w:t>
            </w:r>
          </w:p>
        </w:tc>
      </w:tr>
      <w:tr w:rsidR="00E830FF" w:rsidRPr="00E830FF" w14:paraId="71A725B5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D23E9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Santa Marta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76ED2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0,75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34B93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11,61</w:t>
            </w:r>
          </w:p>
        </w:tc>
      </w:tr>
      <w:tr w:rsidR="00E830FF" w:rsidRPr="00E830FF" w14:paraId="70A26724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E92C1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Barranquilla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D5A6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0,86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10B7D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11,57</w:t>
            </w:r>
          </w:p>
        </w:tc>
      </w:tr>
      <w:tr w:rsidR="00E830FF" w:rsidRPr="00E830FF" w14:paraId="107AA2D1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BBAC7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Cartagena De Indias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930F2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0,93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786C8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11,22</w:t>
            </w:r>
          </w:p>
        </w:tc>
      </w:tr>
      <w:tr w:rsidR="00E830FF" w:rsidRPr="00E830FF" w14:paraId="7477EE95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DEA7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Sincelejo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E8562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FDCD7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11,07</w:t>
            </w:r>
          </w:p>
        </w:tc>
      </w:tr>
      <w:tr w:rsidR="00E830FF" w:rsidRPr="00E830FF" w14:paraId="0430F285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8B919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Ibagué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41B1CE5F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1,15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6E7A1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10,95</w:t>
            </w:r>
          </w:p>
        </w:tc>
      </w:tr>
      <w:tr w:rsidR="00E830FF" w:rsidRPr="00E830FF" w14:paraId="7B986537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4826D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Popayán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C6C95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1,14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E79ED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10,79</w:t>
            </w:r>
          </w:p>
        </w:tc>
      </w:tr>
      <w:tr w:rsidR="00E830FF" w:rsidRPr="00E830FF" w14:paraId="54E8AE74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F34E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Florencia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5C8CA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1,10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8B82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10,79</w:t>
            </w:r>
          </w:p>
        </w:tc>
      </w:tr>
      <w:tr w:rsidR="00E830FF" w:rsidRPr="00E830FF" w14:paraId="5285C052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9C3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Tunja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384134F0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0,71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8A1D8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10,74</w:t>
            </w:r>
          </w:p>
        </w:tc>
      </w:tr>
      <w:tr w:rsidR="00E830FF" w:rsidRPr="00E830FF" w14:paraId="532BC883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FF65C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Armenia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B0B08D3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1,18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E8BF2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10,63</w:t>
            </w:r>
          </w:p>
        </w:tc>
      </w:tr>
      <w:tr w:rsidR="00E830FF" w:rsidRPr="00E830FF" w14:paraId="45D88EF6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81E55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Pereira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08D6E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0,90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E73AD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10,62</w:t>
            </w:r>
          </w:p>
        </w:tc>
      </w:tr>
      <w:tr w:rsidR="00E830FF" w:rsidRPr="00E830FF" w14:paraId="45D018A9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1486A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Villavicencio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3C435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0,88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AD37D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10,62</w:t>
            </w:r>
          </w:p>
        </w:tc>
      </w:tr>
      <w:tr w:rsidR="00E830FF" w:rsidRPr="00E830FF" w14:paraId="4323A2C0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D25A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Neiva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8A10E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1,02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9889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10,56</w:t>
            </w:r>
          </w:p>
        </w:tc>
      </w:tr>
      <w:tr w:rsidR="00E830FF" w:rsidRPr="00E830FF" w14:paraId="10A56E48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77A4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Cali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0A25AAE5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0,74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BE46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10,49</w:t>
            </w:r>
          </w:p>
        </w:tc>
      </w:tr>
      <w:tr w:rsidR="00E830FF" w:rsidRPr="00E830FF" w14:paraId="639B2FCA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5847462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</w:pPr>
            <w:proofErr w:type="gramStart"/>
            <w:r w:rsidRPr="00E830FF"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  <w:t>Total</w:t>
            </w:r>
            <w:proofErr w:type="gramEnd"/>
            <w:r w:rsidRPr="00E830FF"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  <w:t xml:space="preserve"> IPC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35719E3B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  <w:t>0,93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62D013F9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b/>
                <w:bCs/>
                <w:sz w:val="14"/>
                <w:szCs w:val="14"/>
                <w:lang w:eastAsia="es-CO"/>
              </w:rPr>
              <w:t>10,08</w:t>
            </w:r>
          </w:p>
        </w:tc>
      </w:tr>
      <w:tr w:rsidR="00E830FF" w:rsidRPr="00E830FF" w14:paraId="4F1968ED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4DA5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Bucaramanga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0970C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1,03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F749B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10,00</w:t>
            </w:r>
          </w:p>
        </w:tc>
      </w:tr>
      <w:tr w:rsidR="00E830FF" w:rsidRPr="00E830FF" w14:paraId="62DEBD57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B2770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Medellín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4B746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7CC1F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9,95</w:t>
            </w:r>
          </w:p>
        </w:tc>
      </w:tr>
      <w:tr w:rsidR="00E830FF" w:rsidRPr="00E830FF" w14:paraId="1DD8DC8F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AB05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 xml:space="preserve">Otras </w:t>
            </w:r>
            <w:proofErr w:type="spellStart"/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Areas</w:t>
            </w:r>
            <w:proofErr w:type="spellEnd"/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 xml:space="preserve"> Urbanas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78E52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0,91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BFC6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9,62</w:t>
            </w:r>
          </w:p>
        </w:tc>
      </w:tr>
      <w:tr w:rsidR="00E830FF" w:rsidRPr="00E830FF" w14:paraId="7EC87961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21452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Manizales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2545F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0,91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E0B9E65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9,57</w:t>
            </w:r>
          </w:p>
        </w:tc>
      </w:tr>
      <w:tr w:rsidR="00E830FF" w:rsidRPr="00E830FF" w14:paraId="6A7B5908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5A2" w14:textId="089F420D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Pasto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47A61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1,05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6117D60B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9,47</w:t>
            </w:r>
          </w:p>
        </w:tc>
      </w:tr>
      <w:tr w:rsidR="00E830FF" w:rsidRPr="00E830FF" w14:paraId="40A4475B" w14:textId="77777777" w:rsidTr="00E830FF">
        <w:trPr>
          <w:trHeight w:val="243"/>
        </w:trPr>
        <w:tc>
          <w:tcPr>
            <w:tcW w:w="15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37D79" w14:textId="77777777" w:rsidR="00E830FF" w:rsidRPr="00E830FF" w:rsidRDefault="00E830FF" w:rsidP="00E830FF">
            <w:pPr>
              <w:spacing w:after="0" w:line="240" w:lineRule="auto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Bogotá, D.C.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13E36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0,95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5F7C5A62" w14:textId="77777777" w:rsidR="00E830FF" w:rsidRPr="00E830FF" w:rsidRDefault="00E830FF" w:rsidP="00E830F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</w:pPr>
            <w:r w:rsidRPr="00E830FF">
              <w:rPr>
                <w:rFonts w:ascii="Calibri Light" w:eastAsia="Times New Roman" w:hAnsi="Calibri Light" w:cs="Calibri Light"/>
                <w:sz w:val="14"/>
                <w:szCs w:val="14"/>
                <w:lang w:eastAsia="es-CO"/>
              </w:rPr>
              <w:t>9,39</w:t>
            </w:r>
          </w:p>
        </w:tc>
      </w:tr>
    </w:tbl>
    <w:p w14:paraId="2337163B" w14:textId="60B5A837" w:rsidR="00E830FF" w:rsidRDefault="00E830FF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</w:p>
    <w:p w14:paraId="6D4546AA" w14:textId="639A537B" w:rsidR="006237F8" w:rsidRDefault="006237F8" w:rsidP="00F257E6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</w:p>
    <w:p w14:paraId="3281748B" w14:textId="77777777" w:rsidR="00B23E17" w:rsidRPr="007511F2" w:rsidRDefault="00B23E17" w:rsidP="00F257E6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</w:p>
    <w:p w14:paraId="4DDDEFC2" w14:textId="1DE40124" w:rsidR="000C67BF" w:rsidRPr="007511F2" w:rsidRDefault="0020621D" w:rsidP="0020621D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Las ciudades </w:t>
      </w:r>
      <w:r w:rsidR="000C67BF" w:rsidRPr="007511F2">
        <w:rPr>
          <w:rFonts w:asciiTheme="majorHAnsi" w:hAnsiTheme="majorHAnsi" w:cstheme="majorHAnsi"/>
          <w:sz w:val="20"/>
          <w:szCs w:val="20"/>
          <w:lang w:val="es-ES"/>
        </w:rPr>
        <w:t>con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mayor inflación</w:t>
      </w:r>
      <w:r w:rsidR="000C67BF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mensual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fueron</w:t>
      </w:r>
      <w:r w:rsidR="00AD23F0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E474AF">
        <w:rPr>
          <w:rFonts w:asciiTheme="majorHAnsi" w:hAnsiTheme="majorHAnsi" w:cstheme="majorHAnsi"/>
          <w:sz w:val="20"/>
          <w:szCs w:val="20"/>
          <w:lang w:val="es-ES"/>
        </w:rPr>
        <w:t>Cúcuta</w:t>
      </w:r>
      <w:r w:rsidR="00AD23F0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, </w:t>
      </w:r>
      <w:r w:rsidR="00E474AF">
        <w:rPr>
          <w:rFonts w:asciiTheme="majorHAnsi" w:hAnsiTheme="majorHAnsi" w:cstheme="majorHAnsi"/>
          <w:sz w:val="20"/>
          <w:szCs w:val="20"/>
          <w:lang w:val="es-ES"/>
        </w:rPr>
        <w:t>Armenia</w:t>
      </w:r>
      <w:r w:rsidR="00AD23F0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E474AF">
        <w:rPr>
          <w:rFonts w:asciiTheme="majorHAnsi" w:hAnsiTheme="majorHAnsi" w:cstheme="majorHAnsi"/>
          <w:sz w:val="20"/>
          <w:szCs w:val="20"/>
          <w:lang w:val="es-ES"/>
        </w:rPr>
        <w:t>e Ibagué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con valores superiores al </w:t>
      </w:r>
      <w:r w:rsidR="00810AFC" w:rsidRPr="007511F2">
        <w:rPr>
          <w:rFonts w:asciiTheme="majorHAnsi" w:hAnsiTheme="majorHAnsi" w:cstheme="majorHAnsi"/>
          <w:sz w:val="20"/>
          <w:szCs w:val="20"/>
          <w:lang w:val="es-ES"/>
        </w:rPr>
        <w:t>1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,</w:t>
      </w:r>
      <w:r w:rsidR="006237F8">
        <w:rPr>
          <w:rFonts w:asciiTheme="majorHAnsi" w:hAnsiTheme="majorHAnsi" w:cstheme="majorHAnsi"/>
          <w:sz w:val="20"/>
          <w:szCs w:val="20"/>
          <w:lang w:val="es-ES"/>
        </w:rPr>
        <w:t>15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%. </w:t>
      </w:r>
    </w:p>
    <w:p w14:paraId="7DBC35C8" w14:textId="7F0983C0" w:rsidR="003C65D1" w:rsidRPr="007511F2" w:rsidRDefault="003C65D1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Las ciudades con menor inflación </w:t>
      </w:r>
      <w:r w:rsidR="0031603B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mensual fueron 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Valledupar</w:t>
      </w:r>
      <w:r w:rsidR="009179B9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, 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Tunja y Cali,</w:t>
      </w:r>
      <w:r w:rsidR="00D04176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AA2C34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con valores inferiores al </w:t>
      </w:r>
      <w:r w:rsidR="00671B4B" w:rsidRPr="007511F2">
        <w:rPr>
          <w:rFonts w:asciiTheme="majorHAnsi" w:hAnsiTheme="majorHAnsi" w:cstheme="majorHAnsi"/>
          <w:sz w:val="20"/>
          <w:szCs w:val="20"/>
          <w:lang w:val="es-ES"/>
        </w:rPr>
        <w:t>0.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75</w:t>
      </w:r>
      <w:r w:rsidR="00671B4B" w:rsidRPr="007511F2">
        <w:rPr>
          <w:rFonts w:asciiTheme="majorHAnsi" w:hAnsiTheme="majorHAnsi" w:cstheme="majorHAnsi"/>
          <w:sz w:val="20"/>
          <w:szCs w:val="20"/>
          <w:lang w:val="es-ES"/>
        </w:rPr>
        <w:t>%</w:t>
      </w:r>
      <w:r w:rsidR="0031603B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. </w:t>
      </w:r>
    </w:p>
    <w:p w14:paraId="39A1A212" w14:textId="722A966E" w:rsidR="0020621D" w:rsidRPr="007511F2" w:rsidRDefault="000A670C" w:rsidP="00A862C6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>Montería, Valledupar y Riohacha</w:t>
      </w:r>
      <w:r w:rsidR="00A026DC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F257E6" w:rsidRPr="007511F2">
        <w:rPr>
          <w:rFonts w:asciiTheme="majorHAnsi" w:hAnsiTheme="majorHAnsi" w:cstheme="majorHAnsi"/>
          <w:sz w:val="20"/>
          <w:szCs w:val="20"/>
          <w:lang w:val="es-ES"/>
        </w:rPr>
        <w:t>tienen</w:t>
      </w:r>
      <w:r w:rsidR="0020621D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0C67BF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las mayores </w:t>
      </w:r>
      <w:r w:rsidR="0020621D" w:rsidRPr="007511F2">
        <w:rPr>
          <w:rFonts w:asciiTheme="majorHAnsi" w:hAnsiTheme="majorHAnsi" w:cstheme="majorHAnsi"/>
          <w:sz w:val="20"/>
          <w:szCs w:val="20"/>
          <w:lang w:val="es-ES"/>
        </w:rPr>
        <w:t>inflaciones acumuladas</w:t>
      </w:r>
      <w:r w:rsidR="000C67BF" w:rsidRPr="007511F2">
        <w:rPr>
          <w:rFonts w:asciiTheme="majorHAnsi" w:hAnsiTheme="majorHAnsi" w:cstheme="majorHAnsi"/>
          <w:sz w:val="20"/>
          <w:szCs w:val="20"/>
          <w:lang w:val="es-ES"/>
        </w:rPr>
        <w:t>,</w:t>
      </w:r>
      <w:r w:rsidR="0020621D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25426E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por 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tercer</w:t>
      </w:r>
      <w:r w:rsidR="0025426E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mes consecutivo, con cifras </w:t>
      </w:r>
      <w:r w:rsidR="0020621D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superiores al </w:t>
      </w:r>
      <w:r w:rsidR="00D04176" w:rsidRPr="007511F2">
        <w:rPr>
          <w:rFonts w:asciiTheme="majorHAnsi" w:hAnsiTheme="majorHAnsi" w:cstheme="majorHAnsi"/>
          <w:sz w:val="20"/>
          <w:szCs w:val="20"/>
          <w:lang w:val="es-ES"/>
        </w:rPr>
        <w:t>11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>.</w:t>
      </w:r>
      <w:r w:rsidR="0020621D" w:rsidRPr="007511F2">
        <w:rPr>
          <w:rFonts w:asciiTheme="majorHAnsi" w:hAnsiTheme="majorHAnsi" w:cstheme="majorHAnsi"/>
          <w:sz w:val="20"/>
          <w:szCs w:val="20"/>
          <w:lang w:val="es-ES"/>
        </w:rPr>
        <w:t>%</w:t>
      </w:r>
      <w:r w:rsidR="007173DF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. </w:t>
      </w:r>
      <w:r w:rsidR="0020621D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La ciudad con una menor inflación acumulada es </w:t>
      </w:r>
      <w:r w:rsidR="00B23E17">
        <w:rPr>
          <w:rFonts w:asciiTheme="majorHAnsi" w:hAnsiTheme="majorHAnsi" w:cstheme="majorHAnsi"/>
          <w:sz w:val="20"/>
          <w:szCs w:val="20"/>
          <w:lang w:val="es-ES"/>
        </w:rPr>
        <w:t>Bogotá</w:t>
      </w:r>
    </w:p>
    <w:p w14:paraId="689FE5AB" w14:textId="65B25273" w:rsidR="00385269" w:rsidRDefault="00385269" w:rsidP="00385269">
      <w:pPr>
        <w:spacing w:line="240" w:lineRule="auto"/>
        <w:ind w:left="360"/>
        <w:jc w:val="both"/>
        <w:rPr>
          <w:rFonts w:asciiTheme="majorHAnsi" w:hAnsiTheme="majorHAnsi" w:cstheme="majorHAnsi"/>
          <w:sz w:val="16"/>
          <w:szCs w:val="16"/>
          <w:lang w:val="es-ES"/>
        </w:rPr>
      </w:pPr>
      <w:r w:rsidRPr="007511F2">
        <w:rPr>
          <w:rFonts w:asciiTheme="majorHAnsi" w:hAnsiTheme="majorHAnsi" w:cstheme="majorHAnsi"/>
          <w:sz w:val="16"/>
          <w:szCs w:val="16"/>
          <w:lang w:val="es-ES"/>
        </w:rPr>
        <w:t xml:space="preserve">La tabla#1 está organizada de </w:t>
      </w:r>
      <w:r w:rsidR="00AD39DB" w:rsidRPr="007511F2">
        <w:rPr>
          <w:rFonts w:asciiTheme="majorHAnsi" w:hAnsiTheme="majorHAnsi" w:cstheme="majorHAnsi"/>
          <w:sz w:val="16"/>
          <w:szCs w:val="16"/>
          <w:lang w:val="es-ES"/>
        </w:rPr>
        <w:t>mayor a</w:t>
      </w:r>
      <w:r w:rsidR="007E6AEB" w:rsidRPr="007511F2">
        <w:rPr>
          <w:rFonts w:asciiTheme="majorHAnsi" w:hAnsiTheme="majorHAnsi" w:cstheme="majorHAnsi"/>
          <w:sz w:val="16"/>
          <w:szCs w:val="16"/>
          <w:lang w:val="es-ES"/>
        </w:rPr>
        <w:t xml:space="preserve"> menor de acuerdo con la cifra de inflación año corrido. </w:t>
      </w:r>
      <w:r w:rsidR="009A35E5" w:rsidRPr="007511F2">
        <w:rPr>
          <w:rFonts w:asciiTheme="majorHAnsi" w:hAnsiTheme="majorHAnsi" w:cstheme="majorHAnsi"/>
          <w:sz w:val="16"/>
          <w:szCs w:val="16"/>
          <w:lang w:val="es-ES"/>
        </w:rPr>
        <w:t xml:space="preserve">En color amarillo se señala los valores más altos de inflación y en verde los más bajos. </w:t>
      </w:r>
    </w:p>
    <w:p w14:paraId="1CE15DDD" w14:textId="77777777" w:rsidR="00B23E17" w:rsidRPr="007511F2" w:rsidRDefault="00B23E17" w:rsidP="00B23E17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</w:p>
    <w:p w14:paraId="0CDA9751" w14:textId="2B60D0B0" w:rsidR="00B23E17" w:rsidRDefault="00B23E17" w:rsidP="00B23E17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7511F2">
        <w:rPr>
          <w:rFonts w:asciiTheme="majorHAnsi" w:hAnsiTheme="majorHAnsi" w:cstheme="majorHAnsi"/>
          <w:b/>
          <w:bCs/>
          <w:sz w:val="18"/>
          <w:szCs w:val="18"/>
          <w:lang w:val="es-ES"/>
        </w:rPr>
        <w:t>Fuente: DANE. Índice de precios al consumidor</w:t>
      </w:r>
    </w:p>
    <w:p w14:paraId="3C32C1C2" w14:textId="024016CF" w:rsidR="00B23E17" w:rsidRDefault="00B23E17" w:rsidP="00B23E17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</w:p>
    <w:p w14:paraId="6FB7A2D1" w14:textId="77777777" w:rsidR="00B23E17" w:rsidRDefault="00B23E17" w:rsidP="00B23E17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</w:p>
    <w:p w14:paraId="0511F49A" w14:textId="77777777" w:rsidR="00B23E17" w:rsidRPr="007511F2" w:rsidRDefault="00B23E17" w:rsidP="00385269">
      <w:pPr>
        <w:spacing w:line="240" w:lineRule="auto"/>
        <w:ind w:left="360"/>
        <w:jc w:val="both"/>
        <w:rPr>
          <w:rFonts w:asciiTheme="majorHAnsi" w:hAnsiTheme="majorHAnsi" w:cstheme="majorHAnsi"/>
          <w:sz w:val="16"/>
          <w:szCs w:val="16"/>
          <w:lang w:val="es-ES"/>
        </w:rPr>
      </w:pPr>
    </w:p>
    <w:p w14:paraId="0FE89CE3" w14:textId="2075223F" w:rsidR="00F77F0A" w:rsidRPr="007511F2" w:rsidRDefault="00F77F0A" w:rsidP="00F73437">
      <w:pPr>
        <w:spacing w:line="240" w:lineRule="auto"/>
        <w:ind w:left="360"/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p w14:paraId="1A50A447" w14:textId="223088FD" w:rsidR="00305301" w:rsidRPr="007511F2" w:rsidRDefault="00305301" w:rsidP="00951419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sectPr w:rsidR="00305301" w:rsidRPr="007511F2" w:rsidSect="00305301">
          <w:type w:val="continuous"/>
          <w:pgSz w:w="12240" w:h="15840"/>
          <w:pgMar w:top="1418" w:right="1418" w:bottom="1134" w:left="1418" w:header="709" w:footer="709" w:gutter="0"/>
          <w:cols w:num="2" w:space="708"/>
          <w:docGrid w:linePitch="360"/>
        </w:sectPr>
      </w:pPr>
    </w:p>
    <w:p w14:paraId="1FFF1EDF" w14:textId="3BF2A55D" w:rsidR="0010692A" w:rsidRDefault="00242CFC" w:rsidP="009A35E5">
      <w:pPr>
        <w:spacing w:line="240" w:lineRule="auto"/>
        <w:ind w:left="3540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Tabla 2. </w:t>
      </w:r>
      <w:r w:rsidR="0010692A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>Inflación por grupos de gasto</w:t>
      </w:r>
    </w:p>
    <w:tbl>
      <w:tblPr>
        <w:tblW w:w="94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27"/>
        <w:gridCol w:w="1259"/>
        <w:gridCol w:w="1259"/>
        <w:gridCol w:w="1259"/>
        <w:gridCol w:w="1259"/>
      </w:tblGrid>
      <w:tr w:rsidR="001A067A" w:rsidRPr="001A067A" w14:paraId="1CE95456" w14:textId="77777777" w:rsidTr="001A067A">
        <w:trPr>
          <w:trHeight w:val="226"/>
        </w:trPr>
        <w:tc>
          <w:tcPr>
            <w:tcW w:w="4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B7206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Divisiones</w:t>
            </w:r>
          </w:p>
        </w:tc>
        <w:tc>
          <w:tcPr>
            <w:tcW w:w="25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20CD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Mensual</w:t>
            </w:r>
          </w:p>
        </w:tc>
        <w:tc>
          <w:tcPr>
            <w:tcW w:w="25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4A5CB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Año corrido</w:t>
            </w:r>
          </w:p>
        </w:tc>
      </w:tr>
      <w:tr w:rsidR="001A067A" w:rsidRPr="001A067A" w14:paraId="3E0F3A37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516D2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 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95D3D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ADD07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E36A7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Variación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E367BA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Contribución</w:t>
            </w:r>
          </w:p>
        </w:tc>
      </w:tr>
      <w:tr w:rsidR="001A067A" w:rsidRPr="001A067A" w14:paraId="08065373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91C2E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Alimentos Y Bebidas No Alcohólicas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EFB067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1,61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F3524A9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4CC17CD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21,19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4B9D3FD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3,72</w:t>
            </w:r>
          </w:p>
        </w:tc>
      </w:tr>
      <w:tr w:rsidR="001A067A" w:rsidRPr="001A067A" w14:paraId="2158652F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C21A4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Recreación Y Cultura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379A1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0,57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C3DE270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0,18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4D16E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5,98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88354C9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1,94</w:t>
            </w:r>
          </w:p>
        </w:tc>
      </w:tr>
      <w:tr w:rsidR="001A067A" w:rsidRPr="001A067A" w14:paraId="1398C913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E7E76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Restaurantes Y Hoteles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64C29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1,03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5948BD3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0,10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EC4E9B4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13,41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46863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1,33</w:t>
            </w:r>
          </w:p>
        </w:tc>
      </w:tr>
      <w:tr w:rsidR="001A067A" w:rsidRPr="001A067A" w14:paraId="08EF102E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669B7E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Bienes Y Servicios Diversos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81673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22646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325D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7,61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098B4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0,98</w:t>
            </w:r>
          </w:p>
        </w:tc>
      </w:tr>
      <w:tr w:rsidR="001A067A" w:rsidRPr="001A067A" w14:paraId="594B9B33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4C5F92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Alojamiento, Agua, Electricidad, Gas Y Otros Combustibles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AFB39FB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1,65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C3923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0,07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B58BD38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15,28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FEE73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0,61</w:t>
            </w:r>
          </w:p>
        </w:tc>
      </w:tr>
      <w:tr w:rsidR="001A067A" w:rsidRPr="001A067A" w14:paraId="7FFC6DB5" w14:textId="77777777" w:rsidTr="001A067A">
        <w:trPr>
          <w:trHeight w:val="381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8DE33F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Muebles, Artículos Para El Hogar Y Para La Conservación Ordinaria Del Hogar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3BB0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1,21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3BF9C1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0,06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E929A4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9,67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F722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0,51</w:t>
            </w:r>
          </w:p>
        </w:tc>
      </w:tr>
      <w:tr w:rsidR="001A067A" w:rsidRPr="001A067A" w14:paraId="44183419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9A388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Transporte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6D345BE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1,33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273961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0,04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11048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9,95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A9662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0,33</w:t>
            </w:r>
          </w:p>
        </w:tc>
      </w:tr>
      <w:tr w:rsidR="001A067A" w:rsidRPr="001A067A" w14:paraId="1D409165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937EB7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Educación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1384E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0,80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9CBB1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0,03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850D2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6,01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14428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0,24</w:t>
            </w:r>
          </w:p>
        </w:tc>
      </w:tr>
      <w:tr w:rsidR="001A067A" w:rsidRPr="001A067A" w14:paraId="50F737DF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68185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Salud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39D23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0,69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02F0A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0,02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97EFA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5,31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92FA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0,19</w:t>
            </w:r>
          </w:p>
        </w:tc>
      </w:tr>
      <w:tr w:rsidR="001A067A" w:rsidRPr="001A067A" w14:paraId="4467367A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440C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Prendas De Vestir Y Calzado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A589F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0,51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6CAEB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3564A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7,35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22236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0,13</w:t>
            </w:r>
          </w:p>
        </w:tc>
      </w:tr>
      <w:tr w:rsidR="001A067A" w:rsidRPr="001A067A" w14:paraId="18522B4C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1BD63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Bebidas Alcohólicas Y Tabaco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B5B5A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0,46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C641C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396CE5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5,14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38E97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0,09</w:t>
            </w:r>
          </w:p>
        </w:tc>
      </w:tr>
      <w:tr w:rsidR="001A067A" w:rsidRPr="001A067A" w14:paraId="6BA7C075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53C06D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Información Y Comunicación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9E9D1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0,09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BD710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63603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0,08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2E995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sz w:val="18"/>
                <w:szCs w:val="18"/>
                <w:lang w:eastAsia="es-CO"/>
              </w:rPr>
              <w:t>0,00</w:t>
            </w:r>
          </w:p>
        </w:tc>
      </w:tr>
      <w:tr w:rsidR="001A067A" w:rsidRPr="001A067A" w14:paraId="0B1393B0" w14:textId="77777777" w:rsidTr="001A067A">
        <w:trPr>
          <w:trHeight w:val="226"/>
        </w:trPr>
        <w:tc>
          <w:tcPr>
            <w:tcW w:w="44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bottom"/>
            <w:hideMark/>
          </w:tcPr>
          <w:p w14:paraId="1D8F45B6" w14:textId="77777777" w:rsidR="001A067A" w:rsidRPr="001A067A" w:rsidRDefault="001A067A" w:rsidP="001A067A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 xml:space="preserve">Total                                             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1C721EAD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0,93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610F983B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0,93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2E4FF0EB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10,08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14:paraId="4BDA26E9" w14:textId="77777777" w:rsidR="001A067A" w:rsidRPr="001A067A" w:rsidRDefault="001A067A" w:rsidP="001A067A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</w:pPr>
            <w:r w:rsidRPr="001A067A">
              <w:rPr>
                <w:rFonts w:ascii="Calibri Light" w:eastAsia="Times New Roman" w:hAnsi="Calibri Light" w:cs="Calibri Light"/>
                <w:b/>
                <w:bCs/>
                <w:sz w:val="18"/>
                <w:szCs w:val="18"/>
                <w:lang w:eastAsia="es-CO"/>
              </w:rPr>
              <w:t>10,08</w:t>
            </w:r>
          </w:p>
        </w:tc>
      </w:tr>
    </w:tbl>
    <w:p w14:paraId="66BEA857" w14:textId="77777777" w:rsidR="001A067A" w:rsidRPr="007511F2" w:rsidRDefault="001A067A" w:rsidP="009A35E5">
      <w:pPr>
        <w:spacing w:line="240" w:lineRule="auto"/>
        <w:ind w:left="3540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</w:p>
    <w:p w14:paraId="2D8FA62B" w14:textId="77777777" w:rsidR="008E36A0" w:rsidRPr="007511F2" w:rsidRDefault="00995A6A" w:rsidP="008E36A0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7511F2">
        <w:rPr>
          <w:rFonts w:asciiTheme="majorHAnsi" w:hAnsiTheme="majorHAnsi" w:cstheme="majorHAnsi"/>
          <w:b/>
          <w:bCs/>
          <w:sz w:val="18"/>
          <w:szCs w:val="18"/>
          <w:lang w:val="es-ES"/>
        </w:rPr>
        <w:t>Fuente: DANE. Índice de precios al consumidor</w:t>
      </w:r>
    </w:p>
    <w:p w14:paraId="4A689F0B" w14:textId="50F5563D" w:rsidR="00677512" w:rsidRPr="00BC03FB" w:rsidRDefault="00FD66B9" w:rsidP="008E36A0">
      <w:pPr>
        <w:pStyle w:val="Prrafodelista"/>
        <w:numPr>
          <w:ilvl w:val="0"/>
          <w:numId w:val="8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>Los grupos de gasto de mayor contribución</w:t>
      </w:r>
      <w:r w:rsidR="00677512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281553" w:rsidRPr="007511F2">
        <w:rPr>
          <w:rFonts w:asciiTheme="majorHAnsi" w:hAnsiTheme="majorHAnsi" w:cstheme="majorHAnsi"/>
          <w:sz w:val="20"/>
          <w:szCs w:val="20"/>
          <w:lang w:val="es-ES"/>
        </w:rPr>
        <w:t>mensual al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IPC en </w:t>
      </w:r>
      <w:r w:rsidR="00023A4D" w:rsidRPr="007511F2">
        <w:rPr>
          <w:rFonts w:asciiTheme="majorHAnsi" w:hAnsiTheme="majorHAnsi" w:cstheme="majorHAnsi"/>
          <w:sz w:val="20"/>
          <w:szCs w:val="20"/>
          <w:lang w:val="es-ES"/>
        </w:rPr>
        <w:t>junio</w:t>
      </w:r>
      <w:r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281553" w:rsidRPr="007511F2">
        <w:rPr>
          <w:rFonts w:asciiTheme="majorHAnsi" w:hAnsiTheme="majorHAnsi" w:cstheme="majorHAnsi"/>
          <w:sz w:val="20"/>
          <w:szCs w:val="20"/>
          <w:lang w:val="es-ES"/>
        </w:rPr>
        <w:t>fueron</w:t>
      </w:r>
      <w:r w:rsidR="00671528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Alimentos y Bebidas no Alcoh</w:t>
      </w:r>
      <w:r w:rsidR="00383696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ólicas </w:t>
      </w:r>
      <w:r w:rsidR="00F73773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y </w:t>
      </w:r>
      <w:r w:rsidR="00223B0E">
        <w:rPr>
          <w:rFonts w:asciiTheme="majorHAnsi" w:hAnsiTheme="majorHAnsi" w:cstheme="majorHAnsi"/>
          <w:sz w:val="20"/>
          <w:szCs w:val="20"/>
          <w:lang w:val="es-ES"/>
        </w:rPr>
        <w:t xml:space="preserve">Recreación y Cultura, </w:t>
      </w:r>
      <w:r w:rsidR="00281553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con valores de inflación de </w:t>
      </w:r>
      <w:r w:rsidR="00223B0E">
        <w:rPr>
          <w:rFonts w:asciiTheme="majorHAnsi" w:hAnsiTheme="majorHAnsi" w:cstheme="majorHAnsi"/>
          <w:sz w:val="20"/>
          <w:szCs w:val="20"/>
          <w:lang w:val="es-ES"/>
        </w:rPr>
        <w:t>3,72</w:t>
      </w:r>
      <w:r w:rsidR="00C85A16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 y </w:t>
      </w:r>
      <w:r w:rsidR="00F73773" w:rsidRPr="007511F2">
        <w:rPr>
          <w:rFonts w:asciiTheme="majorHAnsi" w:hAnsiTheme="majorHAnsi" w:cstheme="majorHAnsi"/>
          <w:sz w:val="20"/>
          <w:szCs w:val="20"/>
          <w:lang w:val="es-ES"/>
        </w:rPr>
        <w:t>1</w:t>
      </w:r>
      <w:r w:rsidR="00C85A16" w:rsidRPr="007511F2">
        <w:rPr>
          <w:rFonts w:asciiTheme="majorHAnsi" w:hAnsiTheme="majorHAnsi" w:cstheme="majorHAnsi"/>
          <w:sz w:val="20"/>
          <w:szCs w:val="20"/>
          <w:lang w:val="es-ES"/>
        </w:rPr>
        <w:t>.</w:t>
      </w:r>
      <w:r w:rsidR="00223B0E">
        <w:rPr>
          <w:rFonts w:asciiTheme="majorHAnsi" w:hAnsiTheme="majorHAnsi" w:cstheme="majorHAnsi"/>
          <w:sz w:val="20"/>
          <w:szCs w:val="20"/>
          <w:lang w:val="es-ES"/>
        </w:rPr>
        <w:t>94</w:t>
      </w:r>
      <w:r w:rsidR="00C85A16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 respectivamente. </w:t>
      </w:r>
    </w:p>
    <w:p w14:paraId="6EFA3E18" w14:textId="053BA774" w:rsidR="00BC03FB" w:rsidRPr="007511F2" w:rsidRDefault="00BC03FB" w:rsidP="008E36A0">
      <w:pPr>
        <w:pStyle w:val="Prrafodelista"/>
        <w:numPr>
          <w:ilvl w:val="0"/>
          <w:numId w:val="8"/>
        </w:num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>
        <w:rPr>
          <w:rFonts w:asciiTheme="majorHAnsi" w:hAnsiTheme="majorHAnsi" w:cstheme="majorHAnsi"/>
          <w:sz w:val="20"/>
          <w:szCs w:val="20"/>
          <w:lang w:val="es-ES"/>
        </w:rPr>
        <w:t xml:space="preserve">El grupo de gasto con mayor variación mensual fue </w:t>
      </w:r>
      <w:r w:rsidR="000D1565">
        <w:rPr>
          <w:rFonts w:asciiTheme="majorHAnsi" w:hAnsiTheme="majorHAnsi" w:cstheme="majorHAnsi"/>
          <w:sz w:val="20"/>
          <w:szCs w:val="20"/>
          <w:lang w:val="es-ES"/>
        </w:rPr>
        <w:t xml:space="preserve">Servicios (Alojamiento, Agua, Electricidad, Gas y Otros Combustibles) con valor de 1.65%, seguido </w:t>
      </w:r>
      <w:r w:rsidR="00A82C9D">
        <w:rPr>
          <w:rFonts w:asciiTheme="majorHAnsi" w:hAnsiTheme="majorHAnsi" w:cstheme="majorHAnsi"/>
          <w:sz w:val="20"/>
          <w:szCs w:val="20"/>
          <w:lang w:val="es-ES"/>
        </w:rPr>
        <w:t xml:space="preserve">de Alimentos y Bebidas No </w:t>
      </w:r>
      <w:proofErr w:type="gramStart"/>
      <w:r w:rsidR="00A82C9D">
        <w:rPr>
          <w:rFonts w:asciiTheme="majorHAnsi" w:hAnsiTheme="majorHAnsi" w:cstheme="majorHAnsi"/>
          <w:sz w:val="20"/>
          <w:szCs w:val="20"/>
          <w:lang w:val="es-ES"/>
        </w:rPr>
        <w:t>Alcohólicas ,</w:t>
      </w:r>
      <w:proofErr w:type="gramEnd"/>
      <w:r w:rsidR="00A82C9D">
        <w:rPr>
          <w:rFonts w:asciiTheme="majorHAnsi" w:hAnsiTheme="majorHAnsi" w:cstheme="majorHAnsi"/>
          <w:sz w:val="20"/>
          <w:szCs w:val="20"/>
          <w:lang w:val="es-ES"/>
        </w:rPr>
        <w:t xml:space="preserve"> con un valor de 1,61%. </w:t>
      </w:r>
    </w:p>
    <w:p w14:paraId="221E025E" w14:textId="6D19ABF3" w:rsidR="00AE341B" w:rsidRDefault="00242CFC" w:rsidP="00F5713B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  <w:r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lastRenderedPageBreak/>
        <w:t xml:space="preserve">Tabla3. </w:t>
      </w:r>
      <w:r w:rsidR="0010692A" w:rsidRPr="007511F2"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  <w:t xml:space="preserve">Inflación mensual de alimentos </w:t>
      </w:r>
    </w:p>
    <w:tbl>
      <w:tblPr>
        <w:tblW w:w="94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77"/>
        <w:gridCol w:w="1412"/>
        <w:gridCol w:w="1038"/>
        <w:gridCol w:w="1415"/>
        <w:gridCol w:w="1413"/>
        <w:gridCol w:w="1038"/>
        <w:gridCol w:w="1415"/>
      </w:tblGrid>
      <w:tr w:rsidR="00BD74B7" w:rsidRPr="00BD74B7" w14:paraId="079C6F38" w14:textId="77777777" w:rsidTr="00BD74B7">
        <w:trPr>
          <w:trHeight w:val="173"/>
        </w:trPr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F696D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386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C52C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  <w:t>Variación Mensual</w:t>
            </w:r>
          </w:p>
        </w:tc>
        <w:tc>
          <w:tcPr>
            <w:tcW w:w="386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0E135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  <w:t>Contribución Mensual</w:t>
            </w:r>
          </w:p>
        </w:tc>
      </w:tr>
      <w:tr w:rsidR="00BD74B7" w:rsidRPr="00BD74B7" w14:paraId="6A2E96A3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37D54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b/>
                <w:bCs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BCC04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Septiembre 2021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EA0C0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Agosto 2022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9C3C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Septiembre 2022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8CE4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Septiembre 2021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9F4F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Agosto 2022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7CE7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Septiembre 2022</w:t>
            </w:r>
          </w:p>
        </w:tc>
      </w:tr>
      <w:tr w:rsidR="00BD74B7" w:rsidRPr="00BD74B7" w14:paraId="3C5B867C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55DA90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Frutas frescas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E76A4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2,57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A517D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3,18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6E4EF12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6,08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44407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2AD1E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0,03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812F1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0,07</w:t>
            </w:r>
          </w:p>
        </w:tc>
      </w:tr>
      <w:tr w:rsidR="00BD74B7" w:rsidRPr="00BD74B7" w14:paraId="2934A590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32235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Cebolla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418F5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-0,71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305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11,70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3951626E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5,94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9F43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AF585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0,03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99562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0681BF42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04F27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Legumbres Secas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97873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3,65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BDDF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6,31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4471C01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4,94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A4647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6EB8E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97A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2C2E4313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92F56F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Azúcar Y Otros Endulzantes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E6E7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0,19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11F4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6,84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9C24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4,54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15AE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F7FA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1733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257023FE" w14:textId="77777777" w:rsidTr="00BD74B7">
        <w:trPr>
          <w:trHeight w:val="291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D002ED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Gaseosas y maltas para consumo en el hogar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CFB77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0,45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7D501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1,38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359DC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4,15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B263D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6B96B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40DBE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56426A3C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18563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 xml:space="preserve">Productos de rio y mar 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170F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1,15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C6A19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1,72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F1E25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2,89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43BD9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8B57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69AEE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699EFD8C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26E77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Huevos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4AFF0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-5,85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E4275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3,32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86C27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2,59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9F280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-0,05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90CA5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0,03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B809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174A4706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71D142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Arroz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58BF3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-3,60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9AE2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2,24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08D05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2,19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EC624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-0,03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43E4E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6E70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6EED71A5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3633C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Pan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B52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1,11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CC0DB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2,74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7F0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1,98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917D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48D51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E19B8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0003E2E7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2DC3EC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Carne De Aves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20DAD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0,91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370A0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1,34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48E9B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1,00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F9A0B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54147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4437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</w:tr>
      <w:tr w:rsidR="00BD74B7" w:rsidRPr="00BD74B7" w14:paraId="75D21884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246121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Carne De Cerdo Y Derivados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F0514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3,59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2D2FB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2,87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4A90C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2,23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FE3D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72B92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F6FD4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</w:tr>
      <w:tr w:rsidR="00BD74B7" w:rsidRPr="00BD74B7" w14:paraId="26AB43EA" w14:textId="77777777" w:rsidTr="00BD74B7">
        <w:trPr>
          <w:trHeight w:val="173"/>
        </w:trPr>
        <w:tc>
          <w:tcPr>
            <w:tcW w:w="1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036D93" w14:textId="77777777" w:rsidR="00BD74B7" w:rsidRPr="00BD74B7" w:rsidRDefault="00BD74B7" w:rsidP="00BD74B7">
            <w:pPr>
              <w:spacing w:after="0" w:line="240" w:lineRule="auto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Aceites Comestibles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F705A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2,63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5FF44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1,87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EB3FC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0,83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BB40D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0,02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7009B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F28C0" w14:textId="77777777" w:rsidR="00BD74B7" w:rsidRPr="00BD74B7" w:rsidRDefault="00BD74B7" w:rsidP="00BD74B7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</w:pPr>
            <w:r w:rsidRPr="00BD74B7">
              <w:rPr>
                <w:rFonts w:ascii="Calibri Light" w:eastAsia="Times New Roman" w:hAnsi="Calibri Light" w:cs="Calibri Light"/>
                <w:sz w:val="16"/>
                <w:szCs w:val="16"/>
                <w:lang w:eastAsia="es-CO"/>
              </w:rPr>
              <w:t>0,01</w:t>
            </w:r>
          </w:p>
        </w:tc>
      </w:tr>
    </w:tbl>
    <w:p w14:paraId="0CE67F4B" w14:textId="77777777" w:rsidR="00BD74B7" w:rsidRPr="007511F2" w:rsidRDefault="00BD74B7" w:rsidP="00F5713B">
      <w:pPr>
        <w:spacing w:line="240" w:lineRule="auto"/>
        <w:jc w:val="center"/>
        <w:rPr>
          <w:rFonts w:asciiTheme="majorHAnsi" w:hAnsiTheme="majorHAnsi" w:cstheme="majorHAnsi"/>
          <w:b/>
          <w:bCs/>
          <w:sz w:val="20"/>
          <w:szCs w:val="20"/>
          <w:u w:val="single"/>
          <w:lang w:val="es-ES"/>
        </w:rPr>
      </w:pPr>
    </w:p>
    <w:p w14:paraId="28B7C74B" w14:textId="77777777" w:rsidR="000873CE" w:rsidRPr="007511F2" w:rsidRDefault="00243E52" w:rsidP="000873CE">
      <w:pPr>
        <w:spacing w:line="240" w:lineRule="auto"/>
        <w:rPr>
          <w:rFonts w:asciiTheme="majorHAnsi" w:hAnsiTheme="majorHAnsi" w:cstheme="majorHAnsi"/>
          <w:b/>
          <w:bCs/>
          <w:sz w:val="18"/>
          <w:szCs w:val="18"/>
          <w:lang w:val="es-ES"/>
        </w:rPr>
      </w:pPr>
      <w:r w:rsidRPr="007511F2">
        <w:rPr>
          <w:rFonts w:asciiTheme="majorHAnsi" w:hAnsiTheme="majorHAnsi" w:cstheme="majorHAnsi"/>
          <w:b/>
          <w:bCs/>
          <w:sz w:val="18"/>
          <w:szCs w:val="18"/>
          <w:lang w:val="es-ES"/>
        </w:rPr>
        <w:t>Fuente: DANE. Índice de precios al consumidor</w:t>
      </w:r>
    </w:p>
    <w:p w14:paraId="2DD6BC42" w14:textId="467C532E" w:rsidR="000A0B29" w:rsidRPr="00AB76A5" w:rsidRDefault="00100BF0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6"/>
          <w:szCs w:val="16"/>
          <w:lang w:val="es-ES"/>
        </w:rPr>
      </w:pPr>
      <w:r w:rsidRPr="007511F2">
        <w:rPr>
          <w:rFonts w:asciiTheme="majorHAnsi" w:hAnsiTheme="majorHAnsi" w:cstheme="majorHAnsi"/>
          <w:sz w:val="20"/>
          <w:szCs w:val="20"/>
          <w:lang w:val="es-ES"/>
        </w:rPr>
        <w:t>L</w:t>
      </w:r>
      <w:r w:rsidR="0037287E" w:rsidRPr="007511F2">
        <w:rPr>
          <w:rFonts w:asciiTheme="majorHAnsi" w:hAnsiTheme="majorHAnsi" w:cstheme="majorHAnsi"/>
          <w:sz w:val="20"/>
          <w:szCs w:val="20"/>
          <w:lang w:val="es-ES"/>
        </w:rPr>
        <w:t>os alimentos con mayor inflación</w:t>
      </w:r>
      <w:r w:rsidR="00C44652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, dentro de los 12 productos con mayor contribución </w:t>
      </w:r>
      <w:r w:rsidR="00B67433" w:rsidRPr="007511F2">
        <w:rPr>
          <w:rFonts w:asciiTheme="majorHAnsi" w:hAnsiTheme="majorHAnsi" w:cstheme="majorHAnsi"/>
          <w:sz w:val="20"/>
          <w:szCs w:val="20"/>
          <w:lang w:val="es-ES"/>
        </w:rPr>
        <w:t>mensual, fueron</w:t>
      </w:r>
      <w:r w:rsidR="0094132A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F208D6" w:rsidRPr="007511F2">
        <w:rPr>
          <w:rFonts w:asciiTheme="majorHAnsi" w:hAnsiTheme="majorHAnsi" w:cstheme="majorHAnsi"/>
          <w:sz w:val="20"/>
          <w:szCs w:val="20"/>
          <w:lang w:val="es-ES"/>
        </w:rPr>
        <w:t>la</w:t>
      </w:r>
      <w:r w:rsidR="001E0EAD">
        <w:rPr>
          <w:rFonts w:asciiTheme="majorHAnsi" w:hAnsiTheme="majorHAnsi" w:cstheme="majorHAnsi"/>
          <w:sz w:val="20"/>
          <w:szCs w:val="20"/>
          <w:lang w:val="es-ES"/>
        </w:rPr>
        <w:t>s frutas frescas, la</w:t>
      </w:r>
      <w:r w:rsidR="00F208D6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Cebolla</w:t>
      </w:r>
      <w:r w:rsidR="001E0EAD">
        <w:rPr>
          <w:rFonts w:asciiTheme="majorHAnsi" w:hAnsiTheme="majorHAnsi" w:cstheme="majorHAnsi"/>
          <w:sz w:val="20"/>
          <w:szCs w:val="20"/>
          <w:lang w:val="es-ES"/>
        </w:rPr>
        <w:t xml:space="preserve"> por segundo mes consecutivo</w:t>
      </w:r>
      <w:r w:rsidR="00F208D6" w:rsidRPr="007511F2">
        <w:rPr>
          <w:rFonts w:asciiTheme="majorHAnsi" w:hAnsiTheme="majorHAnsi" w:cstheme="majorHAnsi"/>
          <w:sz w:val="20"/>
          <w:szCs w:val="20"/>
          <w:lang w:val="es-ES"/>
        </w:rPr>
        <w:t>,</w:t>
      </w:r>
      <w:r w:rsidR="001E0EAD">
        <w:rPr>
          <w:rFonts w:asciiTheme="majorHAnsi" w:hAnsiTheme="majorHAnsi" w:cstheme="majorHAnsi"/>
          <w:sz w:val="20"/>
          <w:szCs w:val="20"/>
          <w:lang w:val="es-ES"/>
        </w:rPr>
        <w:t xml:space="preserve"> y las </w:t>
      </w:r>
      <w:r w:rsidR="007E00CA">
        <w:rPr>
          <w:rFonts w:asciiTheme="majorHAnsi" w:hAnsiTheme="majorHAnsi" w:cstheme="majorHAnsi"/>
          <w:sz w:val="20"/>
          <w:szCs w:val="20"/>
          <w:lang w:val="es-ES"/>
        </w:rPr>
        <w:t xml:space="preserve">Legumbres </w:t>
      </w:r>
      <w:r w:rsidR="00283280">
        <w:rPr>
          <w:rFonts w:asciiTheme="majorHAnsi" w:hAnsiTheme="majorHAnsi" w:cstheme="majorHAnsi"/>
          <w:sz w:val="20"/>
          <w:szCs w:val="20"/>
          <w:lang w:val="es-ES"/>
        </w:rPr>
        <w:t xml:space="preserve">Secas, </w:t>
      </w:r>
      <w:r w:rsidR="0037287E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con valores de </w:t>
      </w:r>
      <w:r w:rsidR="00283280">
        <w:rPr>
          <w:rFonts w:asciiTheme="majorHAnsi" w:hAnsiTheme="majorHAnsi" w:cstheme="majorHAnsi"/>
          <w:sz w:val="20"/>
          <w:szCs w:val="20"/>
          <w:lang w:val="es-ES"/>
        </w:rPr>
        <w:t>6,08</w:t>
      </w:r>
      <w:r w:rsidR="00457DC1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37287E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%, </w:t>
      </w:r>
      <w:r w:rsidR="00283280">
        <w:rPr>
          <w:rFonts w:asciiTheme="majorHAnsi" w:hAnsiTheme="majorHAnsi" w:cstheme="majorHAnsi"/>
          <w:sz w:val="20"/>
          <w:szCs w:val="20"/>
          <w:lang w:val="es-ES"/>
        </w:rPr>
        <w:t>5,94</w:t>
      </w:r>
      <w:r w:rsidR="00152280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 </w:t>
      </w:r>
      <w:r w:rsidR="0037287E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y </w:t>
      </w:r>
      <w:r w:rsidR="00283280">
        <w:rPr>
          <w:rFonts w:asciiTheme="majorHAnsi" w:hAnsiTheme="majorHAnsi" w:cstheme="majorHAnsi"/>
          <w:sz w:val="20"/>
          <w:szCs w:val="20"/>
          <w:lang w:val="es-ES"/>
        </w:rPr>
        <w:t>4,9</w:t>
      </w:r>
      <w:r w:rsidR="00A7774D">
        <w:rPr>
          <w:rFonts w:asciiTheme="majorHAnsi" w:hAnsiTheme="majorHAnsi" w:cstheme="majorHAnsi"/>
          <w:sz w:val="20"/>
          <w:szCs w:val="20"/>
          <w:lang w:val="es-ES"/>
        </w:rPr>
        <w:t>4</w:t>
      </w:r>
      <w:r w:rsidR="00152280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 </w:t>
      </w:r>
      <w:r w:rsidR="0037287E" w:rsidRPr="007511F2">
        <w:rPr>
          <w:rFonts w:asciiTheme="majorHAnsi" w:hAnsiTheme="majorHAnsi" w:cstheme="majorHAnsi"/>
          <w:sz w:val="20"/>
          <w:szCs w:val="20"/>
          <w:lang w:val="es-ES"/>
        </w:rPr>
        <w:t xml:space="preserve">% respectivamente. </w:t>
      </w:r>
    </w:p>
    <w:p w14:paraId="2A8FF07E" w14:textId="2CC48A5E" w:rsidR="00AB76A5" w:rsidRPr="00863194" w:rsidRDefault="00AB76A5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6"/>
          <w:szCs w:val="16"/>
          <w:lang w:val="es-ES"/>
        </w:rPr>
      </w:pPr>
      <w:r>
        <w:rPr>
          <w:rFonts w:asciiTheme="majorHAnsi" w:hAnsiTheme="majorHAnsi" w:cstheme="majorHAnsi"/>
          <w:sz w:val="20"/>
          <w:szCs w:val="20"/>
          <w:lang w:val="es-ES"/>
        </w:rPr>
        <w:t xml:space="preserve">Los mismos tres productos coinciden con ser los de mayor contribución mensual. </w:t>
      </w:r>
    </w:p>
    <w:p w14:paraId="0AFD1523" w14:textId="55125E31" w:rsidR="00863194" w:rsidRPr="007511F2" w:rsidRDefault="00863194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16"/>
          <w:szCs w:val="16"/>
          <w:lang w:val="es-ES"/>
        </w:rPr>
      </w:pPr>
      <w:r>
        <w:rPr>
          <w:rFonts w:asciiTheme="majorHAnsi" w:hAnsiTheme="majorHAnsi" w:cstheme="majorHAnsi"/>
          <w:sz w:val="20"/>
          <w:szCs w:val="20"/>
          <w:lang w:val="es-ES"/>
        </w:rPr>
        <w:t>Llama la atención que la Carne de res no tuvo una contribución significativ</w:t>
      </w:r>
      <w:r w:rsidR="000816AA">
        <w:rPr>
          <w:rFonts w:asciiTheme="majorHAnsi" w:hAnsiTheme="majorHAnsi" w:cstheme="majorHAnsi"/>
          <w:sz w:val="20"/>
          <w:szCs w:val="20"/>
          <w:lang w:val="es-ES"/>
        </w:rPr>
        <w:t xml:space="preserve">a. </w:t>
      </w:r>
    </w:p>
    <w:p w14:paraId="7C2387EA" w14:textId="375C395B" w:rsidR="000D272A" w:rsidRDefault="007D65E2" w:rsidP="00F5713B">
      <w:p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  <w:r w:rsidRPr="00F5713B">
        <w:rPr>
          <w:rFonts w:asciiTheme="majorHAnsi" w:hAnsiTheme="majorHAnsi" w:cstheme="majorHAnsi"/>
          <w:sz w:val="20"/>
          <w:szCs w:val="20"/>
          <w:u w:val="single"/>
          <w:lang w:val="es-ES"/>
        </w:rPr>
        <w:t>Información de referencia</w:t>
      </w:r>
      <w:r w:rsidRPr="00F5713B">
        <w:rPr>
          <w:rFonts w:asciiTheme="majorHAnsi" w:hAnsiTheme="majorHAnsi" w:cstheme="majorHAnsi"/>
          <w:sz w:val="20"/>
          <w:szCs w:val="20"/>
          <w:lang w:val="es-ES"/>
        </w:rPr>
        <w:t xml:space="preserve">: </w:t>
      </w:r>
    </w:p>
    <w:tbl>
      <w:tblPr>
        <w:tblpPr w:leftFromText="141" w:rightFromText="141" w:vertAnchor="text" w:tblpY="1"/>
        <w:tblOverlap w:val="never"/>
        <w:tblW w:w="3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85"/>
        <w:gridCol w:w="720"/>
      </w:tblGrid>
      <w:tr w:rsidR="007511F2" w:rsidRPr="007511F2" w14:paraId="426A3975" w14:textId="77777777" w:rsidTr="007511F2">
        <w:trPr>
          <w:trHeight w:val="563"/>
        </w:trPr>
        <w:tc>
          <w:tcPr>
            <w:tcW w:w="2785" w:type="dxa"/>
            <w:tcBorders>
              <w:top w:val="single" w:sz="4" w:space="0" w:color="979991"/>
              <w:left w:val="single" w:sz="4" w:space="0" w:color="979991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CBC47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 xml:space="preserve">Fecha de </w:t>
            </w:r>
            <w:proofErr w:type="gramStart"/>
            <w:r w:rsidRPr="007511F2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>entrada en vigencia</w:t>
            </w:r>
            <w:proofErr w:type="gramEnd"/>
            <w:r w:rsidRPr="007511F2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 xml:space="preserve"> de la modificación</w:t>
            </w:r>
          </w:p>
        </w:tc>
        <w:tc>
          <w:tcPr>
            <w:tcW w:w="720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7AAFB972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b/>
                <w:bCs/>
                <w:color w:val="000000"/>
                <w:sz w:val="12"/>
                <w:szCs w:val="12"/>
                <w:lang w:eastAsia="es-CO"/>
              </w:rPr>
              <w:t>Tasa (%)</w:t>
            </w:r>
          </w:p>
        </w:tc>
      </w:tr>
      <w:tr w:rsidR="007511F2" w:rsidRPr="007511F2" w14:paraId="7E0F3608" w14:textId="77777777" w:rsidTr="007511F2">
        <w:trPr>
          <w:trHeight w:val="186"/>
        </w:trPr>
        <w:tc>
          <w:tcPr>
            <w:tcW w:w="2785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  <w:hideMark/>
          </w:tcPr>
          <w:p w14:paraId="002B1ED7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30 de septiembre de 2022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  <w:hideMark/>
          </w:tcPr>
          <w:p w14:paraId="114ACFB6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10,00</w:t>
            </w:r>
          </w:p>
        </w:tc>
      </w:tr>
      <w:tr w:rsidR="007511F2" w:rsidRPr="007511F2" w14:paraId="4168BC7E" w14:textId="77777777" w:rsidTr="007511F2">
        <w:trPr>
          <w:trHeight w:val="186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  <w:hideMark/>
          </w:tcPr>
          <w:p w14:paraId="2898D2F7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1 de agosto de 2022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  <w:hideMark/>
          </w:tcPr>
          <w:p w14:paraId="09E215BD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9,00</w:t>
            </w:r>
          </w:p>
        </w:tc>
      </w:tr>
      <w:tr w:rsidR="007511F2" w:rsidRPr="007511F2" w14:paraId="719A2112" w14:textId="77777777" w:rsidTr="007511F2">
        <w:trPr>
          <w:trHeight w:val="181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000000" w:fill="FFFF00"/>
            <w:hideMark/>
          </w:tcPr>
          <w:p w14:paraId="6A13F687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julio de 2022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000000" w:fill="FFFF00"/>
            <w:noWrap/>
            <w:vAlign w:val="center"/>
            <w:hideMark/>
          </w:tcPr>
          <w:p w14:paraId="1AE58132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7,50</w:t>
            </w:r>
          </w:p>
        </w:tc>
      </w:tr>
      <w:tr w:rsidR="007511F2" w:rsidRPr="007511F2" w14:paraId="5620B6AF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0F39B70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 de mayo de 2022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5C9EE0BE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6,00</w:t>
            </w:r>
          </w:p>
        </w:tc>
      </w:tr>
      <w:tr w:rsidR="007511F2" w:rsidRPr="007511F2" w14:paraId="00E85C43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00D335D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abril de 2022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55783DD1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5,00</w:t>
            </w:r>
          </w:p>
        </w:tc>
      </w:tr>
      <w:tr w:rsidR="007511F2" w:rsidRPr="007511F2" w14:paraId="344B6352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6D2827F1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31 de enero de 2022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38912BD5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4,00</w:t>
            </w:r>
          </w:p>
        </w:tc>
      </w:tr>
      <w:tr w:rsidR="007511F2" w:rsidRPr="007511F2" w14:paraId="54862E42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4B2E0B91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20 de diciembre de 2021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407E9E28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3,00</w:t>
            </w:r>
          </w:p>
        </w:tc>
      </w:tr>
      <w:tr w:rsidR="007511F2" w:rsidRPr="007511F2" w14:paraId="74BC4FDC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AA98FFD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2 de noviembre de 2021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1605B9F9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2,50</w:t>
            </w:r>
          </w:p>
        </w:tc>
      </w:tr>
      <w:tr w:rsidR="007511F2" w:rsidRPr="007511F2" w14:paraId="3C89EE64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775092EB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Viernes, 1 de octubre de 2021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69214611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2,00</w:t>
            </w:r>
          </w:p>
        </w:tc>
      </w:tr>
      <w:tr w:rsidR="007511F2" w:rsidRPr="007511F2" w14:paraId="2ABBC70E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128B419B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28 de septiembre de 2020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3609188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1,75</w:t>
            </w:r>
          </w:p>
        </w:tc>
      </w:tr>
      <w:tr w:rsidR="007511F2" w:rsidRPr="007511F2" w14:paraId="24283302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00D023DB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1 de septiembre de 2020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4BFC2BC6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2,00</w:t>
            </w:r>
          </w:p>
        </w:tc>
      </w:tr>
      <w:tr w:rsidR="007511F2" w:rsidRPr="007511F2" w14:paraId="4CC7AB3F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35399E22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 de agosto de 2020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E743FFC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2,25</w:t>
            </w:r>
          </w:p>
        </w:tc>
      </w:tr>
      <w:tr w:rsidR="007511F2" w:rsidRPr="007511F2" w14:paraId="74C2B367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23015DBD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Miércoles, 1 de julio de 2020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0675EAF0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2,50</w:t>
            </w:r>
          </w:p>
        </w:tc>
      </w:tr>
      <w:tr w:rsidR="007511F2" w:rsidRPr="007511F2" w14:paraId="25D19D3F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6C697BCA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1 de junio de 2020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5BEDA83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2,75</w:t>
            </w:r>
          </w:p>
        </w:tc>
      </w:tr>
      <w:tr w:rsidR="007511F2" w:rsidRPr="007511F2" w14:paraId="3409E307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758A4290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4 de mayo de 2020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542895DB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3,25</w:t>
            </w:r>
          </w:p>
        </w:tc>
      </w:tr>
      <w:tr w:rsidR="007511F2" w:rsidRPr="007511F2" w14:paraId="262686E8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7A574FAB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30 de marzo de 2020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29841F2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3,75</w:t>
            </w:r>
          </w:p>
        </w:tc>
      </w:tr>
      <w:tr w:rsidR="007511F2" w:rsidRPr="007511F2" w14:paraId="6912555A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2F122948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Lunes, 30 de abril de 2018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noWrap/>
            <w:vAlign w:val="center"/>
            <w:hideMark/>
          </w:tcPr>
          <w:p w14:paraId="66C68612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4,25</w:t>
            </w:r>
          </w:p>
        </w:tc>
      </w:tr>
      <w:tr w:rsidR="007511F2" w:rsidRPr="007511F2" w14:paraId="6E67F090" w14:textId="77777777" w:rsidTr="007511F2">
        <w:trPr>
          <w:trHeight w:val="174"/>
        </w:trPr>
        <w:tc>
          <w:tcPr>
            <w:tcW w:w="2785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hideMark/>
          </w:tcPr>
          <w:p w14:paraId="7F613E59" w14:textId="77777777" w:rsidR="007511F2" w:rsidRPr="007511F2" w:rsidRDefault="007511F2" w:rsidP="007511F2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Martes, 30 de enero de 2018</w:t>
            </w:r>
          </w:p>
        </w:tc>
        <w:tc>
          <w:tcPr>
            <w:tcW w:w="720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50A1E8AC" w14:textId="77777777" w:rsidR="007511F2" w:rsidRPr="007511F2" w:rsidRDefault="007511F2" w:rsidP="007511F2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</w:pPr>
            <w:r w:rsidRPr="007511F2">
              <w:rPr>
                <w:rFonts w:ascii="Calibri Light" w:eastAsia="Times New Roman" w:hAnsi="Calibri Light" w:cs="Calibri Light"/>
                <w:color w:val="000000"/>
                <w:sz w:val="12"/>
                <w:szCs w:val="12"/>
                <w:lang w:eastAsia="es-CO"/>
              </w:rPr>
              <w:t>4,50</w:t>
            </w:r>
          </w:p>
        </w:tc>
      </w:tr>
    </w:tbl>
    <w:p w14:paraId="681124EF" w14:textId="073613B9" w:rsidR="007511F2" w:rsidRPr="00F5713B" w:rsidRDefault="007511F2" w:rsidP="00F5713B">
      <w:pPr>
        <w:spacing w:line="240" w:lineRule="auto"/>
        <w:jc w:val="both"/>
        <w:rPr>
          <w:rFonts w:asciiTheme="majorHAnsi" w:hAnsiTheme="majorHAnsi" w:cstheme="majorHAnsi"/>
          <w:sz w:val="20"/>
          <w:szCs w:val="20"/>
          <w:lang w:val="es-ES"/>
        </w:rPr>
      </w:pPr>
    </w:p>
    <w:tbl>
      <w:tblPr>
        <w:tblpPr w:leftFromText="141" w:rightFromText="141" w:vertAnchor="page" w:horzAnchor="page" w:tblpX="6366" w:tblpY="10296"/>
        <w:tblW w:w="40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7"/>
        <w:gridCol w:w="2743"/>
      </w:tblGrid>
      <w:tr w:rsidR="008A063F" w:rsidRPr="00F5713B" w14:paraId="2F402B28" w14:textId="77777777" w:rsidTr="008A063F">
        <w:trPr>
          <w:trHeight w:val="206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9DF84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</w:p>
          <w:p w14:paraId="30D0AE76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  <w:t>Semestre</w:t>
            </w:r>
          </w:p>
        </w:tc>
        <w:tc>
          <w:tcPr>
            <w:tcW w:w="2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1A0BC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b/>
                <w:bCs/>
                <w:color w:val="000000"/>
                <w:sz w:val="16"/>
                <w:szCs w:val="16"/>
                <w:lang w:eastAsia="es-CO"/>
              </w:rPr>
              <w:t>Tasa de cambio Promedio semestral</w:t>
            </w:r>
          </w:p>
        </w:tc>
      </w:tr>
      <w:tr w:rsidR="008A063F" w:rsidRPr="00F5713B" w14:paraId="500B4FDE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75B9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2018-I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50C07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2.850,38</w:t>
            </w:r>
          </w:p>
        </w:tc>
      </w:tr>
      <w:tr w:rsidR="008A063F" w:rsidRPr="00F5713B" w14:paraId="52B07C03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E3FE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2018-II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E7A23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3.062,34</w:t>
            </w:r>
          </w:p>
        </w:tc>
      </w:tr>
      <w:tr w:rsidR="008A063F" w:rsidRPr="00F5713B" w14:paraId="425D3F9E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25D20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2019-I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6CE4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3.187,36</w:t>
            </w:r>
          </w:p>
        </w:tc>
      </w:tr>
      <w:tr w:rsidR="008A063F" w:rsidRPr="00F5713B" w14:paraId="1F49B41B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739B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2019-II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5C7AA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3.375,42</w:t>
            </w:r>
          </w:p>
        </w:tc>
      </w:tr>
      <w:tr w:rsidR="008A063F" w:rsidRPr="00F5713B" w14:paraId="0D2DC6C9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F2023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2020-I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0BEA0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3.689,75</w:t>
            </w:r>
          </w:p>
        </w:tc>
      </w:tr>
      <w:tr w:rsidR="008A063F" w:rsidRPr="00F5713B" w14:paraId="58A04184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FCB83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2020-II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F26CC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3.696,80</w:t>
            </w:r>
          </w:p>
        </w:tc>
      </w:tr>
      <w:tr w:rsidR="008A063F" w:rsidRPr="00F5713B" w14:paraId="32F8D9D4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43E4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2021-II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F3AA0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3.625,13</w:t>
            </w:r>
          </w:p>
        </w:tc>
      </w:tr>
      <w:tr w:rsidR="008A063F" w:rsidRPr="00F5713B" w14:paraId="50FCF093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95B5B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2021-II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27485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3.863,36</w:t>
            </w:r>
          </w:p>
        </w:tc>
      </w:tr>
      <w:tr w:rsidR="008A063F" w:rsidRPr="00F5713B" w14:paraId="4B2B9458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62493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2022-I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E7D5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3.913,72</w:t>
            </w:r>
          </w:p>
        </w:tc>
      </w:tr>
      <w:tr w:rsidR="008A063F" w:rsidRPr="00F5713B" w14:paraId="02F6E145" w14:textId="77777777" w:rsidTr="008A063F">
        <w:trPr>
          <w:trHeight w:val="109"/>
        </w:trPr>
        <w:tc>
          <w:tcPr>
            <w:tcW w:w="1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D620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2022-II</w:t>
            </w: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16183" w14:textId="77777777" w:rsidR="008A063F" w:rsidRPr="00F5713B" w:rsidRDefault="008A063F" w:rsidP="008A063F">
            <w:pPr>
              <w:spacing w:after="0" w:line="240" w:lineRule="auto"/>
              <w:jc w:val="center"/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</w:pP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$                                         4.3</w:t>
            </w:r>
            <w:r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86</w:t>
            </w:r>
            <w:r w:rsidRPr="00F5713B"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,</w:t>
            </w:r>
            <w:r>
              <w:rPr>
                <w:rFonts w:ascii="Calibri Light" w:eastAsia="Times New Roman" w:hAnsi="Calibri Light" w:cs="Calibri Light"/>
                <w:color w:val="000000"/>
                <w:sz w:val="16"/>
                <w:szCs w:val="16"/>
                <w:lang w:eastAsia="es-CO"/>
              </w:rPr>
              <w:t>03</w:t>
            </w:r>
          </w:p>
        </w:tc>
      </w:tr>
    </w:tbl>
    <w:p w14:paraId="70671A1F" w14:textId="542CBF26" w:rsidR="00F5713B" w:rsidRPr="009A2C10" w:rsidRDefault="00F5713B" w:rsidP="00F5713B">
      <w:pPr>
        <w:spacing w:after="0" w:line="240" w:lineRule="auto"/>
        <w:rPr>
          <w:rFonts w:ascii="Calibri-Light" w:hAnsi="Calibri-Light" w:cs="Calibri-Light"/>
          <w:sz w:val="20"/>
          <w:szCs w:val="20"/>
        </w:rPr>
        <w:sectPr w:rsidR="00F5713B" w:rsidRPr="009A2C10" w:rsidSect="00305301">
          <w:type w:val="continuous"/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  <w:r w:rsidRPr="000D272A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Banco de la República BANREP y</w:t>
      </w: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r w:rsidRPr="000D272A">
        <w:rPr>
          <w:rFonts w:asciiTheme="majorHAnsi" w:hAnsiTheme="majorHAnsi" w:cstheme="majorHAnsi"/>
          <w:b/>
          <w:bCs/>
          <w:sz w:val="20"/>
          <w:szCs w:val="20"/>
          <w:lang w:val="es-ES"/>
        </w:rPr>
        <w:t>Superintendencia Financiera de Colomb</w:t>
      </w: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t>i</w:t>
      </w:r>
      <w:r w:rsidR="008A063F">
        <w:rPr>
          <w:rFonts w:asciiTheme="majorHAnsi" w:hAnsiTheme="majorHAnsi" w:cstheme="majorHAnsi"/>
          <w:b/>
          <w:bCs/>
          <w:sz w:val="20"/>
          <w:szCs w:val="20"/>
          <w:lang w:val="es-ES"/>
        </w:rPr>
        <w:t>a</w:t>
      </w:r>
    </w:p>
    <w:p w14:paraId="1A2170FA" w14:textId="77777777" w:rsidR="00F5713B" w:rsidRPr="000D272A" w:rsidRDefault="00F5713B" w:rsidP="000D272A">
      <w:pPr>
        <w:tabs>
          <w:tab w:val="left" w:pos="3441"/>
        </w:tabs>
        <w:rPr>
          <w:rFonts w:ascii="Calibri Light" w:eastAsia="Times New Roman" w:hAnsi="Calibri Light" w:cs="Calibri Light"/>
          <w:sz w:val="18"/>
          <w:szCs w:val="18"/>
          <w:lang w:eastAsia="es-CO"/>
        </w:rPr>
      </w:pPr>
    </w:p>
    <w:sectPr w:rsidR="00F5713B" w:rsidRPr="000D272A" w:rsidSect="000D272A">
      <w:type w:val="continuous"/>
      <w:pgSz w:w="12240" w:h="15840"/>
      <w:pgMar w:top="1418" w:right="1418" w:bottom="1134" w:left="1418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72A7A" w14:textId="77777777" w:rsidR="00C06CC9" w:rsidRDefault="00C06CC9" w:rsidP="006237F8">
      <w:pPr>
        <w:spacing w:after="0" w:line="240" w:lineRule="auto"/>
      </w:pPr>
      <w:r>
        <w:separator/>
      </w:r>
    </w:p>
  </w:endnote>
  <w:endnote w:type="continuationSeparator" w:id="0">
    <w:p w14:paraId="5A022120" w14:textId="77777777" w:rsidR="00C06CC9" w:rsidRDefault="00C06CC9" w:rsidP="00623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CF931F" w14:textId="77777777" w:rsidR="00C06CC9" w:rsidRDefault="00C06CC9" w:rsidP="006237F8">
      <w:pPr>
        <w:spacing w:after="0" w:line="240" w:lineRule="auto"/>
      </w:pPr>
      <w:r>
        <w:separator/>
      </w:r>
    </w:p>
  </w:footnote>
  <w:footnote w:type="continuationSeparator" w:id="0">
    <w:p w14:paraId="7D7A8228" w14:textId="77777777" w:rsidR="00C06CC9" w:rsidRDefault="00C06CC9" w:rsidP="006237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A54F8"/>
    <w:multiLevelType w:val="hybridMultilevel"/>
    <w:tmpl w:val="D63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73230"/>
    <w:multiLevelType w:val="hybridMultilevel"/>
    <w:tmpl w:val="368A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71F0D"/>
    <w:multiLevelType w:val="hybridMultilevel"/>
    <w:tmpl w:val="FBA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25D37"/>
    <w:multiLevelType w:val="hybridMultilevel"/>
    <w:tmpl w:val="795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760392"/>
    <w:multiLevelType w:val="hybridMultilevel"/>
    <w:tmpl w:val="B6904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11B25"/>
    <w:multiLevelType w:val="hybridMultilevel"/>
    <w:tmpl w:val="1BB4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DB7154"/>
    <w:multiLevelType w:val="hybridMultilevel"/>
    <w:tmpl w:val="DA56C9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76364C"/>
    <w:multiLevelType w:val="hybridMultilevel"/>
    <w:tmpl w:val="336E8384"/>
    <w:lvl w:ilvl="0" w:tplc="A614B92A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  <w:sz w:val="2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181">
    <w:abstractNumId w:val="5"/>
  </w:num>
  <w:num w:numId="2" w16cid:durableId="240064264">
    <w:abstractNumId w:val="2"/>
  </w:num>
  <w:num w:numId="3" w16cid:durableId="2125878078">
    <w:abstractNumId w:val="3"/>
  </w:num>
  <w:num w:numId="4" w16cid:durableId="1139032092">
    <w:abstractNumId w:val="0"/>
  </w:num>
  <w:num w:numId="5" w16cid:durableId="340547464">
    <w:abstractNumId w:val="1"/>
  </w:num>
  <w:num w:numId="6" w16cid:durableId="1225603634">
    <w:abstractNumId w:val="7"/>
  </w:num>
  <w:num w:numId="7" w16cid:durableId="1489319144">
    <w:abstractNumId w:val="4"/>
  </w:num>
  <w:num w:numId="8" w16cid:durableId="15310706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10D8F"/>
    <w:rsid w:val="000132FF"/>
    <w:rsid w:val="000152EA"/>
    <w:rsid w:val="000162AF"/>
    <w:rsid w:val="00023A4D"/>
    <w:rsid w:val="00024D9F"/>
    <w:rsid w:val="000344CD"/>
    <w:rsid w:val="00036224"/>
    <w:rsid w:val="00063E5B"/>
    <w:rsid w:val="00076B6B"/>
    <w:rsid w:val="000816AA"/>
    <w:rsid w:val="000873CE"/>
    <w:rsid w:val="00094C61"/>
    <w:rsid w:val="0009734E"/>
    <w:rsid w:val="00097417"/>
    <w:rsid w:val="000A0B29"/>
    <w:rsid w:val="000A215B"/>
    <w:rsid w:val="000A670C"/>
    <w:rsid w:val="000C4F9B"/>
    <w:rsid w:val="000C67BF"/>
    <w:rsid w:val="000D1565"/>
    <w:rsid w:val="000D272A"/>
    <w:rsid w:val="000D5990"/>
    <w:rsid w:val="000E1CCF"/>
    <w:rsid w:val="000F1B59"/>
    <w:rsid w:val="000F24F3"/>
    <w:rsid w:val="000F7D9F"/>
    <w:rsid w:val="00100BF0"/>
    <w:rsid w:val="0010505E"/>
    <w:rsid w:val="00105A49"/>
    <w:rsid w:val="0010692A"/>
    <w:rsid w:val="00116C0C"/>
    <w:rsid w:val="001210B5"/>
    <w:rsid w:val="001304E3"/>
    <w:rsid w:val="001341E3"/>
    <w:rsid w:val="00137025"/>
    <w:rsid w:val="00140FF4"/>
    <w:rsid w:val="001434DB"/>
    <w:rsid w:val="00144B3F"/>
    <w:rsid w:val="00152280"/>
    <w:rsid w:val="00163203"/>
    <w:rsid w:val="00163429"/>
    <w:rsid w:val="0016371A"/>
    <w:rsid w:val="001662F0"/>
    <w:rsid w:val="00167B0B"/>
    <w:rsid w:val="00177069"/>
    <w:rsid w:val="001A067A"/>
    <w:rsid w:val="001A3A53"/>
    <w:rsid w:val="001A76F4"/>
    <w:rsid w:val="001B2315"/>
    <w:rsid w:val="001B65E2"/>
    <w:rsid w:val="001D1664"/>
    <w:rsid w:val="001E057B"/>
    <w:rsid w:val="001E0EAD"/>
    <w:rsid w:val="001E52AA"/>
    <w:rsid w:val="001F6318"/>
    <w:rsid w:val="00203335"/>
    <w:rsid w:val="0020621D"/>
    <w:rsid w:val="00214D27"/>
    <w:rsid w:val="00217A13"/>
    <w:rsid w:val="00222396"/>
    <w:rsid w:val="00223B0E"/>
    <w:rsid w:val="00237D2C"/>
    <w:rsid w:val="00240B93"/>
    <w:rsid w:val="00242CFC"/>
    <w:rsid w:val="002435EE"/>
    <w:rsid w:val="00243E52"/>
    <w:rsid w:val="00245FEB"/>
    <w:rsid w:val="00252733"/>
    <w:rsid w:val="0025426E"/>
    <w:rsid w:val="0025493C"/>
    <w:rsid w:val="00256750"/>
    <w:rsid w:val="00257A25"/>
    <w:rsid w:val="00270BF1"/>
    <w:rsid w:val="00272661"/>
    <w:rsid w:val="00281553"/>
    <w:rsid w:val="00281A90"/>
    <w:rsid w:val="00283280"/>
    <w:rsid w:val="002A50F5"/>
    <w:rsid w:val="002A5BC0"/>
    <w:rsid w:val="002A7C67"/>
    <w:rsid w:val="002B0049"/>
    <w:rsid w:val="002B005E"/>
    <w:rsid w:val="002B7259"/>
    <w:rsid w:val="002C2E6B"/>
    <w:rsid w:val="002C54B8"/>
    <w:rsid w:val="002D28F4"/>
    <w:rsid w:val="002D3031"/>
    <w:rsid w:val="002F69EF"/>
    <w:rsid w:val="002F7100"/>
    <w:rsid w:val="00305301"/>
    <w:rsid w:val="00306FC7"/>
    <w:rsid w:val="003117D4"/>
    <w:rsid w:val="0031603B"/>
    <w:rsid w:val="00320141"/>
    <w:rsid w:val="0035303F"/>
    <w:rsid w:val="0036191E"/>
    <w:rsid w:val="0037287E"/>
    <w:rsid w:val="00374222"/>
    <w:rsid w:val="0037542B"/>
    <w:rsid w:val="00382299"/>
    <w:rsid w:val="00383696"/>
    <w:rsid w:val="00385269"/>
    <w:rsid w:val="003C65D1"/>
    <w:rsid w:val="003D48ED"/>
    <w:rsid w:val="003E042F"/>
    <w:rsid w:val="003E3A34"/>
    <w:rsid w:val="003F2C2D"/>
    <w:rsid w:val="004012CF"/>
    <w:rsid w:val="00422497"/>
    <w:rsid w:val="00425052"/>
    <w:rsid w:val="00425EF1"/>
    <w:rsid w:val="00431A7C"/>
    <w:rsid w:val="00433644"/>
    <w:rsid w:val="00436C6A"/>
    <w:rsid w:val="0043711B"/>
    <w:rsid w:val="004446B3"/>
    <w:rsid w:val="00445E64"/>
    <w:rsid w:val="0045438D"/>
    <w:rsid w:val="00454823"/>
    <w:rsid w:val="0045769D"/>
    <w:rsid w:val="00457DC1"/>
    <w:rsid w:val="00465726"/>
    <w:rsid w:val="00473749"/>
    <w:rsid w:val="00477276"/>
    <w:rsid w:val="0049046B"/>
    <w:rsid w:val="0049592F"/>
    <w:rsid w:val="004A3DA6"/>
    <w:rsid w:val="004B3390"/>
    <w:rsid w:val="004B3B97"/>
    <w:rsid w:val="004C48A0"/>
    <w:rsid w:val="004F4670"/>
    <w:rsid w:val="004F75DE"/>
    <w:rsid w:val="00502DB2"/>
    <w:rsid w:val="005136A1"/>
    <w:rsid w:val="00520139"/>
    <w:rsid w:val="0053189E"/>
    <w:rsid w:val="00532B4F"/>
    <w:rsid w:val="00532CA9"/>
    <w:rsid w:val="005363AC"/>
    <w:rsid w:val="005434DC"/>
    <w:rsid w:val="00544F1B"/>
    <w:rsid w:val="00550593"/>
    <w:rsid w:val="005537B9"/>
    <w:rsid w:val="00555E27"/>
    <w:rsid w:val="005630FD"/>
    <w:rsid w:val="00585CD1"/>
    <w:rsid w:val="00585D92"/>
    <w:rsid w:val="005A2C13"/>
    <w:rsid w:val="005A31D1"/>
    <w:rsid w:val="005B51AC"/>
    <w:rsid w:val="005C3553"/>
    <w:rsid w:val="005C4BA7"/>
    <w:rsid w:val="005D56D6"/>
    <w:rsid w:val="005E3A34"/>
    <w:rsid w:val="005E4202"/>
    <w:rsid w:val="005F1B6B"/>
    <w:rsid w:val="00600E91"/>
    <w:rsid w:val="00602349"/>
    <w:rsid w:val="006042E6"/>
    <w:rsid w:val="0060624F"/>
    <w:rsid w:val="0061343F"/>
    <w:rsid w:val="0061754C"/>
    <w:rsid w:val="00622C73"/>
    <w:rsid w:val="006237F8"/>
    <w:rsid w:val="00626297"/>
    <w:rsid w:val="0062760E"/>
    <w:rsid w:val="0065406A"/>
    <w:rsid w:val="00656369"/>
    <w:rsid w:val="00663A4D"/>
    <w:rsid w:val="0066655B"/>
    <w:rsid w:val="00671528"/>
    <w:rsid w:val="00671B4B"/>
    <w:rsid w:val="00677512"/>
    <w:rsid w:val="006775DD"/>
    <w:rsid w:val="00680C9B"/>
    <w:rsid w:val="006830DE"/>
    <w:rsid w:val="006A2547"/>
    <w:rsid w:val="006C043B"/>
    <w:rsid w:val="006D23BE"/>
    <w:rsid w:val="006D4428"/>
    <w:rsid w:val="006E696D"/>
    <w:rsid w:val="006F1F9F"/>
    <w:rsid w:val="006F49D6"/>
    <w:rsid w:val="006F6649"/>
    <w:rsid w:val="00701625"/>
    <w:rsid w:val="00715AFA"/>
    <w:rsid w:val="007173DF"/>
    <w:rsid w:val="0072567F"/>
    <w:rsid w:val="00731314"/>
    <w:rsid w:val="00735953"/>
    <w:rsid w:val="007511F2"/>
    <w:rsid w:val="00753408"/>
    <w:rsid w:val="007A5969"/>
    <w:rsid w:val="007A6CF0"/>
    <w:rsid w:val="007B14CD"/>
    <w:rsid w:val="007B1AB7"/>
    <w:rsid w:val="007C26B0"/>
    <w:rsid w:val="007C631F"/>
    <w:rsid w:val="007D3B1A"/>
    <w:rsid w:val="007D65E2"/>
    <w:rsid w:val="007E00CA"/>
    <w:rsid w:val="007E6AEB"/>
    <w:rsid w:val="007F5685"/>
    <w:rsid w:val="00803482"/>
    <w:rsid w:val="00810AFC"/>
    <w:rsid w:val="00814831"/>
    <w:rsid w:val="00821D53"/>
    <w:rsid w:val="008255E0"/>
    <w:rsid w:val="00826342"/>
    <w:rsid w:val="008310CE"/>
    <w:rsid w:val="00834299"/>
    <w:rsid w:val="00843C8A"/>
    <w:rsid w:val="00846EE9"/>
    <w:rsid w:val="00852FA3"/>
    <w:rsid w:val="0085750C"/>
    <w:rsid w:val="00861889"/>
    <w:rsid w:val="00862C7F"/>
    <w:rsid w:val="00863049"/>
    <w:rsid w:val="00863194"/>
    <w:rsid w:val="00867FDA"/>
    <w:rsid w:val="008732CE"/>
    <w:rsid w:val="00873E3D"/>
    <w:rsid w:val="00880DBC"/>
    <w:rsid w:val="008818D9"/>
    <w:rsid w:val="00883E33"/>
    <w:rsid w:val="00884032"/>
    <w:rsid w:val="0088740F"/>
    <w:rsid w:val="008A063F"/>
    <w:rsid w:val="008B7773"/>
    <w:rsid w:val="008C28E7"/>
    <w:rsid w:val="008C4649"/>
    <w:rsid w:val="008C532E"/>
    <w:rsid w:val="008D336F"/>
    <w:rsid w:val="008E36A0"/>
    <w:rsid w:val="008E3CBB"/>
    <w:rsid w:val="008F4812"/>
    <w:rsid w:val="008F5E52"/>
    <w:rsid w:val="0090335F"/>
    <w:rsid w:val="009047D3"/>
    <w:rsid w:val="0091757B"/>
    <w:rsid w:val="009179B9"/>
    <w:rsid w:val="00923A2C"/>
    <w:rsid w:val="00926827"/>
    <w:rsid w:val="0094132A"/>
    <w:rsid w:val="00951419"/>
    <w:rsid w:val="0095247A"/>
    <w:rsid w:val="00957F8D"/>
    <w:rsid w:val="009632FD"/>
    <w:rsid w:val="0096477E"/>
    <w:rsid w:val="00974B34"/>
    <w:rsid w:val="0098285A"/>
    <w:rsid w:val="00982D5D"/>
    <w:rsid w:val="0098432E"/>
    <w:rsid w:val="00995A6A"/>
    <w:rsid w:val="009A190A"/>
    <w:rsid w:val="009A2C10"/>
    <w:rsid w:val="009A35E5"/>
    <w:rsid w:val="009B50CB"/>
    <w:rsid w:val="009D15CD"/>
    <w:rsid w:val="009E04B4"/>
    <w:rsid w:val="009E0F0D"/>
    <w:rsid w:val="009E20C2"/>
    <w:rsid w:val="009F02B0"/>
    <w:rsid w:val="009F7887"/>
    <w:rsid w:val="00A026DC"/>
    <w:rsid w:val="00A13E3C"/>
    <w:rsid w:val="00A20F15"/>
    <w:rsid w:val="00A3584D"/>
    <w:rsid w:val="00A404AB"/>
    <w:rsid w:val="00A41270"/>
    <w:rsid w:val="00A50E95"/>
    <w:rsid w:val="00A6093A"/>
    <w:rsid w:val="00A63AC6"/>
    <w:rsid w:val="00A7774D"/>
    <w:rsid w:val="00A82C9D"/>
    <w:rsid w:val="00A85C86"/>
    <w:rsid w:val="00A862C6"/>
    <w:rsid w:val="00A91DCB"/>
    <w:rsid w:val="00A93D41"/>
    <w:rsid w:val="00AA0C33"/>
    <w:rsid w:val="00AA10B0"/>
    <w:rsid w:val="00AA2C34"/>
    <w:rsid w:val="00AB76A5"/>
    <w:rsid w:val="00AC402C"/>
    <w:rsid w:val="00AD23F0"/>
    <w:rsid w:val="00AD39DB"/>
    <w:rsid w:val="00AE341B"/>
    <w:rsid w:val="00AE7F85"/>
    <w:rsid w:val="00AF455F"/>
    <w:rsid w:val="00B02149"/>
    <w:rsid w:val="00B11941"/>
    <w:rsid w:val="00B13A72"/>
    <w:rsid w:val="00B201EB"/>
    <w:rsid w:val="00B23E17"/>
    <w:rsid w:val="00B304DE"/>
    <w:rsid w:val="00B30E05"/>
    <w:rsid w:val="00B3229A"/>
    <w:rsid w:val="00B41E7E"/>
    <w:rsid w:val="00B542EE"/>
    <w:rsid w:val="00B565AF"/>
    <w:rsid w:val="00B6474A"/>
    <w:rsid w:val="00B67433"/>
    <w:rsid w:val="00B814CD"/>
    <w:rsid w:val="00BA5431"/>
    <w:rsid w:val="00BA7B7A"/>
    <w:rsid w:val="00BC03FB"/>
    <w:rsid w:val="00BC0BAE"/>
    <w:rsid w:val="00BD74B7"/>
    <w:rsid w:val="00BE72A2"/>
    <w:rsid w:val="00BF1397"/>
    <w:rsid w:val="00C010F4"/>
    <w:rsid w:val="00C02A49"/>
    <w:rsid w:val="00C03615"/>
    <w:rsid w:val="00C05F23"/>
    <w:rsid w:val="00C06CC9"/>
    <w:rsid w:val="00C1657F"/>
    <w:rsid w:val="00C2189D"/>
    <w:rsid w:val="00C22B44"/>
    <w:rsid w:val="00C22FB9"/>
    <w:rsid w:val="00C27223"/>
    <w:rsid w:val="00C33AEF"/>
    <w:rsid w:val="00C358E3"/>
    <w:rsid w:val="00C430F9"/>
    <w:rsid w:val="00C44652"/>
    <w:rsid w:val="00C44987"/>
    <w:rsid w:val="00C558E6"/>
    <w:rsid w:val="00C84627"/>
    <w:rsid w:val="00C85A16"/>
    <w:rsid w:val="00C90DC1"/>
    <w:rsid w:val="00C945C6"/>
    <w:rsid w:val="00CA0AED"/>
    <w:rsid w:val="00CA5672"/>
    <w:rsid w:val="00CB0C90"/>
    <w:rsid w:val="00CB0E19"/>
    <w:rsid w:val="00CB3F80"/>
    <w:rsid w:val="00CE04A9"/>
    <w:rsid w:val="00CE12A8"/>
    <w:rsid w:val="00D04176"/>
    <w:rsid w:val="00D12502"/>
    <w:rsid w:val="00D23162"/>
    <w:rsid w:val="00D67377"/>
    <w:rsid w:val="00D87BC8"/>
    <w:rsid w:val="00DA2246"/>
    <w:rsid w:val="00DB4F19"/>
    <w:rsid w:val="00DB5AD8"/>
    <w:rsid w:val="00DC7B00"/>
    <w:rsid w:val="00DD416D"/>
    <w:rsid w:val="00DE3FCA"/>
    <w:rsid w:val="00DF130D"/>
    <w:rsid w:val="00E0073A"/>
    <w:rsid w:val="00E00CEF"/>
    <w:rsid w:val="00E02026"/>
    <w:rsid w:val="00E04E8B"/>
    <w:rsid w:val="00E1091F"/>
    <w:rsid w:val="00E17BFF"/>
    <w:rsid w:val="00E474AF"/>
    <w:rsid w:val="00E47B21"/>
    <w:rsid w:val="00E51D13"/>
    <w:rsid w:val="00E52ED3"/>
    <w:rsid w:val="00E532FD"/>
    <w:rsid w:val="00E53EBA"/>
    <w:rsid w:val="00E830FF"/>
    <w:rsid w:val="00E90057"/>
    <w:rsid w:val="00EA034B"/>
    <w:rsid w:val="00EA3807"/>
    <w:rsid w:val="00EB7EB3"/>
    <w:rsid w:val="00EC1AF9"/>
    <w:rsid w:val="00EC1E3A"/>
    <w:rsid w:val="00EC342F"/>
    <w:rsid w:val="00EC6001"/>
    <w:rsid w:val="00ED0A80"/>
    <w:rsid w:val="00ED5A87"/>
    <w:rsid w:val="00EE5357"/>
    <w:rsid w:val="00F00481"/>
    <w:rsid w:val="00F04495"/>
    <w:rsid w:val="00F06420"/>
    <w:rsid w:val="00F208D6"/>
    <w:rsid w:val="00F21D02"/>
    <w:rsid w:val="00F257E6"/>
    <w:rsid w:val="00F363E0"/>
    <w:rsid w:val="00F411B8"/>
    <w:rsid w:val="00F45C28"/>
    <w:rsid w:val="00F477C4"/>
    <w:rsid w:val="00F5172D"/>
    <w:rsid w:val="00F54EEA"/>
    <w:rsid w:val="00F5713B"/>
    <w:rsid w:val="00F60482"/>
    <w:rsid w:val="00F62AF0"/>
    <w:rsid w:val="00F6532F"/>
    <w:rsid w:val="00F70A24"/>
    <w:rsid w:val="00F73437"/>
    <w:rsid w:val="00F73773"/>
    <w:rsid w:val="00F77F0A"/>
    <w:rsid w:val="00F91E68"/>
    <w:rsid w:val="00F96208"/>
    <w:rsid w:val="00FB5C81"/>
    <w:rsid w:val="00FC274A"/>
    <w:rsid w:val="00FC6B66"/>
    <w:rsid w:val="00FD66B9"/>
    <w:rsid w:val="00FF0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E17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957F8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7B2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10D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0D8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0D8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0D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0D8F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23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237F8"/>
  </w:style>
  <w:style w:type="paragraph" w:styleId="Piedepgina">
    <w:name w:val="footer"/>
    <w:basedOn w:val="Normal"/>
    <w:link w:val="PiedepginaCar"/>
    <w:uiPriority w:val="99"/>
    <w:unhideWhenUsed/>
    <w:rsid w:val="006237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23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5A4557-4D42-41DA-B152-09223597B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980</Words>
  <Characters>5395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29</cp:revision>
  <cp:lastPrinted>2022-09-09T14:48:00Z</cp:lastPrinted>
  <dcterms:created xsi:type="dcterms:W3CDTF">2022-10-09T00:41:00Z</dcterms:created>
  <dcterms:modified xsi:type="dcterms:W3CDTF">2022-10-09T23:57:00Z</dcterms:modified>
</cp:coreProperties>
</file>