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EDE641D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</w:t>
      </w:r>
      <w:r w:rsidR="007A069B">
        <w:rPr>
          <w:rFonts w:ascii="Source Sans Pro" w:eastAsia="Times New Roman" w:hAnsi="Source Sans Pro"/>
          <w:color w:val="595959"/>
        </w:rPr>
        <w:t>TypeChecking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CD45D3A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 xml:space="preserve">constantes o sintetizado en el resto de </w:t>
            </w:r>
            <w:r w:rsidR="00416677" w:rsidRPr="00BA35E4">
              <w:rPr>
                <w:rFonts w:ascii="Source Sans Pro" w:eastAsia="Times New Roman" w:hAnsi="Source Sans Pro"/>
                <w:sz w:val="20"/>
                <w:szCs w:val="20"/>
              </w:rPr>
              <w:t>las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6ADBB99B" w:rsidR="004B4FC8" w:rsidRDefault="00D73D3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</w:t>
            </w:r>
            <w:r w:rsidR="00027E3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ype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6E9FD99B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Una feature que no sea de tipo void debería de tener al menos una sentencia Return.</w:t>
            </w: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15762B0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77C658EC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1C2D03A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340AB0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21417F9F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función en la que se encuentra la sentencia</w:t>
            </w: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vars</w:t>
            </w:r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Parameter: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True si se ha definido la función previamente en el bloque créate (constructor). Se usará para verificar que la función puede ser llamada en la llamada run.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Enlace a la struct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Struct</w:t>
            </w:r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060"/>
        <w:gridCol w:w="4407"/>
      </w:tblGrid>
      <w:tr w:rsidR="0016629D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150B4E" w:rsidRPr="00416677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16677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8D402C" w14:textId="77777777" w:rsidR="00025342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 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definition.params)</w:t>
            </w:r>
          </w:p>
          <w:p w14:paraId="09366A12" w14:textId="1A43368A" w:rsidR="009A3D95" w:rsidRPr="009D4976" w:rsidRDefault="009A3D9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runcall.definition.isBuilder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16677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16677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49AD5" w14:textId="6B009F5E" w:rsidR="006D294F" w:rsidRPr="00B10F44" w:rsidRDefault="006D29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returnType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AND returnType </w:t>
            </w:r>
            <w:r w:rsidR="00042B55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="00042B55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VoidType</w:t>
            </w:r>
            <w:r w:rsidR="00042B55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⇒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isPrimitive(returnType)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DC72B" w14:textId="1F4CE3B4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 = functionDefinition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295A246F" w14:textId="77777777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994C334" w14:textId="039F925E" w:rsidR="00E0410D" w:rsidRPr="00013A96" w:rsidRDefault="00E0410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16677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416677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gram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457C44" w14:textId="77777777" w:rsidR="00410B38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args.size() == definition.params.size()</w:t>
            </w:r>
          </w:p>
          <w:p w14:paraId="108D0166" w14:textId="77777777" w:rsidR="00DE2D4F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16959F5" w14:textId="14869F23" w:rsidR="00DE2D4F" w:rsidRPr="004C52E9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 definition.params)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19FC1786" w:rsidR="00894F80" w:rsidRP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7A069B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left.lvalue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5066E6CE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(left.type)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208C203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sameType(left.type, right.type)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2CE64BF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416677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4F7D81" w14:textId="508B799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until.type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2725E6" w14:textId="77777777" w:rsidR="00A2046D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from.forEach(a -&gt; a.owner = loop.owner)</w:t>
            </w:r>
          </w:p>
          <w:p w14:paraId="630C3D9F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658A3C8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body.forEach(s -&gt; s.owner = loop.owner)</w:t>
            </w:r>
          </w:p>
          <w:p w14:paraId="798EB79E" w14:textId="64D07A07" w:rsidR="00C63B02" w:rsidRPr="00B10F44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416677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D9256" w14:textId="5E9A7055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condition.type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127412" w14:textId="3D6C00EF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.forEach(s -&gt; s.owner = </w:t>
            </w:r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.owner)</w:t>
            </w:r>
          </w:p>
          <w:p w14:paraId="408781A7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68391CE" w14:textId="54B73DB6" w:rsidR="00A2046D" w:rsidRPr="00B10F44" w:rsidRDefault="0090301A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falseBlock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.forEach(s -&gt; s.owner = </w:t>
            </w:r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.owner)</w:t>
            </w:r>
          </w:p>
        </w:tc>
      </w:tr>
      <w:tr w:rsidR="0016629D" w:rsidRPr="004C52E9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898484" w14:textId="5074F000" w:rsidR="00960727" w:rsidRPr="00960727" w:rsidRDefault="0096072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input.all(e -&gt; e.lValue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== true)</w:t>
            </w:r>
          </w:p>
          <w:p w14:paraId="0759E26C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55C930F" w14:textId="4599D568" w:rsidR="00A2046D" w:rsidRPr="004C52E9" w:rsidRDefault="00960727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input.all(e -&gt; isPrimitive(e.t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440522EE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7A069B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43B57D" w14:textId="07BD2912" w:rsidR="00A2046D" w:rsidRPr="00B10F44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input.type</w:t>
            </w:r>
            <w:proofErr w:type="gram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13CA2D06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EC2C2B" w14:textId="6E2F9F76" w:rsidR="00BE03EE" w:rsidRDefault="00BE03E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expr == </w:t>
            </w:r>
            <w:r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⇒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return.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V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oidType</w:t>
            </w:r>
          </w:p>
          <w:p w14:paraId="2974748C" w14:textId="06B5F6DF" w:rsidR="00A2046D" w:rsidRPr="004C52E9" w:rsidRDefault="00BE03E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expr ≠ </w:t>
            </w:r>
            <w:r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⇒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 (return.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value.type)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48A53B35" w:rsidR="00A2046D" w:rsidRPr="00DA4E3F" w:rsidRDefault="00A629B1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u w:val="single"/>
                <w:lang w:val="en-GB"/>
              </w:rPr>
            </w:pPr>
            <w:r w:rsidRPr="00A629B1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returnValue.owner.hasReturn = TRUE</w:t>
            </w: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intConstant.lValue = FALSE</w:t>
            </w:r>
          </w:p>
        </w:tc>
      </w:tr>
      <w:tr w:rsidR="0016629D" w:rsidRPr="00416677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realConstant.lValue = FALSE</w:t>
            </w:r>
          </w:p>
        </w:tc>
      </w:tr>
      <w:tr w:rsidR="0016629D" w:rsidRPr="00416677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 = CHAR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charConstant.lValue = FALSE</w:t>
            </w:r>
          </w:p>
        </w:tc>
      </w:tr>
      <w:tr w:rsidR="0016629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1B0D66A1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 = variable.definition.t</w:t>
            </w:r>
            <w:r w:rsidR="00A55E26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 = TRUE</w:t>
            </w:r>
          </w:p>
        </w:tc>
      </w:tr>
      <w:tr w:rsidR="0016629D" w:rsidRPr="00416677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273E12" w14:textId="32E905E5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(castType)</w:t>
            </w:r>
          </w:p>
          <w:p w14:paraId="59A1277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1E64981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compatibleCast(castType, value.type)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 = castType</w:t>
            </w:r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 = FALSE</w:t>
            </w:r>
          </w:p>
        </w:tc>
      </w:tr>
      <w:tr w:rsidR="0016629D" w:rsidRPr="00416677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142F499A" w:rsidR="006602C5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(op1.type)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1B88082" w14:textId="29934DBF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  <w:p w14:paraId="7CB3E0FB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4896AB9" w14:textId="5A153C3F" w:rsidR="006602C5" w:rsidRPr="00B10F44" w:rsidRDefault="006602C5" w:rsidP="006602C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operator == MOD) </w:t>
            </w:r>
            <w:r w:rsidR="00042B55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⇒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0844066" w14:textId="131A5C93" w:rsidR="006602C5" w:rsidRPr="00B10F44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arithmeticExpr.type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arithmeticExpr.lValue = FALSE</w:t>
            </w:r>
          </w:p>
        </w:tc>
      </w:tr>
      <w:tr w:rsidR="0016629D" w:rsidRPr="007A069B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Default="00A2046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 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 INTEGER</w:t>
            </w:r>
          </w:p>
          <w:p w14:paraId="4BFFCD91" w14:textId="77777777" w:rsidR="0093573D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1927015" w14:textId="12E71DFA" w:rsidR="0093573D" w:rsidRPr="00B10F44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1013E03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 = INTEGER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7B4DD9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416677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0C0559" w14:textId="77777777" w:rsidR="00EE1B1C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7DADF692" w14:textId="1DFB5C70" w:rsidR="00A2046D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op1.type == DOUBLE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 = INTEGER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416677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op.type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op.type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 = op.type</w:t>
            </w:r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 = FALSE</w:t>
            </w:r>
          </w:p>
        </w:tc>
      </w:tr>
      <w:tr w:rsidR="0016629D" w:rsidRPr="00416677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DF1D41" w14:textId="1C8E1351" w:rsidR="00A2046D" w:rsidRPr="00622D98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op.type == INTEGER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notExpr.type = INTEGER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notExpr.lValue = FALSE</w:t>
            </w:r>
          </w:p>
        </w:tc>
      </w:tr>
      <w:tr w:rsidR="0016629D" w:rsidRPr="00416677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778662" w14:textId="77777777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checkArgs(args,</w:t>
            </w:r>
          </w:p>
          <w:p w14:paraId="5D6C5D5F" w14:textId="77777777" w:rsidR="00A2046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.params)</w:t>
            </w:r>
          </w:p>
          <w:p w14:paraId="38B3BD31" w14:textId="77777777" w:rsidR="007B7968" w:rsidRDefault="007B796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CC9534B" w14:textId="77777777" w:rsidR="007B7968" w:rsidRDefault="007B796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 == functionCallExpr.definition.params</w:t>
            </w:r>
          </w:p>
          <w:p w14:paraId="1405F087" w14:textId="77777777" w:rsidR="004D62BF" w:rsidRDefault="004D62BF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ECF343A" w14:textId="264FF757" w:rsidR="004D62BF" w:rsidRPr="004C52E9" w:rsidRDefault="004D62BF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.def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inition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.tipo!=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 = FALSE</w:t>
            </w:r>
          </w:p>
        </w:tc>
      </w:tr>
      <w:tr w:rsidR="0016629D" w:rsidRPr="00416677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3AC0C2E4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</w:t>
            </w:r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type == StructType</w:t>
            </w:r>
          </w:p>
          <w:p w14:paraId="21127514" w14:textId="77777777" w:rsidR="00723657" w:rsidRDefault="0072365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13CBB85" w14:textId="11F2845B" w:rsidR="00723657" w:rsidRPr="00723657" w:rsidRDefault="00723657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root.type.definition.fields[field]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5BD0E514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fieldAccess.type = field.type</w:t>
            </w:r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 = false</w:t>
            </w:r>
          </w:p>
        </w:tc>
      </w:tr>
      <w:tr w:rsidR="0016629D" w:rsidRPr="00416677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 == ArrayType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29E09C17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arrayAccess.type = arrayType.type</w:t>
            </w:r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arrayAccess.lValue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6629D" w:rsidRPr="00416677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proofErr w:type="gramStart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</w:t>
      </w:r>
      <w:proofErr w:type="gramEnd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 xml:space="preserve">Auxiliary </w:t>
      </w:r>
      <w:r w:rsidR="007A069B">
        <w:rPr>
          <w:rFonts w:ascii="Source Sans Pro" w:eastAsia="Times New Roman" w:hAnsi="Source Sans Pro"/>
          <w:color w:val="595959"/>
        </w:rPr>
        <w:t>Functions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732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491441B1" w:rsidR="00BA35E4" w:rsidRDefault="0016629D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70FC7FE9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CHAR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52504503" w:rsidR="00BA35E4" w:rsidRPr="00BA35E4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sameType(Type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EACC69F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  <w:r w:rsidR="00050FE0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="00F12674">
              <w:rPr>
                <w:rFonts w:ascii="Source Sans Pro" w:eastAsia="Times New Roman" w:hAnsi="Source Sans Pro"/>
                <w:sz w:val="21"/>
                <w:szCs w:val="21"/>
              </w:rPr>
              <w:t>Esta pensado para ser utilizado con tipos simples (INTEGER, CHAR o DOUBLE)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10E53736" w:rsidR="00BA35E4" w:rsidRPr="00C10550" w:rsidRDefault="00C10550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</w:t>
            </w:r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noProof/>
                <w:sz w:val="21"/>
                <w:szCs w:val="21"/>
              </w:rPr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405BEEDF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checkArgs(List&lt;Expression&gt; args,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4CB8036" w:rsidR="00BA35E4" w:rsidRPr="00A2046D" w:rsidRDefault="00A2046D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A2046D">
              <w:rPr>
                <w:rFonts w:ascii="Source Sans Pro" w:eastAsia="Times New Roman" w:hAnsi="Source Sans Pro"/>
                <w:sz w:val="21"/>
                <w:szCs w:val="21"/>
              </w:rPr>
              <w:t>Comprueba si la lista d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e args </w:t>
            </w:r>
            <w:r w:rsidR="00FE1804">
              <w:rPr>
                <w:rFonts w:ascii="Source Sans Pro" w:eastAsia="Times New Roman" w:hAnsi="Source Sans Pro"/>
                <w:sz w:val="21"/>
                <w:szCs w:val="21"/>
              </w:rPr>
              <w:t>y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la lista de params tienen la misma longitud comprueba que estos sean del mismo tipo.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74B26C8" w:rsidR="00BA35E4" w:rsidRPr="00A2046D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7301CA71" w:rsidR="00BA35E4" w:rsidRPr="00A2046D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Auxiliary Data Structures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4EB292D4" w14:textId="52FB7013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1547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042B55"/>
    <w:rsid w:val="00050FE0"/>
    <w:rsid w:val="00120BBB"/>
    <w:rsid w:val="00150B4E"/>
    <w:rsid w:val="0015479B"/>
    <w:rsid w:val="0016629D"/>
    <w:rsid w:val="001A20B2"/>
    <w:rsid w:val="00237976"/>
    <w:rsid w:val="002452F0"/>
    <w:rsid w:val="00286299"/>
    <w:rsid w:val="002E140F"/>
    <w:rsid w:val="00410B38"/>
    <w:rsid w:val="00415A30"/>
    <w:rsid w:val="00416677"/>
    <w:rsid w:val="00424396"/>
    <w:rsid w:val="00433AAC"/>
    <w:rsid w:val="0044770E"/>
    <w:rsid w:val="004557C8"/>
    <w:rsid w:val="004A25BD"/>
    <w:rsid w:val="004B4FC8"/>
    <w:rsid w:val="004C52E9"/>
    <w:rsid w:val="004D62BF"/>
    <w:rsid w:val="0053003F"/>
    <w:rsid w:val="00544756"/>
    <w:rsid w:val="00571BAA"/>
    <w:rsid w:val="00592CF0"/>
    <w:rsid w:val="005944A2"/>
    <w:rsid w:val="005A2113"/>
    <w:rsid w:val="00607139"/>
    <w:rsid w:val="00622D98"/>
    <w:rsid w:val="006602C5"/>
    <w:rsid w:val="0066233B"/>
    <w:rsid w:val="006D294F"/>
    <w:rsid w:val="006E2BA9"/>
    <w:rsid w:val="006F2380"/>
    <w:rsid w:val="0071761A"/>
    <w:rsid w:val="00723657"/>
    <w:rsid w:val="0072582B"/>
    <w:rsid w:val="00727931"/>
    <w:rsid w:val="00730E83"/>
    <w:rsid w:val="00742C22"/>
    <w:rsid w:val="00777769"/>
    <w:rsid w:val="007A069B"/>
    <w:rsid w:val="007B6B4C"/>
    <w:rsid w:val="007B7968"/>
    <w:rsid w:val="00874F79"/>
    <w:rsid w:val="00894F80"/>
    <w:rsid w:val="008E52B6"/>
    <w:rsid w:val="008F5033"/>
    <w:rsid w:val="008F63D5"/>
    <w:rsid w:val="009006E5"/>
    <w:rsid w:val="0090301A"/>
    <w:rsid w:val="0093573D"/>
    <w:rsid w:val="009512CE"/>
    <w:rsid w:val="00960727"/>
    <w:rsid w:val="0097057C"/>
    <w:rsid w:val="00976EAE"/>
    <w:rsid w:val="009915CE"/>
    <w:rsid w:val="009A1D3D"/>
    <w:rsid w:val="009A3D95"/>
    <w:rsid w:val="009D4976"/>
    <w:rsid w:val="00A2046D"/>
    <w:rsid w:val="00A55E26"/>
    <w:rsid w:val="00A629B1"/>
    <w:rsid w:val="00A70FD5"/>
    <w:rsid w:val="00A72451"/>
    <w:rsid w:val="00A9784F"/>
    <w:rsid w:val="00AB515A"/>
    <w:rsid w:val="00AD4CD8"/>
    <w:rsid w:val="00B10F44"/>
    <w:rsid w:val="00B3674E"/>
    <w:rsid w:val="00BA35E4"/>
    <w:rsid w:val="00BE03EE"/>
    <w:rsid w:val="00C10550"/>
    <w:rsid w:val="00C27AD2"/>
    <w:rsid w:val="00C327BC"/>
    <w:rsid w:val="00C63B02"/>
    <w:rsid w:val="00CC65A3"/>
    <w:rsid w:val="00CD6482"/>
    <w:rsid w:val="00D73D38"/>
    <w:rsid w:val="00D86443"/>
    <w:rsid w:val="00DA25D2"/>
    <w:rsid w:val="00DA4E3F"/>
    <w:rsid w:val="00DE2D4F"/>
    <w:rsid w:val="00E04025"/>
    <w:rsid w:val="00E0410D"/>
    <w:rsid w:val="00E36D56"/>
    <w:rsid w:val="00E37DA4"/>
    <w:rsid w:val="00EE1B1C"/>
    <w:rsid w:val="00F12674"/>
    <w:rsid w:val="00F97B15"/>
    <w:rsid w:val="00FD2636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67</cp:revision>
  <cp:lastPrinted>2024-04-02T10:13:00Z</cp:lastPrinted>
  <dcterms:created xsi:type="dcterms:W3CDTF">2024-03-12T11:29:00Z</dcterms:created>
  <dcterms:modified xsi:type="dcterms:W3CDTF">2024-04-02T10:52:00Z</dcterms:modified>
</cp:coreProperties>
</file>