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media/image1.png" ContentType="image/png"/>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0"/>
        <w:jc w:val="center"/>
        <w:rPr>
          <w:rFonts w:cs="Arial"/>
          <w:b/>
          <w:sz w:val="22"/>
          <w:szCs w:val="22"/>
          <w:lang w:val="fr-FR"/>
        </w:rPr>
      </w:pPr>
      <w:r>
        <w:rPr>
          <w:rFonts w:cs="Arial"/>
          <w:b/>
          <w:sz w:val="22"/>
          <w:szCs w:val="22"/>
          <w:lang w:val="fr-FR"/>
        </w:rPr>
        <w:t>CONVENTION POUR LA SAUVEGARDE DU</w:t>
        <w:br/>
        <w:t>PATRIMOINE CULTUREL IMMATÉRIEL</w:t>
      </w:r>
    </w:p>
    <w:p>
      <w:pPr>
        <w:pStyle w:val="Normal"/>
        <w:spacing w:before="360" w:after="0"/>
        <w:jc w:val="center"/>
        <w:rPr>
          <w:rFonts w:cs="Arial"/>
          <w:b/>
          <w:sz w:val="22"/>
          <w:szCs w:val="22"/>
          <w:lang w:val="fr-FR"/>
        </w:rPr>
      </w:pPr>
      <w:r>
        <w:rPr>
          <w:rFonts w:cs="Arial"/>
          <w:b/>
          <w:sz w:val="22"/>
          <w:szCs w:val="22"/>
          <w:lang w:val="fr-FR"/>
        </w:rPr>
        <w:t>COMITÉ INTERGOUVERNEMENTAL DE SAUVEGARDE</w:t>
        <w:br/>
        <w:t>DU PATRIMOINE CULTUREL IMMATÉRIEL</w:t>
      </w:r>
    </w:p>
    <w:p>
      <w:pPr>
        <w:pStyle w:val="Normal"/>
        <w:spacing w:before="480" w:after="0"/>
        <w:jc w:val="center"/>
        <w:rPr/>
      </w:pPr>
      <w:r>
        <w:rPr>
          <w:rFonts w:cs="Arial"/>
          <w:b/>
          <w:sz w:val="22"/>
          <w:szCs w:val="22"/>
          <w:lang w:val="fr-FR"/>
        </w:rPr>
        <w:t>Neuvième session</w:t>
      </w:r>
    </w:p>
    <w:p>
      <w:pPr>
        <w:pStyle w:val="Normal"/>
        <w:jc w:val="center"/>
        <w:rPr>
          <w:rFonts w:cs="Arial"/>
          <w:b/>
          <w:sz w:val="22"/>
          <w:szCs w:val="22"/>
          <w:lang w:val="fr-FR"/>
        </w:rPr>
      </w:pPr>
      <w:r>
        <w:rPr>
          <w:rFonts w:cs="Arial"/>
          <w:b/>
          <w:sz w:val="22"/>
          <w:szCs w:val="22"/>
          <w:lang w:val="fr-FR"/>
        </w:rPr>
        <w:t>Siège de l’UNESCO</w:t>
      </w:r>
    </w:p>
    <w:p>
      <w:pPr>
        <w:pStyle w:val="Sous-titreICH"/>
        <w:keepNext w:val="false"/>
        <w:widowControl/>
        <w:spacing w:before="0" w:after="360"/>
        <w:rPr/>
      </w:pPr>
      <w:r>
        <w:rPr>
          <w:rFonts w:cs="Arial"/>
          <w:caps w:val="false"/>
          <w:smallCaps w:val="false"/>
          <w:sz w:val="22"/>
          <w:szCs w:val="22"/>
          <w:lang w:val="fr-FR"/>
        </w:rPr>
        <w:t>24 – 28 novembre 2014</w:t>
      </w:r>
    </w:p>
    <w:p>
      <w:pPr>
        <w:pStyle w:val="Sous-titreICH"/>
        <w:keepNext w:val="false"/>
        <w:widowControl/>
        <w:spacing w:before="600" w:after="0"/>
        <w:rPr>
          <w:rFonts w:cs="Arial"/>
          <w:caps w:val="false"/>
          <w:smallCaps w:val="false"/>
          <w:sz w:val="22"/>
          <w:szCs w:val="22"/>
          <w:lang w:val="fr-FR"/>
        </w:rPr>
      </w:pPr>
      <w:r>
        <w:rPr>
          <w:rFonts w:cs="Arial"/>
          <w:caps w:val="false"/>
          <w:smallCaps w:val="false"/>
          <w:sz w:val="22"/>
          <w:szCs w:val="22"/>
          <w:lang w:val="fr-FR"/>
        </w:rPr>
        <w:t>Rapport périodique n° 00824/France</w:t>
      </w:r>
    </w:p>
    <w:p>
      <w:pPr>
        <w:pStyle w:val="Sous-titreICH"/>
        <w:keepNext w:val="false"/>
        <w:widowControl/>
        <w:spacing w:before="360" w:after="360"/>
        <w:rPr>
          <w:rFonts w:cs="Arial"/>
          <w:caps w:val="false"/>
          <w:smallCaps w:val="false"/>
          <w:sz w:val="22"/>
          <w:szCs w:val="22"/>
          <w:lang w:val="fr-FR"/>
        </w:rPr>
      </w:pPr>
      <w:r>
        <w:rPr>
          <w:rFonts w:cs="Arial"/>
          <w:caps w:val="false"/>
          <w:smallCaps w:val="false"/>
          <w:sz w:val="22"/>
          <w:szCs w:val="22"/>
          <w:lang w:val="fr-FR"/>
        </w:rPr>
        <w:t>Rapport sur la mise en œuvre de la Convention et sur l’état des éléments qui ont été inscrits sur la Liste représentative du patrimoine culturel immatériel de l’humanité</w:t>
      </w:r>
    </w:p>
    <w:tbl>
      <w:tblPr>
        <w:tblW w:w="9858" w:type="dxa"/>
        <w:jc w:val="start"/>
        <w:tblInd w:w="-164" w:type="dxa"/>
        <w:tblLayout w:type="fixed"/>
        <w:tblCellMar>
          <w:top w:w="0" w:type="dxa"/>
          <w:start w:w="0" w:type="dxa"/>
          <w:bottom w:w="0" w:type="dxa"/>
          <w:end w:w="0" w:type="dxa"/>
        </w:tblCellMar>
      </w:tblPr>
      <w:tblGrid>
        <w:gridCol w:w="780"/>
        <w:gridCol w:w="9078"/>
      </w:tblGrid>
      <w:tr>
        <w:trPr/>
        <w:tc>
          <w:tcPr>
            <w:tcW w:w="780" w:type="dxa"/>
            <w:tcBorders>
              <w:top w:val="single" w:sz="4" w:space="0" w:color="000000"/>
              <w:start w:val="single" w:sz="4" w:space="0" w:color="000000"/>
              <w:bottom w:val="single" w:sz="4" w:space="0" w:color="000000"/>
            </w:tcBorders>
            <w:shd w:fill="CCCCCC" w:val="clear"/>
          </w:tcPr>
          <w:p>
            <w:pPr>
              <w:pStyle w:val="Grille01"/>
              <w:snapToGrid w:val="false"/>
              <w:spacing w:before="120" w:after="120"/>
              <w:jc w:val="end"/>
              <w:rPr/>
            </w:pPr>
            <w:r>
              <w:rPr/>
              <w:t>A.</w:t>
            </w:r>
          </w:p>
        </w:tc>
        <w:tc>
          <w:tcPr>
            <w:tcW w:w="9078" w:type="dxa"/>
            <w:tcBorders>
              <w:top w:val="single" w:sz="4" w:space="0" w:color="000000"/>
              <w:bottom w:val="single" w:sz="4" w:space="0" w:color="000000"/>
              <w:end w:val="single" w:sz="4" w:space="0" w:color="000000"/>
            </w:tcBorders>
            <w:shd w:fill="CCCCCC" w:val="clear"/>
          </w:tcPr>
          <w:p>
            <w:pPr>
              <w:pStyle w:val="Grille01"/>
              <w:snapToGrid w:val="false"/>
              <w:spacing w:before="120" w:after="120"/>
              <w:rPr/>
            </w:pPr>
            <w:r>
              <w:rPr/>
              <w:t xml:space="preserve">Page de </w:t>
            </w:r>
            <w:r>
              <w:rPr>
                <w:lang w:val="fr-FR"/>
              </w:rPr>
              <w:t>couverture</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A.1.</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bCs w:val="false"/>
                <w:lang w:val="fr-FR"/>
              </w:rPr>
            </w:pPr>
            <w:r>
              <w:rPr>
                <w:bCs w:val="false"/>
                <w:lang w:val="fr-FR"/>
              </w:rPr>
              <w:t>État auteur du présent rapport</w:t>
            </w:r>
          </w:p>
          <w:p>
            <w:pPr>
              <w:pStyle w:val="Info2"/>
              <w:keepNext w:val="true"/>
              <w:spacing w:lineRule="exact" w:line="260" w:before="0" w:after="120"/>
              <w:jc w:val="both"/>
              <w:rPr/>
            </w:pPr>
            <w:r>
              <w:rPr>
                <w:rFonts w:eastAsia="SimSun;宋体"/>
                <w:bCs/>
                <w:lang w:val="fr-FR"/>
              </w:rPr>
              <w:t>Dans le cas d’un rapport au sujet d’un élément inscrit sur la Liste représentative soumis par un État non partie à la Convention, le nom de l’État doit être indiqué, accompagné de la mention « État non partie à la Convention ».</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before="120" w:after="120"/>
              <w:ind w:start="113" w:end="113"/>
              <w:jc w:val="both"/>
              <w:rPr>
                <w:rFonts w:eastAsia="SimSun;宋体" w:cs="Arial"/>
                <w:sz w:val="22"/>
                <w:szCs w:val="22"/>
                <w:lang w:val="en-US" w:eastAsia="en-US" w:bidi="en-US"/>
              </w:rPr>
            </w:pPr>
            <w:bookmarkStart w:id="0" w:name="Text1"/>
            <w:r>
              <w:rPr>
                <w:rFonts w:eastAsia="SimSun;宋体" w:cs="Arial"/>
                <w:sz w:val="22"/>
                <w:szCs w:val="22"/>
                <w:lang w:val="en-US" w:eastAsia="en-US" w:bidi="en-US"/>
              </w:rPr>
              <w:t>France</w:t>
            </w:r>
            <w:bookmarkEnd w:id="0"/>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A.2.</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Date du dépôt de l’instrument de ratification, d’acceptation, d’approbation ou d’adhésion</w:t>
            </w:r>
          </w:p>
          <w:p>
            <w:pPr>
              <w:pStyle w:val="Info2"/>
              <w:keepNext w:val="true"/>
              <w:spacing w:lineRule="exact" w:line="260" w:before="0" w:after="120"/>
              <w:jc w:val="both"/>
              <w:rPr/>
            </w:pPr>
            <w:r>
              <w:rPr>
                <w:rFonts w:eastAsia="SimSun;宋体"/>
                <w:bCs/>
                <w:lang w:val="fr-FR"/>
              </w:rPr>
              <w:t>Elle peut être consultée en ligne à l’adresse suivante :</w:t>
              <w:br/>
              <w:t xml:space="preserve"> </w:t>
            </w:r>
            <w:r>
              <w:rPr>
                <w:rFonts w:eastAsia="SimSun;宋体"/>
                <w:lang w:val="fr-FR"/>
              </w:rPr>
              <w:t>www.unesco.org/culture/ich</w:t>
            </w:r>
            <w:r>
              <w:rPr>
                <w:rFonts w:eastAsia="SimSun;宋体"/>
                <w:bCs/>
                <w:lang w:val="fr-FR"/>
              </w:rPr>
              <w:t>.</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before="120" w:after="120"/>
              <w:ind w:start="113" w:end="113"/>
              <w:jc w:val="both"/>
              <w:rPr>
                <w:rFonts w:eastAsia="SimSun;宋体" w:cs="Arial"/>
                <w:sz w:val="22"/>
                <w:szCs w:val="22"/>
                <w:lang w:val="en-US" w:eastAsia="en-US" w:bidi="en-US"/>
              </w:rPr>
            </w:pPr>
            <w:r>
              <w:rPr>
                <w:rFonts w:eastAsia="SimSun;宋体" w:cs="Arial"/>
                <w:sz w:val="22"/>
                <w:szCs w:val="22"/>
                <w:lang w:val="en-US" w:eastAsia="en-US" w:bidi="en-US"/>
              </w:rPr>
              <w:t>11 juillet 2006, par approbation</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A.3.</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pPr>
            <w:r>
              <w:rPr>
                <w:lang w:val="fr-FR"/>
              </w:rPr>
              <w:t>Éléments inscrits sur la Liste de sauvegarde urgente</w:t>
            </w:r>
            <w:r>
              <w:rPr>
                <w:bCs w:val="false"/>
                <w:lang w:val="fr-FR"/>
              </w:rPr>
              <w:t>, le cas échéant</w:t>
            </w:r>
          </w:p>
          <w:p>
            <w:pPr>
              <w:pStyle w:val="Info2"/>
              <w:keepNext w:val="true"/>
              <w:spacing w:lineRule="exact" w:line="260" w:before="0" w:after="120"/>
              <w:jc w:val="both"/>
              <w:rPr/>
            </w:pPr>
            <w:r>
              <w:rPr>
                <w:rFonts w:eastAsia="SimSun;宋体"/>
                <w:lang w:val="fr-FR"/>
              </w:rPr>
              <w:t>Veuillez établir une liste de tous les éléments présents sur le territoire de votre pays qui sont inscrits sur la Liste de sauvegarde urgente et indiquer en quelle année ils y ont été inscrits ; pour ce qui est des éléments multinationaux, veuillez indiquer quels autres États sont concernés.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before="120" w:after="120"/>
              <w:ind w:start="113" w:end="113"/>
              <w:jc w:val="both"/>
              <w:rPr>
                <w:lang w:val="fr-FR"/>
              </w:rPr>
            </w:pPr>
            <w:r>
              <w:rPr>
                <w:rFonts w:eastAsia="SimSun;宋体" w:cs="Arial"/>
                <w:sz w:val="22"/>
                <w:szCs w:val="22"/>
                <w:lang w:val="en-US" w:eastAsia="en-US" w:bidi="en-US"/>
              </w:rPr>
              <w:t>Le Cantu in paghjella corse de tradition sacrée et profane (inscrit en 2009)</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A.4.</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Éléments inscrits sur la Liste représentative, le cas échéant</w:t>
            </w:r>
          </w:p>
          <w:p>
            <w:pPr>
              <w:pStyle w:val="Info2"/>
              <w:keepNext w:val="true"/>
              <w:spacing w:lineRule="exact" w:line="260" w:before="0" w:after="120"/>
              <w:jc w:val="both"/>
              <w:rPr/>
            </w:pPr>
            <w:r>
              <w:rPr>
                <w:bCs/>
                <w:iCs w:val="false"/>
                <w:lang w:val="fr-FR"/>
              </w:rPr>
              <w:t>Veuillez établir la liste de tous les éléments présents sur le territoire de votre pays qui sont inscrits sur la Liste représentative et indiquer en quelle année ils y ont été inscrits ; pour ce qui est des éléments multinationaux, veuillez indiquer quels autres États sont concernés</w:t>
            </w:r>
            <w:r>
              <w:rPr>
                <w:rFonts w:eastAsia="SimSun;宋体"/>
                <w:lang w:val="fr-FR"/>
              </w:rPr>
              <w:t>.</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before="120" w:after="120"/>
              <w:ind w:start="113" w:end="113"/>
              <w:jc w:val="both"/>
              <w:rPr>
                <w:lang w:val="fr-FR"/>
              </w:rPr>
            </w:pPr>
            <w:r>
              <w:rPr>
                <w:rFonts w:eastAsia="SimSun;宋体" w:cs="Arial"/>
                <w:sz w:val="22"/>
                <w:szCs w:val="22"/>
                <w:lang w:val="en-US" w:eastAsia="en-US" w:bidi="en-US"/>
              </w:rPr>
              <w:t>Géants et dragons processionnels de Belgique et de France (2008)</w:t>
              <w:br/>
              <w:br/>
              <w:t>La tradition du tracé dans la charpente française (2009)</w:t>
              <w:br/>
              <w:br/>
              <w:t>La tapisserie d'Aubusson (2009)</w:t>
              <w:br/>
              <w:br/>
              <w:t>Le Maloya (2009)</w:t>
              <w:br/>
              <w:br/>
              <w:t>Le savoir-faire de la dentelle au point d’Alençon (2010)</w:t>
              <w:br/>
              <w:br/>
              <w:t>Le repas gastronomique des Français (2010)</w:t>
              <w:br/>
              <w:br/>
              <w:t>Le compagnonnage, réseau de transmission des savoirs et des identités par le métier (2010)</w:t>
              <w:br/>
              <w:br/>
              <w:t>L’équitation de tradition française (2011)</w:t>
              <w:br/>
              <w:br/>
              <w:t>Le fest-noz, rassemblement festif basé sur la pratique collective des danses traditionnelles de Bretagne (2012)</w:t>
              <w:br/>
              <w:br/>
              <w:t>La fauconnerie, un patrimoine humain vivant (2010 et 2012, dossier multinational)</w:t>
              <w:b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A.5.</w:t>
            </w:r>
          </w:p>
        </w:tc>
        <w:tc>
          <w:tcPr>
            <w:tcW w:w="9078" w:type="dxa"/>
            <w:tcBorders>
              <w:top w:val="single" w:sz="4" w:space="0" w:color="000000"/>
              <w:bottom w:val="single" w:sz="4" w:space="0" w:color="000000"/>
              <w:end w:val="single" w:sz="4" w:space="0" w:color="000000"/>
            </w:tcBorders>
            <w:shd w:fill="E0E0E0" w:val="clear"/>
          </w:tcPr>
          <w:p>
            <w:pPr>
              <w:pStyle w:val="Normal"/>
              <w:tabs>
                <w:tab w:val="clear" w:pos="680"/>
                <w:tab w:val="left" w:pos="567" w:leader="none"/>
              </w:tabs>
              <w:snapToGrid w:val="false"/>
              <w:spacing w:before="120" w:after="120"/>
              <w:ind w:start="113" w:end="113"/>
              <w:rPr/>
            </w:pPr>
            <w:r>
              <w:rPr>
                <w:rFonts w:eastAsia="SimSun;宋体" w:cs="Arial"/>
                <w:b/>
                <w:sz w:val="22"/>
                <w:szCs w:val="22"/>
                <w:lang w:val="fr-FR" w:eastAsia="en-US" w:bidi="en-US"/>
              </w:rPr>
              <w:t>Programmes, projets ou activités considérés comme les plus conformes aux principes et objectifs de la Convention</w:t>
            </w:r>
            <w:r>
              <w:rPr>
                <w:rFonts w:eastAsia="SimSun;宋体" w:cs="Arial"/>
                <w:b/>
                <w:bCs/>
                <w:sz w:val="22"/>
                <w:szCs w:val="22"/>
                <w:lang w:val="fr-FR" w:eastAsia="en-US" w:bidi="en-US"/>
              </w:rPr>
              <w:t>, le cas échéant</w:t>
            </w:r>
          </w:p>
          <w:p>
            <w:pPr>
              <w:pStyle w:val="Info2"/>
              <w:keepNext w:val="true"/>
              <w:spacing w:lineRule="exact" w:line="260" w:before="0" w:after="120"/>
              <w:jc w:val="both"/>
              <w:rPr/>
            </w:pPr>
            <w:r>
              <w:rPr>
                <w:rFonts w:eastAsia="SimSun;宋体"/>
                <w:lang w:val="fr-FR"/>
              </w:rPr>
              <w:t>Veuillez établir la liste de tous les programmes, projets ou activités de votre pays que le Comité a décidé de promouvoir en vertu de l’article 18, en indiquant en quelle année ils ont été sélectionnés ; pour ce qui est des éléments multinationaux, veuillez indiquer quels autres États sont concernés.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before="120" w:after="120"/>
              <w:ind w:start="113" w:end="113"/>
              <w:rPr>
                <w:rFonts w:eastAsia="SimSun;宋体" w:cs="Arial"/>
                <w:sz w:val="22"/>
                <w:szCs w:val="22"/>
                <w:lang w:val="en-US" w:eastAsia="en-US" w:bidi="en-US"/>
              </w:rPr>
            </w:pPr>
            <w:r>
              <w:rPr>
                <w:rFonts w:eastAsia="SimSun;宋体" w:cs="Arial"/>
                <w:sz w:val="22"/>
                <w:szCs w:val="22"/>
                <w:lang w:val="en-US" w:eastAsia="en-US" w:bidi="en-US"/>
              </w:rPr>
              <w:t>Sans objet en 2012</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A.6.</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bCs w:val="false"/>
                <w:lang w:val="fr-FR"/>
              </w:rPr>
            </w:pPr>
            <w:r>
              <w:rPr>
                <w:bCs w:val="false"/>
                <w:lang w:val="fr-FR"/>
              </w:rPr>
              <w:t>Synthèse du rapport</w:t>
            </w:r>
          </w:p>
          <w:p>
            <w:pPr>
              <w:pStyle w:val="Info2"/>
              <w:rPr>
                <w:rFonts w:eastAsia="SimSun;宋体"/>
                <w:bCs/>
                <w:lang w:val="fr-FR"/>
              </w:rPr>
            </w:pPr>
            <w:r>
              <w:rPr>
                <w:rFonts w:eastAsia="SimSun;宋体"/>
                <w:bCs/>
                <w:lang w:val="fr-FR"/>
              </w:rPr>
              <w:t>Veuillez fournir une synthèse du rapport, qui permette au grand public de comprendre l’état d’avancement général des mesures prises au niveau national pour mettre en œuvre la Convention.</w:t>
            </w:r>
          </w:p>
          <w:p>
            <w:pPr>
              <w:pStyle w:val="Info2"/>
              <w:spacing w:before="0" w:after="120"/>
              <w:jc w:val="end"/>
              <w:rPr>
                <w:rFonts w:eastAsia="SimSun;宋体"/>
                <w:bCs/>
              </w:rPr>
            </w:pPr>
            <w:r>
              <w:rPr>
                <w:rFonts w:eastAsia="SimSun;宋体"/>
                <w:bCs/>
              </w:rPr>
              <w:t>500 mots au maximum.</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before="120" w:after="120"/>
              <w:ind w:start="113" w:end="113"/>
              <w:jc w:val="both"/>
              <w:rPr/>
            </w:pPr>
            <w:r>
              <w:rPr>
                <w:rFonts w:eastAsia="SimSun;宋体" w:cs="Arial"/>
                <w:sz w:val="22"/>
                <w:szCs w:val="22"/>
                <w:lang w:val="en-US" w:eastAsia="en-US" w:bidi="en-US"/>
              </w:rPr>
              <w:t>La France a abordé la mise en œuvre de la convention de 2003 dans une situation originale qui mêlait acquis de l'expérience et évolutions radicales. En effet, ce pays pouvait se prévaloir d'une expérience ancienne en matière de recherches ethnologiques sur son territoire, favorisées dès les années 1980 par la mise en place d'une mission spécifique au sein du ministère de la culture. En outre, le champ du patrimoine culturel immatériel est couvert par un réseau de réseaux associatifs anciens et dynamiques, habiles à allier pratique des éléments du PCI et recherche appliquée, diffusion et action culturelle.</w:t>
              <w:br/>
              <w:br/>
              <w:t>Avec la convention de 2003, pour la première fois, la France s'est dotée d'un instrument de droit international contraignant dans le domaine du patrimoine culturel immatériel. L'administration du ministère de la culture et de la communication s'est appliquée à mettre en œuvre les obligations incombant à chaque Etat partie, à commencer par la mise en place d'un inventaire, exercice qui présentait un caractère assez nouveau, en dépit de la réalisation de nombreuses initiatives partielles. De même, à partir de 2008, la France a régulièrement procédé à des inscriptions sur les listes du PCI de l'UNESCO. Ces listes ont suscité un réel engouement, d'autant plus qu'elles sont apparues à de nombreux acteurs de terrain non comme un label gratifiant mais dépourvu d'engagements, mais bien comme un outil de connaissance, de valorisation et de sauvegarde d'un genre nouveau et qui faisait auparavant défaut pour ce patrimoine. Cet enthousiasme explique le nombre important de dossiers soumis, et, parfois, leur caractère quelque peu atypique en regard des standards de la convention. Le ministère a également accordé une attention toute particulière à la recherche sur le patrimoine culturel immatériel en tant que politique, dans un esprit de critique scientifique.</w:t>
              <w:br/>
              <w:br/>
              <w:t>Les réseaux associatifs et les collectivités territoriales ont pris une part croissante dans la mise en œuvre de la convention, dépassant les objectifs ponctuels que sont les inscriptions sur l'inventaire ou les dossiers de candidature, pour traduire en actes dans les politiques culturelles locales les principes et fondements de la convention. Enfin, une tradition éprouvée de coopération internationale dans le domaine de la création artistique et de la sauvegarde des patrimoines sous toutes leurs formes a permis le développements rapides de contacts, tant au niveau européen qu'au plan international, la convention constituant de ce point de vue un excellent facilitateur de réseaux.</w:t>
              <w:br/>
              <w:br/>
              <w:t>Six ans après la ratification, nombreux sont les efforts accomplis, mais des lacunes demeurent, notamment pour une plus grande mise en cohérence des activités relevant du PCI entre les différents secteurs de l'administration ou de la société civile (associations), afin de développer des synergies efficaces et de mettre en place des actions transversales. Des réflexions prospectives sont en cours sur ces questions.</w:t>
            </w:r>
          </w:p>
        </w:tc>
      </w:tr>
      <w:tr>
        <w:trPr/>
        <w:tc>
          <w:tcPr>
            <w:tcW w:w="780" w:type="dxa"/>
            <w:tcBorders>
              <w:top w:val="single" w:sz="4" w:space="0" w:color="000000"/>
              <w:start w:val="single" w:sz="4" w:space="0" w:color="000000"/>
              <w:bottom w:val="single" w:sz="4" w:space="0" w:color="000000"/>
            </w:tcBorders>
            <w:shd w:fill="CCCCCC" w:val="clear"/>
          </w:tcPr>
          <w:p>
            <w:pPr>
              <w:pStyle w:val="Grille01"/>
              <w:snapToGrid w:val="false"/>
              <w:spacing w:before="120" w:after="120"/>
              <w:jc w:val="end"/>
              <w:rPr/>
            </w:pPr>
            <w:r>
              <w:rPr/>
              <w:t>B.</w:t>
            </w:r>
          </w:p>
        </w:tc>
        <w:tc>
          <w:tcPr>
            <w:tcW w:w="9078" w:type="dxa"/>
            <w:tcBorders>
              <w:top w:val="single" w:sz="4" w:space="0" w:color="000000"/>
              <w:bottom w:val="single" w:sz="4" w:space="0" w:color="000000"/>
              <w:end w:val="single" w:sz="4" w:space="0" w:color="000000"/>
            </w:tcBorders>
            <w:shd w:fill="CCCCCC" w:val="clear"/>
          </w:tcPr>
          <w:p>
            <w:pPr>
              <w:pStyle w:val="Grille01"/>
              <w:snapToGrid w:val="false"/>
              <w:spacing w:before="120" w:after="120"/>
              <w:rPr>
                <w:rFonts w:eastAsia="SimSun;宋体" w:cs="Arial"/>
                <w:bCs/>
                <w:szCs w:val="22"/>
                <w:lang w:val="fr-FR"/>
              </w:rPr>
            </w:pPr>
            <w:r>
              <w:rPr>
                <w:rFonts w:eastAsia="SimSun;宋体" w:cs="Arial"/>
                <w:bCs/>
                <w:szCs w:val="22"/>
                <w:lang w:val="fr-FR"/>
              </w:rPr>
              <w:t>Mesures prises en application de la Convention</w:t>
            </w:r>
          </w:p>
          <w:p>
            <w:pPr>
              <w:pStyle w:val="Info2"/>
              <w:keepNext w:val="true"/>
              <w:spacing w:lineRule="exact" w:line="260" w:before="0" w:after="120"/>
              <w:jc w:val="both"/>
              <w:rPr/>
            </w:pPr>
            <w:r>
              <w:rPr>
                <w:rFonts w:eastAsia="SimSun;宋体"/>
                <w:lang w:val="fr-FR"/>
              </w:rPr>
              <w:t>Dans toute la partie B, ci-dessous, on entend par « mesures » les mesures juridiques, techniques, administratives et financières appropriées prises par l’État ou par la société civile – communautés, groupes, voire, lorsque c’est approprié, individus – sous l’impulsion de l’État. L’État doit décrire, chaque fois que c’est pertinent, les efforts qu’il déploie pour assurer la plus large participation possible des communautés, des groupes et, le cas échéant, des individus qui créent, entretiennent et transmettent des éléments de patrimoine culturel immatériel et pour les impliquer de près dans leur gestion (article 15 de la Convention).</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B.1.</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Capacités institutionnelles de sauvegarde du patrimoine culturel immatériel</w:t>
            </w:r>
          </w:p>
          <w:p>
            <w:pPr>
              <w:pStyle w:val="Info2"/>
              <w:spacing w:before="0" w:after="120"/>
              <w:rPr>
                <w:lang w:val="fr-FR"/>
              </w:rPr>
            </w:pPr>
            <w:r>
              <w:rPr>
                <w:lang w:val="fr-FR"/>
              </w:rPr>
              <w:t>Rapport sur les mesures visant à renforcer les capacités institutionnelles de sauvegarde du patrimoine culturel immatériel, comme indiqué à l’article 13 de la Convention et au paragraphe 99 des Directives opérationnelles.</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B.1a</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Organismes compétents pour la sauvegarde du patrimoine culturel immatériel</w:t>
            </w:r>
          </w:p>
          <w:p>
            <w:pPr>
              <w:pStyle w:val="Info2"/>
              <w:keepNext w:val="true"/>
              <w:spacing w:lineRule="exact" w:line="260" w:before="0" w:after="120"/>
              <w:jc w:val="both"/>
              <w:rPr/>
            </w:pPr>
            <w:r>
              <w:rPr>
                <w:lang w:val="fr-FR"/>
              </w:rPr>
              <w:t>Chaque État doit « désigner ou établir un ou plusieurs organismes compétents pour la sauvegarde du patrimoine culturel immatériel présent sur son territoire » (article 13). Veuillez indiquer à quelle(s) entité(s) cette responsabilité a été confiée et en communiquer les coordonnées complètes.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before="120" w:after="120"/>
              <w:ind w:start="113" w:end="113"/>
              <w:jc w:val="both"/>
              <w:rPr>
                <w:rFonts w:eastAsia="SimSun;宋体" w:cs="Arial"/>
                <w:sz w:val="22"/>
                <w:szCs w:val="22"/>
                <w:lang w:val="fr-FR" w:eastAsia="en-US" w:bidi="en-US"/>
              </w:rPr>
            </w:pPr>
            <w:r>
              <w:rPr>
                <w:rFonts w:eastAsia="SimSun;宋体" w:cs="Arial"/>
                <w:sz w:val="22"/>
                <w:szCs w:val="22"/>
                <w:lang w:val="en-US" w:eastAsia="en-US" w:bidi="en-US"/>
              </w:rPr>
              <w:t>Le Centre français du patrimoine culturel immateriel (CFPCI : http://www.cfpci.fr/)</w:t>
              <w:br/>
              <w:t xml:space="preserve">Selon l'article 13 de la Convention pour la sauvegarde du PCI, il appartient à chaque État « de désigner ou d’établir un ou plusieurs organismes compétents pour la sauvegarde du patrimoine culturel immatériel présent sur son territoire  ». Par lettre du 29 novembre 2010 à la Directrice générale de l'UNESCO, Frédéric Mitterrand a établi le centre de documentation de la Maison des cultures du Monde (MCM, ONG française accréditée auprès de l'UNESCO pour la sauvegarde du PCI) comme Centre français du PCI. La MCM a procédé au recrutement d'une directrice, Madame Séverine Cachat, docteur en anthropologie, à l'issue d'un jury de recrutement auquel ont pris part plusieurs représentants du MCC. </w:t>
              <w:br/>
              <w:br/>
              <w:t>Structuration du Centre</w:t>
              <w:br/>
              <w:br/>
              <w:t>Situation institutionnelle et budgétaire</w:t>
              <w:br/>
              <w:t>Le CFPCI ne constitue pas une association autonome et n'a pas de personnalité juridique. Il demeure une antenne de la Maison des Cultures du Monde et son budget n'est pas distinct de celui de l'association. Le CFPCI participe également depuis 2012 aux inventaires du PCI en France (obligation pour les États selon l'article 12 de la Convention) et a été retenu dans le cadre de l'appel à projets 2012 des inventaires pour une enquête sur les géants et dragons processionnels en France.</w:t>
              <w:br/>
              <w:br/>
              <w:t>Personnels</w:t>
              <w:br/>
              <w:t>Le centre compte quatre personnes à Vitré (une directrice, une documentaliste, une médiatrice culturelle, une personne chargée des expositions et de la diffusion). Ces effectifs modestes sont renforcés par la participation annuelle d’un nombre important de stagiaires à ses travaux. En outre, le centre bénéficie de l'organisation et de la structure de l'ensemble de la MCM pour les fonctions support (administration, comptabilité, communication) et pour nombre de ses activités : développement du site Internet, organisation de colloques, rencontres, spectacles, publications.</w:t>
              <w:br/>
              <w:br/>
              <w:t>Missions</w:t>
              <w:br/>
              <w:br/>
              <w:t>Relation avec la maison-mère</w:t>
              <w:br/>
              <w:t>Le positionnement du centre par rapport à l'ensemble des activités de la MCM est très spécifique : alors que la MCM (Paris) a pour mission de faire connaître au public français la diversité des cultures du monde et leur patrimoine immatériel, le CFPCI s'attache à développer la connaissance et la valorisation du PCI présent en France. Dans un contexte international de mise en œuvre de la Convention marqué par l'importance du dialogue interculturel, ce chassé-croisé est particulièrement efficace : le centre a d'emblée bénéficié des réseaux de connaissance et d'échanges qui sont ceux de la MCM, en même temps que de la notoriété de cette association auprès des institutions culturelles de notre pays.</w:t>
              <w:br/>
              <w:br/>
              <w:t>Missions propres</w:t>
              <w:br/>
              <w:t xml:space="preserve">Le CFPCI travaille à l'enrichissement des connaissances du PCI en France, à la diffusion et à la valorisation de celui-ci, à l'organisation et à l'animation des réseaux actifs dans ce domaine (par exemple : organisation de la première réunion des représentants des éléments inscrits sur les listes en France, rassemblement des informations en vue des rapports périodiques pour l'UNESCO). Il accompagne l'administration du MCC dans le repérage, le suivi et l'évaluation des candidatures possibles, il assure, en partenariat avec les services du MCC le suivi post-inscription des éléments. Il développe des activités scientifiques de recherche et de réflexion collective (séminaires) et devrait bénéficier prochainement d'une collection de publications pour diffuser les résultats de ces travaux. </w:t>
              <w:br/>
              <w:br/>
              <w:t>Évaluations et perspectives</w:t>
              <w:br/>
              <w:t>La mise en place du CFPCI a constitué une étape importante dans la mise en œuvre de la Convention, renforçant le partenariat entre le MCC et la MCM, dotant l'administration d'un partenaire efficace. La labellisation comme ethnopôle, souhaitée par le CFPCI et la MCM, est un moyen approprié de fixer les termes de ce partenariat scientifique sur la sauvegarde du PCI. Le CFPCI sera observateur lors du prochain séminaire des ethnopôles en juin 2013. Le centre doit développer ses outils de diffusion (site Internet et collection de publications électroniques).</w:t>
              <w:br/>
              <w:br/>
              <w:t xml:space="preserve">Adresse : </w:t>
              <w:br/>
              <w:t>Centre français du patrimoine culturel immatériel</w:t>
              <w:br/>
              <w:t>Prieuré des Bénédictins</w:t>
              <w:br/>
              <w:t>2 rue des Bénédictins</w:t>
              <w:br/>
              <w:t>35500 VITRE</w:t>
              <w:br/>
              <w:t>[téléphone retiré]</w:t>
              <w:br/>
              <w:t>contact : [courriel retiré]</w:t>
              <w:br/>
              <w:t>site : http://www.cfpci.fr/</w:t>
              <w:br/>
              <w:t>direction : Mme Séverine Cachat</w:t>
              <w:br/>
              <w:br/>
              <w:t>Ministère de la culture et de la communication (direction générale des patrimoines)</w:t>
              <w:br/>
              <w:br/>
              <w:t xml:space="preserve">Au sein du ministère de la culture et de la communication, la direction générale des patrimoines (département du pilotage de la recherche et de la politique scientifique) est en charge de la mise en œuvre par l'Etat de la convention de l'UNESCO pour la sauvegarde du patrimoine culturel immatériel. </w:t>
              <w:br/>
              <w:br/>
              <w:t>Réglementation administrative</w:t>
              <w:br/>
              <w:br/>
              <w:t xml:space="preserve">L'arrêté du 17 novembre 2009 relatif à l'organisation et aux missions de la direction générale des patrimoines fixe les missions de la direction générale dans le domaine de l'ethnologie et du patrimoine culturel immatériel : </w:t>
              <w:br/>
              <w:br/>
              <w:t>« La direction générale des patrimoines a pour mission principale de sauvegarder et de transmettre aux générations futures les œuvres du passé et du présent. Elle favorise la création architecturale et veille à la promotion de la qualité architecturale et paysagère dans les espaces naturels et bâtis.</w:t>
              <w:br/>
              <w:t>Elle vise à garantir dans des conditions optimales l’étude, la protection, la conservation et la valorisation des biens culturels protégés au titre des codes du patrimoine et de l’urbanisme : monuments, jardins, patrimoine archéologique et immatériel, collections muséographiques, archives publiques, etc. »</w:t>
              <w:br/>
              <w:br/>
              <w:t>L'arrêté du 17 novembre 2009 relatif aux missions et à l’organisation de la direction générale des patrimoines a chargé le département du pilotage de la recherche et de la politique scientifique « de la coordination de la recherche dans les domaines de compétence de la direction et de son pilotage dans les domaines de l'archéologie, des archives, de l'ethnologie et du patrimoine immatériel, du patrimoine architectural et mobilier, des espaces protégés ainsi que des musées.</w:t>
              <w:br/>
              <w:t>A ce titre, le DPRPS est amené, en concertation étroite avec les services et en coordination avec le secrétariat général, à élaborer les schémas directeurs de la recherche dans ces domaines, à définir les objectifs transversaux de recherche, à définir la politique de recherche de la direction générale des patrimoines et à en évaluer les résultats. Pour mener à bien cette mission un comité de la recherche a été créé dont le département du pilotage de la recherche et de la politique scientifique assure l'animation et le secrétariat.</w:t>
              <w:br/>
              <w:t>Le Département du pilotage de la recherche et de la politique scientifique est en charge de la définition et de la conduite de la politique de recherche sur les patrimoines de la direction générale des patrimoines. Il est spécifiquement en charge de la conduite des actions dans le domaine du patrimoine ethnologique et pilote la mise en œuvre de la convention de l’UNESCO pour la sauvegarde du Patrimoine culturel immatériel (PCI) »</w:t>
              <w:br/>
              <w:br/>
              <w:t>Effectifs</w:t>
              <w:br/>
              <w:br/>
              <w:t>Au sein du département du pilotage de la recherche et de la politique scientifique, deux personnes sont affectées au service de l'ethnologie et du patrimoine culturel immatériel, l'adjoint au chef du département et une chargée de mission. Cet effectif correspond à un équivalent temps plein (ETP) de 1,5 agents, compte tenu du fait que ces deux personnes accomplissent également un certain nombre de missions relatives à l'activité générale du département (politique de recherche transversale de la direction générale). Une partie du temps de travail de la secrétaire gestionnaire du service est consacrée aux questions relatives à l'ethnologie et au PCI.</w:t>
              <w:br/>
              <w:br/>
              <w:t xml:space="preserve">Au sein des directions régionales des Affaires culturelles sont parfois présents des conseillers pour l'ethnologie ou ethnologues régionaux, actuellement au nombre de 6, représentant un équivalent temps plein de 5 agents : Franche Comté, Rhône Alpes, Languedoc Roussillon, Midi Pyrénées, Haute Normandie et Basse Normandie. Ceux-ci sont en charge le cas échéant des affaires relatives au PCI. </w:t>
              <w:br/>
              <w:br/>
              <w:t>Enfin des correspondants régionaux pour le PCI sont en voie de mise en place au sein des directions régionales des affaires culturelles qui ne sont pas dotées d'un conseiller pour l'ethnologie (deux correspondants désignés en décembre 2012 : Aquitaine et Nord - Pas-de-Calais)</w:t>
              <w:br/>
              <w:br/>
              <w:t>Missions</w:t>
              <w:br/>
              <w:br/>
              <w:t xml:space="preserve">De 2006 à 2009 la mission du patrimoine ethnologique, puis à partir de 2010 le département du pilotage de la recherche et de la politique scientifique, est en charge de la mise en œuvre de la convention. </w:t>
              <w:br/>
              <w:br/>
              <w:t>Cette mise en œuvre s'articule autour de 4 axes : conduite des opérations d'inventaires au niveau national), suivi et instruction des projets de candidatures à l'UNESCO (ainsi que la participation aux instances internationales compétentes), information et sensibilisation à la convention auprès des groupes, communautés et ONG concernées, ainsi que des administrations et universités ou centres de recherche concernés par la convention, développement de la recherche anthropologique sur le patrimoine culturel immatériel en tant qu'objet d'étude ethnologique. Ce panel d’activités est étroitement en relation avec la conduite d'une politique en faveur de la recherche en ethnologie de la France conduite par le ministère de la culture depuis 1980 à travers les travaux du conseil du patrimoine ethnologique et de la mission du patrimoine ethnologique.</w:t>
              <w:br/>
              <w:br/>
              <w:t xml:space="preserve">De 2006 à 2012, la mission du patrimoine ethnologique puis le département du pilotage de la recherche et de la politique scientifique ont animé le comité technique du patrimoine culturel immatériel, instance consultative informelle mise en place par la direction de l'architecture et du patrimoine afin d'informer les services concernés par le PCI et de mettre en place une coordination minimale entre eux. L'arrêté du 5 mars 2012 a institué auprès du directeur général des patrimoines un comité du patrimoine ethnologique et immatériel, actuellement en cours de formation, dont les missions sont plus précisément dédiées à la mise en œuvre de la convention de 2003 : </w:t>
              <w:br/>
              <w:br/>
              <w:t xml:space="preserve">« Le comité du patrimoine ethnologique et immatériel conseille le ministre sur l’ensemble des questions relatives à l’application, sur le territoire national, de la convention nationale du patrimoine culturel immatériel susvisée. </w:t>
              <w:br/>
              <w:br/>
              <w:t>À ce titre, le comité :</w:t>
              <w:br/>
              <w:br/>
              <w:t>1° Est saisi, pour examen ou avis, des inscriptions sur les inventaires du patrimoine culturel immatériel prévus par l’article 12 de cette convention, ainsi que sur les dossiers de candidature pour l’inscription sur les listes prévues aux articles 16 et 17 ;</w:t>
              <w:br/>
              <w:br/>
              <w:t xml:space="preserve">2° Est consulté sur les actions de protection et de conservation des biens ethnologiques ou immatériels, et, en particulier, sur la création et la suppression de collections publiques d’objets et documents ethnologiques ; </w:t>
              <w:br/>
              <w:br/>
              <w:t xml:space="preserve">3° Peut être consulté sur le classement ou l’inscription au titre des monuments historiques, ou le classement comme archive historique, de bâtiments, d’objets ou de documents à caractère ethnologique ou témoins du patrimoine immatériel quel que soit leur support ; </w:t>
              <w:br/>
              <w:br/>
              <w:t>4° Étudie, à la demande du ministre, les conditions d’application au patrimoine ethnologique et immatériel des dispositions législatives et réglementaires existantes et propose, en tant que de besoin, l’adoption de mesures adaptées à la nature des biens et faits culturels considérés, en vue de leur protection et de leur mise en valeur ;</w:t>
              <w:br/>
              <w:br/>
              <w:t>5° Se prononce sur l’intérêt scientifique des enquêtes, collectes et recherches en relation avec le patrimoine ethnologique et immatériel portées à sa connaissance et veille à l’exploitation des données ainsi recueillies. »</w:t>
              <w:br/>
              <w:br/>
              <w:t xml:space="preserve">Adresse : </w:t>
              <w:br/>
              <w:t>Ministère de la culture et de la communication</w:t>
              <w:br/>
              <w:t>Direction générale des patrimoines</w:t>
              <w:br/>
              <w:t>Département du pilotage de la recherche et de la politique scientifique</w:t>
              <w:br/>
              <w:t>6 rue des Pyramides</w:t>
              <w:br/>
              <w:t>75 001 Paris</w:t>
              <w:br/>
              <w:t>Chef du département : Monsieur Pascal Liévaux</w:t>
              <w:br/>
              <w:t>Adjoint au chef du département : Monsieur Christian Hottin</w:t>
              <w:br/>
              <w:t>Chargée de mission : Madame Sylvie Grenet</w:t>
              <w:br/>
              <w:br/>
              <w:t xml:space="preserve">Site : </w:t>
              <w:br/>
              <w:t xml:space="preserve">http://www.culturecommunication.gouv.fr/Politiques-ministerielles/Connaissances-des-patrimoines-et-de-l-architecture </w:t>
              <w:br/>
              <w:t xml:space="preserve">http://www.culturecommunication.gouv.fr/Disciplines-et-secteurs/Patrimoine-ethnologique </w:t>
              <w:br/>
              <w:t>http://www.culturecommunication.gouv.fr/Disciplines-et-secteurs/Patrimoine-culturel-immateriel</w:t>
              <w:br/>
              <w:t>Ministère de la culture et de la communication (autres directions et services)</w:t>
              <w:br/>
              <w:t xml:space="preserve">De manière plus ponctuelle, la plupart des services du ministère de la culture et de la communication peuvent se trouver en charge de dossiers et projets relatifs à la mise en œuvre de la convention de 2003. </w:t>
              <w:br/>
              <w:t>En effet, le champ couvert par la convention estréparti entre plusieurs services au sein de l'administration culturelle. On retiendra plus particulièrement ici la direction générale de la création artistique (DGCA : au titre du soutien au centres de musiques et danses traditionnelles ou au titre du soutien aux savoir-faire traditionnels, tels que les ateliers conservatoires de dentelle ou les maîtres d'art), la délégation générale à la langue française et aux langues de France (DGLFLF : au titre du soutien aux langues régionales), la direction générale des médias et des industries culturelles (DGMIC, par le biais de la bibliothèque nationale de France qui a dans son groupement de pôles associés plusieurs centres de musiques et danses traditionnelles) et enfin le secrétariat général du ministère (au titre des affaires internationales et du soutien à la Maison des cultures du monde)</w:t>
              <w:b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lang w:val="fr-FR"/>
              </w:rPr>
            </w:pPr>
            <w:r>
              <w:rPr>
                <w:lang w:val="fr-FR"/>
              </w:rPr>
              <w:t>B.1b</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Institutions de formation à la gestion du patrimoine culturel immatériel</w:t>
            </w:r>
          </w:p>
          <w:p>
            <w:pPr>
              <w:pStyle w:val="Info2"/>
              <w:keepNext w:val="true"/>
              <w:spacing w:lineRule="exact" w:line="260" w:before="0" w:after="120"/>
              <w:jc w:val="both"/>
              <w:rPr/>
            </w:pPr>
            <w:r>
              <w:rPr>
                <w:rFonts w:eastAsia="SimSun;宋体"/>
                <w:lang w:val="fr-FR"/>
              </w:rPr>
              <w:t>Indiquez quelles institutions de ce type ont été créées, sont nées à l’initiative de l’État ou ont été renforcées par lui et communiquez leurs coordonnées complètes.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rFonts w:cs="Arial"/>
                <w:lang w:val="fr-FR"/>
              </w:rPr>
            </w:pPr>
            <w:r>
              <w:rPr>
                <w:lang w:val="fr-FR"/>
              </w:rPr>
              <w:t xml:space="preserve">On ne reviendra pas dans cette partie sur les nombreuses formations en ethnologie et anthropologie qui existent en France tant dans les Universités que dans les grandes écoles ou les grands établissements d'enseignement supérieur et de recherche. Celles-ci peuvent, à des titres divers, couvrir telle ou telle partie du champ d'investigation de la Convention, sans pour autant être directement concernées par la mise en œuvre de ses principes. Une liste de ces formations est disponible à l'adresse suivante : http://www.culturecommunication.gouv.fr/Disciplines-et-secteurs/Patrimoine-ethnologique/Formations/Formations-en-France </w:t>
              <w:br/>
              <w:t>Formations universitaires</w:t>
              <w:br/>
              <w:br/>
              <w:t>La France dispose de deux formations universitaires spécifiquement dédiées au patrimoine culturel immatériel.</w:t>
              <w:br/>
              <w:br/>
              <w:t>Université de Tours</w:t>
              <w:br/>
              <w:br/>
              <w:t>L’université François Rabelais de Tours a mis en place en 2012 une formation spécifique au PCI en France. Celle-ci prend la forme d'un Master professionnel et accueille pour sa première promotion une quinzaine d'étudiants.</w:t>
              <w:br/>
              <w:br/>
              <w:t>Cette formation entend répondre à l’émergence du concept de Patrimoine immatériel consacré par la Convention pour la sauvegarde du patrimoine culturel immatériel (PCI) de l’UNESCO. Elle a pour but de former à l’inventaire, la conservation et la valorisation du PCI : savoir-faire artistiques (musique, arts de la scène), savoir-faire professionnels et techniques, biens culturels artistiques ou architecturaux.</w:t>
              <w:br/>
              <w:t>Son objectif est de former des étudiants capables de faire preuve d’adaptabilité face à la nature vaste, complexe et protéiforme du PCI, celui-ci se manifestant notamment – selon la définition de l’UNESCO – dans les traditions et expressions orales, dans les arts du spectacle, dans les pratiques sociales, rituels et événements festifs, dans les connaissances et pratiques concernant la nature et l’univers, ou encore dans les savoir-faire liés à l’artisanat traditionnel. Cette formation confère la capacité à prendre en charge des projets culturels liés au PCI de toutes natures en dotant les étudiants d’outils intellectuels et méthodologiques spécifiques à ce domaine. En dehors des connaissances théoriques, la spécialité PCI développe des compétences techniques spécifiques – méthodologie des inventaires, diffusion et promotion du patrimoine immatériel, traitement des données audio et vidéo, édition internet – ou plus transversales : droit et patrimoine, droit administratif et droit des collectivités, montage de projet.</w:t>
              <w:br/>
              <w:t xml:space="preserve">Les stages constituent une composante essentielle de l’évaluation finale. </w:t>
              <w:br/>
              <w:br/>
              <w:t xml:space="preserve">Plus d'informations : </w:t>
              <w:br/>
              <w:t>http://www.univ-tours.fr/page-introuvable-2148.kjsp?RH=ACCUEIL</w:t>
              <w:br/>
              <w:t xml:space="preserve">Université François-Rabelais </w:t>
              <w:br/>
              <w:t>60 rue du Plat d'Etain</w:t>
              <w:br/>
              <w:t>BP 12050</w:t>
              <w:br/>
              <w:t>37020 Tours Cedex 1</w:t>
              <w:br/>
              <w:t xml:space="preserve">France </w:t>
              <w:br/>
              <w:t xml:space="preserve">Téléphone : [téléphone retiré] </w:t>
              <w:br/>
              <w:br/>
              <w:t>Université de Strasbourg</w:t>
              <w:br/>
              <w:br/>
              <w:t xml:space="preserve">L’université de Strasbourg propose quant à elle une formation en  Master II, mention Anthropologie et ethnologie, spécialité "Patrimoines immatériels et collections". </w:t>
              <w:br/>
              <w:br/>
              <w:t>Ce master propose une formation professionnalisante pour les personnes qui souhaitent s’orienter vers les métiers de la culture en général et particulièrement de ceux du patrimoine et de la muséographie. Il s’adresse aussi aux professionnels des domaines d’activité cités désirant poursuivre leur formation ainsi qu’aux personnes qui souhaitent réorienter leur parcours professionnel.</w:t>
              <w:br/>
              <w:t>Bien qu’étant un diplôme professionnel, ce master offre la possibilité de poursuivre des études doctorales. Aussi, il est adapté pour les étudiants qui hésitent encore quant à leur choix.</w:t>
              <w:br/>
              <w:br/>
              <w:t xml:space="preserve">Plus d'informations : </w:t>
              <w:br/>
              <w:t>http://sspsd.u-strasbg.fr/</w:t>
              <w:br/>
              <w:br/>
              <w:t>Université de Strasbourg – 4 rue Blaise Pascal – CS 90032 – F-67081 Strasbourg cedex - 2009</w:t>
              <w:br/>
              <w:br/>
              <w:t>Universités proposant des formations ponctuelles dans le cadre d'autres cursus</w:t>
              <w:br/>
              <w:br/>
              <w:t>En outre, des formations ponctuelles sont délivrées à l'Université de Picardie Jules Verne (master Patrimoine et médiation culturelle), à l’Université de Rennes 2, à l'Université Paris 10 Nanterre (Master ethnochoréologie), à l'Université de Pau et des Pays de l'Adour et à l’Université Paris 1 Panthéon Sorbonne (master Patrimoine).</w:t>
              <w:br/>
              <w:br/>
              <w:t>Universités de Toulouse et Montpellier</w:t>
              <w:br/>
              <w:br/>
              <w:t>Enfin, L'Université Paul-Valéry Montpellier 3, l'Université Toulouse 3 – Le Mirail et l'Université de Barcelone ont mis en place un Master indifférencié (Professionnel et recherche) dédié au PCI qui sera opérationnel à partir de la rentrée de 2014.</w:t>
              <w:br/>
              <w:br/>
              <w:t>Université de Toulouse</w:t>
              <w:br/>
              <w:t>5 Allée Antonio Machado, 31100 Toulouse, France</w:t>
              <w:br/>
              <w:t xml:space="preserve">[téléphone retiré] </w:t>
              <w:br/>
              <w:br/>
              <w:t>Université de Montpellier</w:t>
              <w:br/>
              <w:t>UNIVERSITÉ PAUL-VALÉRY MONTPELLIER 3</w:t>
              <w:br/>
              <w:t>Route de Mende 34 199 Montpellier Cedex 5</w:t>
              <w:br/>
              <w:t xml:space="preserve">Standard de l'Université : [téléphone retiré] </w:t>
              <w:br/>
              <w:br/>
              <w:t>Formations dispensées dans les grandes écoles et les grands établissements</w:t>
              <w:br/>
              <w:br/>
              <w:t xml:space="preserve">Institut national du patrimoine (INP) : </w:t>
              <w:br/>
              <w:br/>
              <w:t>les élèves conservateurs du patrimoine de l'INP bénéficient dans le cadre de leur formation initiale d'une formation minimale aux objectifs et principes de la convention pour la sauvegarde du PCI.</w:t>
              <w:br/>
              <w:br/>
              <w:t>INP</w:t>
              <w:br/>
              <w:t>Galerie Colbert</w:t>
              <w:br/>
              <w:t>1 rue Vivienne</w:t>
              <w:br/>
              <w:t>75002 Paris</w:t>
              <w:br/>
              <w:br/>
              <w:t>École nationale des chartes (ENC) :</w:t>
              <w:br/>
              <w:br/>
              <w:t>sur la période 2008-2012, les élèves fonctionnaires stagiaires de l’École nationale des chartes,  qui se destinent aux métiers des archives, des  bibliothèques, des musées et du patrimoine matériel, ont bénéficié d'une formation minimale aux objectifs et principes de la convention pour la sauvegarde du PCI.</w:t>
              <w:br/>
              <w:br/>
              <w:t>Ecole nationale des chartes</w:t>
              <w:br/>
              <w:t>19 rue de la Sorbonne</w:t>
              <w:br/>
              <w:t>75 005 Paris</w:t>
              <w:br/>
              <w:br/>
              <w:t xml:space="preserve">Préparation au concours de l'INP assurée par les universités Paris 1 Panthéon-Sorbonne et Paris 4 Sorbonne : </w:t>
              <w:br/>
              <w:br/>
              <w:t>depuis 2011, les étudiants de la classe préparatoire au concours de conservateur du patrimoine bénéficient d'une formation minimale aux objectifs et principes de la convention de 2003.</w:t>
              <w:br/>
              <w:br/>
              <w:t>INHA</w:t>
              <w:br/>
              <w:t>Galerie Colbert</w:t>
              <w:br/>
              <w:t>1 rue Vivienne</w:t>
              <w:br/>
              <w:t>75002 Paris</w:t>
              <w:br/>
              <w:br/>
              <w:t>Formations dispensées dans le cadre de la formation permanente</w:t>
              <w:br/>
              <w:br/>
              <w:t xml:space="preserve">Le ministère de la culture et de la communication (direction générale des patrimoines) propose depuis 2008 un stage de formation permanente pour les agents publics de l'Etat permettant de saisir les objectifs et actions liés à la convention de 2003, ainsi que la mise en œuvre de la convention par la France. </w:t>
              <w:br/>
              <w:br/>
              <w:t>Ministère de la culture et de la communication</w:t>
              <w:br/>
              <w:t>183 rue Saint-Honoré</w:t>
              <w:br/>
              <w:t>75 033 Paris cedex 01</w:t>
              <w:br/>
              <w:br/>
              <w:t xml:space="preserve">L’institut national du Patrimoine (INP) </w:t>
              <w:br/>
              <w:br/>
              <w:t xml:space="preserve">L'INP a organisé en 2011 un séminaire de formation ouvert aux agents publics de l’État et des collectivités territoriales travaillant dans le secteur de la culture et du patrimoine. Ce séminaire de formation sera repris en 2013 sous la forme d'une journée de formation ouverte. Voir : http://www.culturecommunication.gouv.fr/Disciplines-et-secteurs/Patrimoine-culturel-immateriel/Recherche-et-Formations/Seminaires-et-Formations/Formations-permanentes/Identifier-et-proteger-le-patrimoine-immateriel-14-15-et-16-septembre-2011 </w:t>
              <w:br/>
              <w:br/>
              <w:t>INP</w:t>
              <w:br/>
              <w:t>Galerie Colbert</w:t>
              <w:br/>
              <w:t>1 rue Vivienne</w:t>
              <w:br/>
              <w:t>75002 Paris</w:t>
              <w:br/>
              <w:br/>
              <w:t>ENA</w:t>
              <w:br/>
              <w:br/>
              <w:t xml:space="preserve">L’École nationale d'Administration (ENA) a inclus dans son programme de formation permanente internationale en 2012 et en 2013 une formation minimale aux objectifs et principes de la convention pour la sauvegarde du PCI. </w:t>
              <w:br/>
              <w:br/>
              <w:t>ENA</w:t>
              <w:br/>
              <w:t>2 avenue de l'Observatoire</w:t>
              <w:br/>
              <w:t>75 006 Paris</w:t>
              <w:br/>
              <w:br/>
              <w:t>Aucune de ces formations ne se fait dans le cadre d'une ONG.</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rPr>
                <w:rFonts w:cs="Arial"/>
              </w:rPr>
            </w:pPr>
            <w:r>
              <w:rPr>
                <w:rFonts w:cs="Arial"/>
              </w:rPr>
              <w:t>B.1c</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Institutions de documentation sur le patrimoine culturel immatériel</w:t>
            </w:r>
          </w:p>
          <w:p>
            <w:pPr>
              <w:pStyle w:val="Info2"/>
              <w:keepNext w:val="true"/>
              <w:spacing w:lineRule="exact" w:line="260" w:before="0" w:after="120"/>
              <w:jc w:val="both"/>
              <w:rPr/>
            </w:pPr>
            <w:r>
              <w:rPr>
                <w:rFonts w:eastAsia="SimSun;宋体"/>
                <w:lang w:val="fr-FR"/>
              </w:rPr>
              <w:t>Indiquez quelles institutions de ce type ont été établies par l’État et communiquez leurs coordonnées complètes</w:t>
            </w:r>
            <w:r>
              <w:rPr>
                <w:lang w:val="fr-FR"/>
              </w:rPr>
              <w:t> ; décrivez toute mesure prise par l’État pour faciliter l’accès à ces institutions.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lang w:val="fr-FR"/>
              </w:rPr>
            </w:pPr>
            <w:r>
              <w:rPr>
                <w:rFonts w:cs="Arial"/>
                <w:lang w:val="fr-FR"/>
              </w:rPr>
              <w:t>1. Institutions de documentation</w:t>
              <w:br/>
              <w:br/>
              <w:t xml:space="preserve">Suite à la ratification par la France de la convention de 2003, il n'a pas été mis en place de  centre de documentation spécifique dédié au patrimoine culturel immatériel. </w:t>
              <w:br/>
              <w:br/>
              <w:t xml:space="preserve">La documentation relative au patrimoine culturel immatériel, qu'il s'agisse des objets et autres artefacts ou des enregistrements sonores et vidéos documentant les pratiques liées au PCI est détenue par l'ensemble des institutions culturelles, publiques ou privées, animées par l'Etat ou par les ONG. </w:t>
              <w:br/>
              <w:br/>
              <w:t xml:space="preserve">A ce titre, il faut mentionner un certain nombre d'ONG ou de réseaux particulièrement actifs dans le champ du patrimoine culturel immatériel et détenteurs à ce  titre d'une documentation importante : </w:t>
              <w:br/>
              <w:br/>
              <w:t>La Fédération des écomusées et des musées de société</w:t>
              <w:br/>
              <w:t>http://www.fems.asso.fr/</w:t>
              <w:br/>
              <w:t xml:space="preserve"> </w:t>
              <w:br/>
              <w:t>La Fédération des écomusées et des musées de société, agréée entreprise solidaire, est un réseau d’établissements patrimoniaux innovants, à but non lucratif, impliqués dans l’économie solidaire et le développement local.</w:t>
              <w:br/>
              <w:t>Le réseau fédère des structures existantes ou en préfiguration plaçant l’homme et le territoire au centre de leur projet et s’intéressant aux faits de société tels que l’évolution du monde rural, les cultures urbaines, la recomposition des territoires, le développement durable…</w:t>
              <w:br/>
              <w:t>Avec l’appui d’une équipe professionnelle, bénévole ou salariée, les membres de la Fédération, ouverts et attentifs à tous les publics, inscrivent leurs actions dans une dynamique de développement culturel, économique et social raisonné.</w:t>
              <w:br/>
              <w:t>Fortement inspirés par les travaux de Georges Henri RIVIÈRE, fondateur du Musée national des arts et traditions populaires et par Hugues DE VARINE, initiateur de la muséologie communautaire, et quel que soit le cadre patrimonial des établissements, la nature et le thème des collections, les adhérents de la Fédération développent leurs projets culturels autour d’un territoire, de son patrimoine et de sa société.</w:t>
              <w:br/>
              <w:t>Le rôle de la Fédération est à la fois de représenter ses membres auprès des partenaires institutionnels et financiers, et de leur apporter un soutien technique et logistique au travers de conseils, d’expertises et de formations. La Fédération propose également son expertise et un appui technique à d’autres acteurs de la culture et du tourisme.</w:t>
              <w:br/>
              <w:t xml:space="preserve">La FEMS représente : 140  adhérents, soit plus de 180 structures (écomusées, musées de société, centres d’interprétation), 4 millions de visiteurs par an, 1500 emplois permanents et plus de 2000 bénévoles. </w:t>
              <w:br/>
              <w:t>Depuis 2010, la FAMDT est partenaire du ministère de la culture (direction générale des patrimoines, département du pilotage de la recherche et de la politique scientifique) dans le cadre de la mise en œuvre de la convention de 2003. Depuis 2012, elle participe à l'Inventaire du PCI en France.</w:t>
              <w:br/>
              <w:t>Dans le domaine des musées, la documentation ethnologique liée à la compréhension des objets et artefacts associés au PCI est accessible sur la base Joconde. Depuis 2004 cette base a pris la suite de la base Ethno, antérieurement spécifiquement dédiée aux objets ethnologiques. Joconde est une base commune aux musées des Beaux-arts, d'Archéologie et d'ethnologie : http://www.culture.gouv.fr/documentation/joconde/fr/pres.htm.</w:t>
              <w:br/>
              <w:br/>
              <w:t>La Fédération des associations de musique et danses traditionnelles</w:t>
              <w:br/>
              <w:t>http://www.famdt.com/</w:t>
              <w:br/>
              <w:br/>
              <w:t>La FAMDT est un réseau constitué en 2012 de 84 structures adhérentes.</w:t>
              <w:br/>
              <w:t xml:space="preserve"> La FAMDT a deux missions principales :</w:t>
              <w:br/>
              <w:t xml:space="preserve">- la mise en réseau des acteurs du secteur. </w:t>
              <w:br/>
              <w:t>Cette mise en réseau a pour objectif de partager les bonnes pratiques, les méthodologies, les réflexions, les projets et de créer de la solidarité et de la richesse.</w:t>
              <w:br/>
              <w:t>Cette mise en réseau se fait sur les trois thématiques présentées ci dessous ou à travers la mise en place d’outils au service du secteur comme le service de vente de livres et de CD ou le label et la maison d’édition Modal.</w:t>
              <w:br/>
              <w:t>-  la représentation des musiques et danses traditionnelles auprès des partenaires et des média.</w:t>
              <w:br/>
              <w:t>Cette représentation vise à donner aux musiques et danses traditionnelles, une meilleure visibilité et à obtenir une reconnaissance et des moyens comparables à ceux des autres musiques.</w:t>
              <w:br/>
              <w:br/>
              <w:t>La FAMDT s’est organisée en 3 pôles sectoriels</w:t>
              <w:br/>
              <w:t>- le patrimoine culturel immatériel</w:t>
              <w:br/>
              <w:t>En s’appuyant sur la convention UNESCO pour la sauvegarde du patrimoine culturel immatériel et celle pour la diversité culturelle, la FAMDT œuvre pour que les acteurs et les ONG du secteur soient associés à la politique française du PCI. Elle met en réseau les centres de documentation pour développer l’accès aux sources documentaires et à la recherche ; elle est pôle associé de la BnF sur les archives sonores. Elle a lancé le portail du patrimoine oral.</w:t>
              <w:br/>
              <w:t>- la transmission et les pratiques en amateur.</w:t>
              <w:br/>
              <w:t>La FAMDT met en réseau les acteurs s’intéressant à la transmission formelle (dans les écoles de musique par exemple) et informelle (stages, imprégnation, collectages…). Elle promeut la pédagogie de l’oralité ; elle vise à donner aux pratiques culturelles la reconnaissance qu’elles méritent ainsi que les moyens –financiers, organisationnels, logistiques, réglementaires, fiscaux- et de meilleures conditions d’exercice.</w:t>
              <w:br/>
              <w:t>- le spectacle vivant professionnel</w:t>
              <w:br/>
              <w:t>Les artistes des musiques et danses traditionnelles ont besoin du même environnement que les autres artistes pour émerger sur la scène professionnelle : tourneurs, producteurs, diffuseurs… La FAMDT met en réseau ces professions pour créer des synergies, des lieux de création et des lieux de diffusions consacrés ou s’intéressant aux musiques et danses traditionnelles. Cela passe aussi par une meilleure présence du secteur sur des marchés comme Babel Med music ou les BIS. Cela passe aussi par une opération de promotion de la création dans le secteur des musiques et danses traditionnelles comme Planètes musiques</w:t>
              <w:br/>
              <w:t>Plusieurs centres de musiques et danses traditionnelles en région sont d'ores et déjà ONG accréditées auprès de l'UNESCO et d'autres déposent régulièrement des dossiers (dernier en date l'AMTA, Agence des musiques traditionnelles en Auvergne, en 2012)</w:t>
              <w:br/>
              <w:t>Depuis plusieurs années, plusieurs membres de la FAMDT participent à l'inventaire du PCI en France.</w:t>
              <w:br/>
              <w:br/>
              <w:t>Les ethnopôles</w:t>
              <w:br/>
              <w:br/>
              <w:t>A côté de ces deux réseaux particulièrement importants, en existent d'autres, ainsi qu'un grand nombre de structures qui ne sont pas affiliées mais détiennent de la documentation utile à la connaissance du patrimoine culturel immatériel.</w:t>
              <w:br/>
              <w:t>Parmi ces autres réseaux, le plus important est celui des ethnopôles, réseau de structures labellisées dans le domaine de l'ethnologie de la France. Trois ethnopôles sont particulièrement actifs dans le champ du PCI, chacun sur le secteur qui lui est propre : la Garae à Carcassonne (histoire du folklore et traditions orales du Languedoc), la Maison du Fleuve Rhône à Givors (ethnologie des mondes fluviaux) et le musée conservatoire de Salagon (ethnobotanique, savoirs et savoir-faire liés à la nature et à l'Univers). Le ministère de la culture et de la communication (direction générale des patrimoines, département du pilotage de la recherche et de la politique scientifique) soutient les travaux de documentation de ces trois organismes dans le domaine du PCI qui est plus spécifiquement le leur. Il faut ajouter à ce groupe de trois ethnopôles le CréCET, qui a les mêmes fonctions, mais  concentre son action sur le territoire de la Basse Normandie.</w:t>
              <w:br/>
              <w:br/>
              <w:t>GARAE</w:t>
              <w:br/>
              <w:br/>
              <w:t># HYPERLINK "http://www.garae.fr/" #http://www.garae.fr/#</w:t>
              <w:br/>
              <w:t>Situé à Carcassonne (Aude), au cœur de la bastide, dans la prestigieuse # HYPERLINK "http://www.garae.fr/spip.php?breve3" #Maison des Mémoires# qui fut la demeure du poète surréaliste Joë Bousquet, le GARAE est un centre de documentation, de recherche et d’animation ethnographique unique en France.</w:t>
              <w:br/>
              <w:t>Au moyen de ses expositions, de ses cycles de conférence, de sa maison d’édition, il reconstitue et restitue à un large public, les liens qui unissent la littérature, les sciences de l’homme, le patrimoine et la construction des identités territoriales.</w:t>
              <w:br/>
              <w:t>Soutenu par le Conseil Général de l’Aude, Le Conseil Régional, la Ville de Carcassonne et différents services du ministère de la Culture, bénéficiant de l’apport scientifique du LAHIC, un laboratoire de recherche commun au CNRS, à l’Ecole des Hautes Études en Sciences Sociales et au ministère de la Culture, il a été labellisé # HYPERLINK "http://www.garae.fr/spip.php?breve2" #Ethnopôle# - Pôle National de Recherches et de Ressources en Ethnologie - en 1996.</w:t>
              <w:br/>
              <w:t>Il est aussi, par ses stages et colloques, un lieu d’accueil et de formation pour de jeunes chercheurs en sciences humaines ou des professionnels de la culture et du patrimoine soucieux d’approfondir leur réflexion sur l’histoire et les enjeux contemporains de leur discipline.</w:t>
              <w:br/>
              <w:t>Son centre de documentation, ouvert au public toute l’année, abrite une collection unique de revues d’ethnologie locales, régionales, nationales, mais aussi provenant de l’ensemble des pays européens ainsi que de revues généralistes faisant une part à l’ethnologie. Il propose aujourd’hui un catalogue en ligne # HYPERLINK "http://www.garae.fr/spip.php?rubrique81" #vesper,'N')" &gt;vesper# de ses ressources et un certain nombre de services à distance.</w:t>
              <w:br/>
              <w:br/>
              <w:t xml:space="preserve"> MAISON DU RHÔNE</w:t>
              <w:br/>
              <w:br/>
              <w:t># HYPERLINK "http://www.maisondufleuverhone.org/" #http://www.maisondufleuverhone.org/#</w:t>
              <w:br/>
              <w:br/>
              <w:t>La Maison du fleuve Rhône, aujourd’hui riche de plus de 20 ans d’existence, est désormais installée dans le paysage rhodanien comme un pôle de compétences et de ressources entièrement consacré au fleuve Rhône. A partir d’une approche systémique, l’Ethnopôle Maison du fleuve Rhône a pour objet de rendre intelligible auprès des citoyens, des décideurs et des acteurs du fleuve, les formes de relations durables entre société et fleuve (économie, environnement, culture et société).</w:t>
              <w:br/>
              <w:t>Grâce à une expérience accumulée sur le Rhône et d’autres fleuves, la Maison du fleuve Rhône, représente un lieu unique et singulier où s’analysent, s’expliquent, s’inventent, se narrent les liens entre les sociétés et leurs fleuves.</w:t>
              <w:br/>
              <w:t>Lieu de réflexion et de connaissances, de médiation scientifique et culturelle, d’échanges et de débats, de sensibilisation des citoyens aux enjeux contemporains du fleuve, la Maison du fleuve Rhône intervient à l’échelle du linéaire, incluant la Suisse.</w:t>
              <w:br/>
              <w:t>Instigatrice du concept de « Culture de fleuve », doté du label d’Ethnopôle, décerné, en 1996, par le ministère de la Culture et de la Communication, acteur majeur du volet culture et patrimoine du Plan Rhône, participant au volet tourisme et transport, à l’origine de la création du premier réseau des acteurs patrimoniaux et culturels du fleuve « Le Réseau Rhône », la Maison du fleuve Rhône a largement contribué au phénomène de réappropriation du fleuve Rhône.</w:t>
              <w:br/>
              <w:t>Les missions de la MDFR s’articulent autour de 3 grands axes Partage et diffusion des ressources, Médiation scientifique et culturelle, Observation et analyse du fleuve.</w:t>
              <w:br/>
              <w:t>Pour mener à bien ses missions, la Maison du fleuve Rhône développe, annuellement un programme cohérent d’action : veille, recherche, sensibilisation, médiation, formations, mise en réseau</w:t>
              <w:br/>
              <w:br/>
              <w:t xml:space="preserve"> SALAGON</w:t>
              <w:br/>
              <w:br/>
              <w:t># HYPERLINK "http://musee-de-salagon.com/" #http://musee-de-salagon.com/#</w:t>
              <w:br/>
              <w:t>Le prieuré de Salagon composé notamment d’une église romane du XIIe siècle, d’un logis et de dépendances Renaissance, abrite un musée consacré à l’ethnologie de la Haute-Provence. Centre de documentation et de recherches autour des savoirs de la nature, il a reçu le label Ethnopôle en 1996. Autour du prieuré, un cheminement permet de découvrir un ensemble de jardins à thèmes – jardin médiéval, jardin des temps modernes, jardin de simples et de plantes villageoises, jardins de senteurs, parcours de la chênaie blanche – qui sont une approche à la fois chronologique et spatiale des rapports entre les humains et leur environnement végétal. Depuis 2001, un séminaire annuel d’ethnobotanique du domaine européen permet de poursuivre la réflexion sur ces relations multiples hommes-plantes. En partenariat avec l’Université et en lien avec son conseil scientifique, Salagon propose un programme régulier de recherches et d’expositions. Des animations pour tous les publics contribuent également à faire connaître et à valoriser la culture passée et contemporaine de la société provençale</w:t>
              <w:br/>
              <w:br/>
              <w:t>Ces trois ethnopôles sont accrédités comme ONG auprès de l'UNESCO pour la sauvegarde du PCI, de même que le Crécet.</w:t>
              <w:br/>
              <w:br/>
              <w:t>le CRéCET</w:t>
              <w:br/>
              <w:br/>
              <w:t xml:space="preserve">Créé en 1984 sous l'impulsion de l'État et du Conseil régional de Basse-Normandie, Le CRéCET - Centre régional de culture ethnologique et technique de Basse-Normandie - a pour but de promouvoir ou réaliser, dans une approche pluridisciplinaire, des missions de recherche, d'assistance technique, de formation, de diffusion, d'animation et de création dans le domaine du patrimoine ethnologique. </w:t>
              <w:br/>
              <w:t xml:space="preserve">Pour ce faire, en relation avec divers partenaires (personnes privées, associations, collectivités publiques, institutions ayant une mission de conservation, universités, centres de recherche, centres de formation, centres de documentation et tous organismes similaires de la région ou d'autres régions, spécialement limitrophes) œuvrant dans le même domaine, il a vocation à conduire des projets notamment dans le prolongement des politiques menées par ses tutelles (Direction régionale des affaires culturelles, Conseil régional de Basse-Normandie) et à proposer des services scientifiques et techniques, en favorisant les initiatives locales. </w:t>
              <w:br/>
              <w:t>En 2003, une nouvelle mission a été confiée au CRéCET par l'état et la Région : la mise en place et l'animation du # HYPERLINK "http://www.musees-basse-normandie.fr/" \t "_blank" #Réseau des musées de Basse-Normandie#, ayant pour vocation de conforter la coopération scientifique, technique et culturelle entre établissements, et de mener des actions en faveur de la conservation et de la valorisation des collections. Le réseau rassemble plus de cinquante musées.</w:t>
              <w:br/>
              <w:t>Aujourd'hui, le CRéCET est très investi dans la sauvegarde du patrimoine culturel immatériel</w:t>
              <w:br/>
              <w:br/>
              <w:t xml:space="preserve">EN 2013, le réseau des ethnopôles est en voie de renforcement avec deux nouveaux projets de labellisation : </w:t>
              <w:br/>
              <w:br/>
              <w:t>Le CFPCI ( Cf. supra)</w:t>
              <w:br/>
              <w:br/>
              <w:t>L'Institut Occitan de Pau</w:t>
              <w:br/>
              <w:br/>
              <w:t>'InOc-Aquitaine, opérateur régional pour la langue et la culture occitanes, répond à la volonté de la Région Aquitaine, de la DRAC Aquitaine, des Départements aquitains et des intercommunalités de soutenir et développer la pratique de la langue et de la culture occitanes (sous ses trois formes aquitaines : gascon, languedocien et limousin). Il associe en son sein ses partenaires publics, le monde associatif régional, et les principaux acteurs scientifiques et culturels d’Aquitaine autour de son équipe professionnelle.</w:t>
              <w:br/>
              <w:t>Son siège régional est situé au Château d’Este à Billère, dans la Communauté d'Agglomération Pau-Pyrénées où il est « structure d’intérêt communautaire ». L’InOc occupe le premier étage de cet équipement culturel vaste et lumineux qu'il partage avec la Médiathèque d’Este.</w:t>
              <w:br/>
              <w:br/>
              <w:t>Son action régionale est définie par une convention pluriannuelle avec la Région, l’Etat et les cinq départements aquitains. Elle suit cinq missions prioritaires.</w:t>
              <w:br/>
              <w:t>Missions prioritaires</w:t>
              <w:br/>
              <w:t xml:space="preserve">1. Socialiser la langue occitane auprès de tous les Aquitains (sous ses 3 variantes aquitaines : gascon, languedocien et limousin). L’InOc est reconnu par ses partenaires publics comme compétent dans le domaine de la place de la langue dans la vie publique. Il s’agit de développer et de promouvoir le bilinguisme auprès de l’ensemble des acteurs de la vie culturelle, sociale et économique d’Aquitaine ; </w:t>
              <w:br/>
              <w:t xml:space="preserve">2. Poursuivre, renforcer et développer le travail entrepris en collaboration avec le Ministère de la Culture et de la Communication &amp; la Drac, la Région et les 5 départements d’Aquitaine autour de la valorisation du Patrimoine Culturel Immatériel (P.C.I.). L’InOc est en charge de la mise en œuvre d’un plan régional de sauvegarde et de valorisation du patrimoine oral occitan d’Aquitaine, notamment dans le projet de portail internet « sondaqui.com » ; </w:t>
              <w:br/>
              <w:t xml:space="preserve">3. Utiliser les Technologies de l’Information et de la Communication pour faire connaître ses réalisations, celles de ses partenaires publics et enfin l’ensemble du mouvement associatif aquitain ; </w:t>
              <w:br/>
              <w:t xml:space="preserve">4. Assurer des missions d’expertise à la demande de ses partenaires publics dans les domaines de compétence qui sont les siens ; </w:t>
              <w:br/>
              <w:t xml:space="preserve">5. Dans le cadre de l’étude réalisée en 2008 par l’ARPEL Aquitaine à la demande de la Région Aquitaine sur l’édition en langues de France en Aquitaine (occitan &amp; basque), l’InOc a en charge la réalisation des préconisations de cette étude en faveur des acteurs de la filière de l’édition d’expression occitane ; </w:t>
              <w:br/>
              <w:t>Interrégionalité</w:t>
              <w:br/>
              <w:t>Dans le cadre de ses missions, l’InOc s’inscrit dans des collaborations interrégionales avec les autres territoires occitanophones. Il est ainsi membre fondateur et administrateur du Congrès permanent de la Lenga occitana qu’il accueille dans ses locaux : contributions au ToP’Oc, au Term’Oc, participation au conseil des usagers. Il est également membre du Conseil culturel et social du Parc National des Pyrénées et membre du programme Occitanica–Mediathèque numérique occitane portée le CIRDOC. L’InOc collabore par ailleurs de façon active, aux programmes nationaux et internationaux de recherche sur le PCI, conduits par la Direction du pilotage de la recherche et de la politique scientifique du Ministère de la Culture.</w:t>
              <w:br/>
              <w:t>l</w:t>
              <w:br/>
              <w:t>2. Faciliter l'accès à la documentation sur le PCI.</w:t>
              <w:br/>
              <w:br/>
              <w:t xml:space="preserve">De manière plus générale, le ministère de la culture et de la communication facilite l'accès à la documentation relative au patrimoine culturel par le biais du plan annuel de numérisation du ministère de la culture, au sein duquel est identifié depuis 2007 un axe spécifiquement dédié au PCI. </w:t>
              <w:br/>
              <w:br/>
              <w:t>En 2007 ce plan de numérisation a permis de soutenir 8 projets dans le domaine de l'ethnologie et du PCI.</w:t>
              <w:br/>
              <w:t>En 2008 ce plan de numérisation a permis de soutenir 7 projets dans le domaine de l'ethnologie, du PCI, des corpus oraux et des musiques du monde.</w:t>
              <w:br/>
              <w:t>En 2009 ce plan de numérisation a permis de soutenir 7 projets dans le domaine de l'Ethnologie, du PCI, des musiques du monde, des marionnettes.</w:t>
              <w:br/>
              <w:t>EN 2010 ce plan de numérisation a permis de soutenir 5 projets dans le domaine de l'ethnologie, du PCI, du cirque et des arts de la rue, des marionnettes.</w:t>
              <w:br/>
              <w:t xml:space="preserve">En 2011, ce plan de numérisation a permis de soutenir 11 projets dans le domaine de l'ethnologie, du PCI, des corpus oraux, des musiques du monde, de la danse et des marionnettes. </w:t>
              <w:br/>
              <w:br/>
              <w:t xml:space="preserve">Il n'est pas possible de détailler ici l'ensemble des projets soutenus dans le cadre de cet appel à projet annuel mais il est essentiel, pour comprendre son lien avec la politique du patrimoine culturel immatériel d'avoir à l'esprit ces opérations de numérisation ne sont pas réalisées dans un but purement conservatoire : un des deux critères à remplir obligatoirement pour que le projet soit éligible est la mise en ligne des données sans restriction, et en vue de leur diffusion auprès du plus large public possible. </w:t>
              <w:br/>
              <w:br/>
              <w:t xml:space="preserve">Dans le cas de l'ethnologie et du patrimoine culturel immatériel, les enregistrements sonores ou audiovisuels concernés ont été réalisés par des structures ou des associations intéressées à la sauvegarde du PCI, les membres de ces strctures étant parfois eux-mêmes impliqués dans la vie des pratiques inventoriés.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B.2.</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Inventaires</w:t>
            </w:r>
          </w:p>
          <w:p>
            <w:pPr>
              <w:pStyle w:val="Info2"/>
              <w:rPr/>
            </w:pPr>
            <w:r>
              <w:rPr>
                <w:lang w:val="fr-FR"/>
              </w:rPr>
              <w:t xml:space="preserve">Veuillez communiquer l’inventaire ou les inventaires des éléments du patrimoine culturel immatériel présents sur le territoire de votre État, comme indiqué aux articles 11 et 12 de la Convention et au paragraphe 98 des Directives opérationnelles. </w:t>
            </w:r>
            <w:r>
              <w:rPr/>
              <w:t>Vous pouvez inclure les informations suivantes :</w:t>
            </w:r>
          </w:p>
          <w:p>
            <w:pPr>
              <w:pStyle w:val="num02tab"/>
              <w:numPr>
                <w:ilvl w:val="0"/>
                <w:numId w:val="3"/>
              </w:numPr>
              <w:suppressAutoHyphens w:val="true"/>
              <w:ind w:hanging="284" w:start="397" w:end="113"/>
              <w:rPr>
                <w:lang w:val="fr-FR"/>
              </w:rPr>
            </w:pPr>
            <w:r>
              <w:rPr>
                <w:lang w:val="fr-FR"/>
              </w:rPr>
              <w:t>la dénomination de chaque inventaire et celle de l’entité qui en est responsable ;</w:t>
            </w:r>
          </w:p>
          <w:p>
            <w:pPr>
              <w:pStyle w:val="num02tab"/>
              <w:numPr>
                <w:ilvl w:val="0"/>
                <w:numId w:val="3"/>
              </w:numPr>
              <w:suppressAutoHyphens w:val="true"/>
              <w:ind w:hanging="284" w:start="397" w:end="113"/>
              <w:rPr>
                <w:lang w:val="fr-FR"/>
              </w:rPr>
            </w:pPr>
            <w:r>
              <w:rPr>
                <w:lang w:val="fr-FR"/>
              </w:rPr>
              <w:t>les principes de classification utilisés pour structurer l’inventaire ou les inventaires en question, par exemple sur la base des communautés/groupes de gardiens des traditions, des domaines de patrimoine culturel immatériel, de principes territoriaux (niveaux national, régional, local), etc. ;</w:t>
            </w:r>
          </w:p>
          <w:p>
            <w:pPr>
              <w:pStyle w:val="num02tab"/>
              <w:numPr>
                <w:ilvl w:val="0"/>
                <w:numId w:val="3"/>
              </w:numPr>
              <w:suppressAutoHyphens w:val="true"/>
              <w:ind w:hanging="284" w:start="397" w:end="113"/>
              <w:rPr>
                <w:lang w:val="fr-FR"/>
              </w:rPr>
            </w:pPr>
            <w:r>
              <w:rPr>
                <w:lang w:val="fr-FR"/>
              </w:rPr>
              <w:t>les critères ayant déterminé l’intégration d’éléments du patrimoine culturel immatériel dans votre/vos inventaire(s) ;</w:t>
            </w:r>
          </w:p>
          <w:p>
            <w:pPr>
              <w:pStyle w:val="num02tab"/>
              <w:numPr>
                <w:ilvl w:val="0"/>
                <w:numId w:val="3"/>
              </w:numPr>
              <w:suppressAutoHyphens w:val="true"/>
              <w:ind w:hanging="284" w:start="397" w:end="113"/>
              <w:rPr>
                <w:lang w:val="fr-FR"/>
              </w:rPr>
            </w:pPr>
            <w:r>
              <w:rPr>
                <w:lang w:val="fr-FR"/>
              </w:rPr>
              <w:t>la prise en compte éventuelle, dans votre/vos inventaire(s), de la viabilité du patrimoine culturel immatériel (par exemple, le patrimoine culturel immatériel menacé de disparition, celui qui nécessite une sauvegarde urgente, etc.) ;</w:t>
            </w:r>
          </w:p>
          <w:p>
            <w:pPr>
              <w:pStyle w:val="num02tab"/>
              <w:numPr>
                <w:ilvl w:val="0"/>
                <w:numId w:val="3"/>
              </w:numPr>
              <w:suppressAutoHyphens w:val="true"/>
              <w:ind w:hanging="284" w:start="397" w:end="113"/>
              <w:rPr>
                <w:lang w:val="fr-FR"/>
              </w:rPr>
            </w:pPr>
            <w:r>
              <w:rPr>
                <w:lang w:val="fr-FR"/>
              </w:rPr>
              <w:t>la présentation/l’approche retenue pour votre/vos inventaire(s) ;</w:t>
            </w:r>
          </w:p>
          <w:p>
            <w:pPr>
              <w:pStyle w:val="num02tab"/>
              <w:numPr>
                <w:ilvl w:val="0"/>
                <w:numId w:val="3"/>
              </w:numPr>
              <w:suppressAutoHyphens w:val="true"/>
              <w:ind w:hanging="284" w:start="397" w:end="113"/>
              <w:rPr>
                <w:lang w:val="fr-FR"/>
              </w:rPr>
            </w:pPr>
            <w:r>
              <w:rPr>
                <w:lang w:val="fr-FR"/>
              </w:rPr>
              <w:t>la méthode utilisée pour la mise à jour de votre/vos inventaire(s) et la fréquence de celle-ci ;</w:t>
            </w:r>
          </w:p>
          <w:p>
            <w:pPr>
              <w:pStyle w:val="num02tab"/>
              <w:numPr>
                <w:ilvl w:val="0"/>
                <w:numId w:val="3"/>
              </w:numPr>
              <w:suppressAutoHyphens w:val="true"/>
              <w:ind w:hanging="284" w:start="397" w:end="113"/>
              <w:rPr>
                <w:lang w:val="fr-FR"/>
              </w:rPr>
            </w:pPr>
            <w:r>
              <w:rPr>
                <w:lang w:val="fr-FR"/>
              </w:rPr>
              <w:t>les différentes manières dont les populations locales sont impliquées dans la détection et la définition du patrimoine culturel immatériel à inclure dans l’inventaire/les inventaires, puis dans leur établissement et leur actualisation ;</w:t>
            </w:r>
          </w:p>
          <w:p>
            <w:pPr>
              <w:pStyle w:val="num02tab"/>
              <w:numPr>
                <w:ilvl w:val="0"/>
                <w:numId w:val="3"/>
              </w:numPr>
              <w:suppressAutoHyphens w:val="true"/>
              <w:spacing w:before="0" w:after="120"/>
              <w:ind w:hanging="284" w:start="397" w:end="113"/>
              <w:rPr>
                <w:lang w:val="fr-FR"/>
              </w:rPr>
            </w:pPr>
            <w:r>
              <w:rPr>
                <w:lang w:val="fr-FR"/>
              </w:rPr>
              <w:t>la participation éventuelle d’organisations non gouvernementales compétentes à la détection et à la définition du patrimoine culturel immatériel.</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Inventaires</w:t>
              <w:br/>
              <w:br/>
              <w:t xml:space="preserve">En dépit de l'existence au sein de son administration d'une mission dédiée depuis 1980 au patrimoine ethnologique, le ministère de la culture n'avait jamais entrepris avant 2007 la mise en œuvre d'un inventaire national du patrimoine culturel immatériel. A ce titre la ratification par la France de la convention a constitué une véritable révolution, dont la portée n'a pas toujours été pleinement saisie. </w:t>
              <w:br/>
              <w:br/>
              <w:t>1. Dénomination de chaque inventaire et celle de l’entité qui en est responsable</w:t>
              <w:br/>
              <w:br/>
              <w:t xml:space="preserve">La France dispose de deux inventaires dédiés au patrimoine culturel immatériel. Le ministère de la culture (direction générale des patrimoines, département du pilotage de la recherche et de la politique scientifique) est responsable de leur tenue et de leur mise à jour. </w:t>
              <w:br/>
              <w:br/>
              <w:t xml:space="preserve">a. Le premier de ces inventaires a reçu le nom de répertoire des inventaires. Il est présenté en préambule et ne sera plus évoqué par la suite. </w:t>
              <w:br/>
              <w:br/>
              <w:t xml:space="preserve">Le répertoire des inventaires du patrimoine culturel immatériel est le complément naturel de l'inventaire du patrimoine culturel immatériel en France. Il est tenu et mis à jour par le ministère de la culture et de la communication (direction générale des patrimoines, département du pilotage de la recherche et de la politique scientifique). </w:t>
              <w:br/>
              <w:br/>
              <w:t>Le répertoire des inventaires du PCI recense des inventaires d'éléments du patrimoine culturel immatériel portant sur des thèmes ou des zones géographiques particuliers. L'esprit de cet inventaire est le suivant : bien que la convention fixe en matière de patrimoine culturel immatériel des objectifs nouveaux à chaque Etat partie, force est de constater que dès avant l'existence de la convention, et parfois bien avant la naissance de celle-ci, groupes, communautés, organismes de recherche et d'action culturelle ont élaboré des inventaires portant sur des formes culturelles visées par la convention, soit autour d'un thème précis, soit sur une aire géographique particulière. Le répertoire des inventaires se veut le lieu d'accueil et de recensement de ces inventaires.</w:t>
              <w:br/>
              <w:br/>
              <w:t>Il comporte les entrées suivantes :</w:t>
              <w:br/>
              <w:br/>
              <w:t>Annuaire officiel des métiers d'art en France</w:t>
              <w:br/>
              <w:t>Collecte du patrimoine immatériel de l'aire Ajië-</w:t>
              <w:br/>
              <w:t>Aro</w:t>
              <w:br/>
              <w:t>Contes en Ribéracois</w:t>
              <w:br/>
              <w:t>Contes de tradition orale en France</w:t>
              <w:br/>
              <w:t>Contes populaires</w:t>
              <w:br/>
              <w:br/>
              <w:t>Fonds sonores des archives du Maine et Loire</w:t>
              <w:br/>
              <w:t>Fontaines et cultes de guérison</w:t>
              <w:br/>
              <w:t>Inventaire des sanctuaires et lieux de pèlerinage</w:t>
              <w:br/>
              <w:t>chrétiens en France</w:t>
              <w:br/>
              <w:t>Inventaire du fonds Junquèr-d'Oc-Joan Morèu</w:t>
              <w:br/>
              <w:t>Inventaire sommaire du Fonds Jean- Pierre Arhie</w:t>
              <w:br/>
              <w:br/>
              <w:t>Les Maîtres d’art</w:t>
              <w:br/>
              <w:t>Les pratiques festives en France</w:t>
              <w:br/>
              <w:t>Métiers d’art rares en Ile-de-France</w:t>
              <w:br/>
              <w:t>Musiques et danses traditionnelles du Sud-Ouest</w:t>
              <w:br/>
              <w:t>Musiques et danses traditionnelles de l’Ouest de</w:t>
              <w:br/>
              <w:t>la France</w:t>
              <w:br/>
              <w:br/>
              <w:t>Patrimoine sonore et audiovisuel français</w:t>
              <w:br/>
              <w:t>Patrimoine sonore régional</w:t>
              <w:br/>
              <w:t>PortEthno, portail des ressources en ethnologie</w:t>
              <w:br/>
              <w:t>de la France</w:t>
              <w:br/>
              <w:t>Savoir-faire de la construction traditionnelle en</w:t>
              <w:br/>
              <w:t>Picardie</w:t>
              <w:br/>
              <w:t>Théâtre de marionnettes en France</w:t>
              <w:br/>
              <w:br/>
              <w:t>Corpus oraux français</w:t>
              <w:br/>
              <w:t>Etat des lieux des fonds sonores en Aquitaine</w:t>
              <w:br/>
              <w:t>2002</w:t>
              <w:br/>
              <w:t>Ethnobotanique et savoir de la nature en région</w:t>
              <w:br/>
              <w:t>Provence-Alpes-Côte-d'Azu</w:t>
              <w:br/>
              <w:t>Fêtes traditionnelles, arts culinaires, patrimoine</w:t>
              <w:br/>
              <w:t>imaginaire et lieux-dits fantastiques</w:t>
              <w:br/>
              <w:t>Fonds aquitains du musée des civilisations de</w:t>
              <w:br/>
              <w:t>l'Europe et de la Méditerranée (MuCEM)</w:t>
              <w:br/>
              <w:br/>
              <w:t>La dentelle aux fuseaux</w:t>
              <w:br/>
              <w:t>La vie en milieu rural en Dordogne</w:t>
              <w:br/>
              <w:t>La vie en milieu rural, conteurs, vieux métiers,</w:t>
              <w:br/>
              <w:t>histoires de familles, marchés et foires.</w:t>
              <w:br/>
              <w:t>Le patrimoine vivant de Saint-Quentin-en-Yvelines</w:t>
              <w:br/>
              <w:t>Les croyances populaires en Dordogne</w:t>
              <w:br/>
              <w:br/>
              <w:t>Musiques et danses traditionnelles en Bretagne</w:t>
              <w:br/>
              <w:t>Musiques et danses traditionnelles et musiques</w:t>
              <w:br/>
              <w:t>du monde en Provence-Alpes-Côte-d'Azur</w:t>
              <w:br/>
              <w:t>Musiques traditionnelles en Rhône-Alpes</w:t>
              <w:br/>
              <w:t>Patrimoine culinaire de la France</w:t>
              <w:br/>
              <w:t>Patrimoine oral et festif en Aquitaine</w:t>
              <w:br/>
              <w:br/>
              <w:t>Théâtre populaire occitan</w:t>
              <w:br/>
              <w:t>Traditions orales en France</w:t>
              <w:br/>
              <w:t>Le patrimoine musical des compagnons du Tour de France</w:t>
              <w:br/>
              <w:br/>
              <w:t xml:space="preserve">Il est possible de signaler au département du pilotage de la recherche et de la politique scientifique toute entreprise de recensement d'un type de PCI présent sur le territoire français pour inclusion dans le répertoire des inventaires. </w:t>
              <w:br/>
              <w:br/>
              <w:t xml:space="preserve">Initié en 2008, le répertoire des inventaires compte en 2012 38 entrées, et s'enrichit constamment. En 2012, il a inclut dans sa liste le répertoire musical des chansons de compagnons de France, base de données réalisée dans le cadre d'une allocation de formation et de recherche attribuée à une doctorante à la suite de l'inscription du compagnonnage sur la liste représentative du PCI de l'Humanité. </w:t>
              <w:br/>
              <w:br/>
              <w:t xml:space="preserve">Adresse du répertoire des Inventaires : </w:t>
              <w:br/>
              <w:t>http://www.culturecommunication.gouv.fr/Disciplines-et-secteurs/Patrimoine-culturel-immateriel/Inventaire-en-France/Le-repertoire-des-inventaires/Les-inventaires</w:t>
              <w:br/>
              <w:br/>
              <w:t xml:space="preserve">Lien vers la fiche type du répertoire des inventaires : </w:t>
              <w:br/>
              <w:t>http://www.culturecommunication.gouv.fr/Disciplines-et-secteurs/Patrimoine-culturel-immateriel/Inventaire-en-France/Le-repertoire-des-inventaires</w:t>
              <w:br/>
              <w:br/>
              <w:t>b. Le second de ces inventaires est l'Inventaire du patrimoine culturel immatériel en France.</w:t>
              <w:br/>
              <w:t xml:space="preserve">Cet inventaire a été mis en place en 2008 en application de l'article 12 de la convention qui enjoint aux Etats parties à la convention de dresser un ou plusieurs inventaires du patrimoine culturel immatériel présent sur leur territoire. Il est également mis en œuvre par le ministère de la culture (direction générale des patrimoines, département du pilotage de la recherche et de la politique scientifique). </w:t>
              <w:br/>
              <w:br/>
              <w:t xml:space="preserve">Il est consultable en ligne à l'adresse suivante : </w:t>
              <w:br/>
              <w:br/>
              <w:t>http://www.culturecommunication.gouv.fr/Disciplines-et-secteurs/Patrimoine-culturel-immateriel/Inventaire-en-France/Inventaire</w:t>
              <w:br/>
              <w:br/>
              <w:br/>
              <w:t xml:space="preserve">C'est cet inventaire qui fait l'objet d'une description plus précise dans cette section du rapport. </w:t>
              <w:br/>
              <w:br/>
              <w:t>2. Principes généraux</w:t>
              <w:br/>
              <w:br/>
              <w:br/>
              <w:t>L'inventaire du patrimoine culturel immatériel en France est une entreprise de recensement du patrimoine culturel immatériel présent sur le territoire français. Il prend en compte les différentes formes de PCI selon la définition donnée à l'article 2 de la convention. Il s'intéresse également à la description des objets ou artefacts liés au patrimoine culturel immatériel, dans la mesure où ceux-ci sont le support de pratiques vivantes faisant partie du champ de la convention.</w:t>
              <w:br/>
              <w:br/>
              <w:t>L'inscription sur l'inventaire du patrimoine culturel immatériel en France est un simple recensement, un enregistrement et ne constitue en rien une forme de reconnaissance ou de protection juridique pour l'élément qui est inscrit. Aucune dimension de projet de sauvegarde nécessitant par la participation active de la communauté n'est associée à l'inscription sur l'inventaire, sauf, bien entendu, pour les éléments y figurant qui font par ailleurs l'objet d'une procédure de candidature sur les listes de l'UNESCO.</w:t>
              <w:br/>
              <w:br/>
              <w:t>L'inventaire du patrimoine culturel immatériel en France fait appel à la participation des personnes détentrices d'éléments du PCI et à la compétence de personnes qualifiées dans l'expertise ethnologique. Le consentement des personnes rencontrées dans le cadre des opérations d'inventaire est requis pour figurer sur celui-ci.</w:t>
              <w:br/>
              <w:br/>
              <w:t>Initié en 2008, l'inventaire du patrimoine culturel immatériel en France a d'emblée été conçu comme un processus ouvert et évolutif, sans limitation de durée dans le temps, dont les méthodes et principes devraient s'affiner avec le temps, en fonction des premiers résultats, des autres développements de la politique nationale en matière de PCI et des inflexions des usages internationaux dans ce domaine.</w:t>
              <w:br/>
              <w:br/>
              <w:t>3. Principes de classification utilisés pour structurer l’inventaire ou les inventaires en question, par exemple sur la base des communautés/groupes de gardiens des traditions, des domaines de patrimoine culturel immatériel, de principes territoriaux (niveaux national, régional, local), etc.</w:t>
              <w:br/>
              <w:br/>
              <w:t>a. L'inventaire du patrimoine culturel immatériel en France est organisé en plusieurs sections qui correspondent à différents domaines, lesquels ne se recoupent pas tout à fait avec les grands domaines du PCI listés par la convention ;</w:t>
              <w:br/>
              <w:br/>
              <w:t>* Savoir-faire</w:t>
              <w:br/>
              <w:t>* Pratiques rituelles</w:t>
              <w:br/>
              <w:t>* Musiques et danses</w:t>
              <w:br/>
              <w:t>* Pratiques festives</w:t>
              <w:br/>
              <w:t>* Pratiques sportives</w:t>
              <w:br/>
              <w:t xml:space="preserve">* Jeux </w:t>
              <w:br/>
              <w:t>* Arts du conte</w:t>
              <w:br/>
              <w:br/>
              <w:t>b. En revanche, les enquêtes qui servent de cadre à la réalisation de l'Inventaire peuvent avoir une base géographique (en général régionale) ou thématique (un groupe de praticiens, un secteur d'activités).</w:t>
              <w:br/>
              <w:br/>
              <w:t>En 2008, 4 enquêtes ont été lancées (inventaire du patrimoine culturel immatériel lié à l'immigration en Ile de France, Inventaire du PCI d'expression occitane en Aquitaine, Inventaire des métiers d'art rares en France, Inventaire du cantu in paghjella).</w:t>
              <w:br/>
              <w:br/>
              <w:t>En 2008, 6 enquêtes ont été lancées : inventaire du PCI religieux à Paris (Xe arrondissement), inventaire du PCI des communautés d'origine italienne en France, inventaire des techniques halieutiques des wayana de Guyane, inventaire des pratiques et représentations liées au monde végétal en Normandie, Inventaire des pratiques et représentations liées au monde minéral en Bretagne.</w:t>
              <w:br/>
              <w:br/>
              <w:t>En 2009, 2 enquêtes ont été lancées : inventaire du PCI maritime au Pays basque, inventaire des savoirs et savoir-faire traditionnels liés au PCI en Guyane.</w:t>
              <w:br/>
              <w:br/>
              <w:t xml:space="preserve">En 2011, 4 enquêtes ont été lancées : inventaire et collecte des chants, danses et récits constitutifs des Nadrons de Guadeloupe, Inventaire et collectes sur le Boulagel en Guadeloupe, inventaire des pêcheries et pratiques de pêche traditionnelles en Normandie, inventaire du PCI en Aquitaine. </w:t>
              <w:br/>
              <w:br/>
              <w:t>En 2012, après une évolution méthodologique et un bilan des premières enquêtes, 6 enquêtes ont été sélectionnées à la suite d'un appel à projets : inventaire des jeux traditionnels en France, inventaire des sports traditionnels en Bretagne, inventaire des pratiques vivantes liées au patrimoine culturel immatériel en Bretagne, inventaire des géants, dragons et animaux processionnels en France, inventaire des pratiques et savoirs liés à la nature en Bretagne, et poursuite de l'inventaire du PCI en Aquitaine.</w:t>
              <w:br/>
              <w:br/>
              <w:t>EN 2013 14 projets ont été retenus dans le cadre d'un nouvel appel d'offres.</w:t>
              <w:br/>
              <w:br/>
              <w:t xml:space="preserve">La conduite de ces opérations d'inventaire, dont le caractère pilote a été pleinement assumé, a permis l'inscription de 300 éléments qui figurent actuellement sur l'inventaire du PCI en France, sachant que nombre d'enquête sont encore en cours aujourd'hui. </w:t>
              <w:br/>
              <w:t xml:space="preserve"> </w:t>
              <w:br/>
              <w:t>4. les critères ayant déterminé l’intégration d’éléments du patrimoine culturel immatériel dans votre/vos inventaire(s)</w:t>
              <w:br/>
              <w:br/>
              <w:br/>
              <w:t>Comme il a été énoncé dans les principes généraux, l'inventaire du patrimoine culturel immatériel en France est un simple recensement, le seul critère requis est donc l'appartenance de l'élément considéré à l'article 2 de la convention pour la sauvegarde du PCI et le consentement des personnes rencontrées pour l'inscription de l'élément sur l'Inventaire.</w:t>
              <w:br/>
              <w:br/>
              <w:t xml:space="preserve">5. La prise en compte éventuelle, dans votre/vos inventaire(s), de la viabilité du patrimoine culturel immatériel (par exemple, le patrimoine culturel immatériel menacé de disparition, celui qui nécessite une sauvegarde urgente, etc). </w:t>
              <w:br/>
              <w:br/>
              <w:t>L'inventaire ne prend pas spécifiquement en compte l'état de la pratique, en revanche, les mesures de sauvegarde éventuelles sont indiquées clairement dans une section spécifique.</w:t>
              <w:br/>
              <w:br/>
              <w:t xml:space="preserve">6.  Présentation/l’approche retenue pour votre/vos inventaire(s) </w:t>
              <w:br/>
              <w:br/>
              <w:t xml:space="preserve">Depuis 2012, le ministère de la culture et de la communication dispose d'un nouveau site Internet, dont une partie est spécifiquement réservée au patrimoine culturel immatériel. Ce site est présenté dans la partie « discipline et secteurs du site du MCC », dans la rubrique patrimoine culturel immatériel. Au sein du site PCI, l'inventaire fait l'objet d'une partie spécifique, où sont présentés l'inventaire, le répertoire des inventaires, les modèles de documents servant de base à la description des éléments ou des inventaires et les principes guidant la réalisation de l'inventaire. </w:t>
              <w:br/>
              <w:t>L'inventaire est consultable sous la forme de fiches éditable en PDF, illustrées de documents photographiques et d'extraits de vidéos (en cours de réalisation).</w:t>
              <w:br/>
              <w:t xml:space="preserve">Le cadre générale de présentation de la fiche d'inventaire est donné ci-après : </w:t>
              <w:br/>
              <w:t>(A) Identification et localisation</w:t>
              <w:br/>
              <w:t>Nom et rôle et/ou fonction de la personne rencontrée :</w:t>
              <w:br/>
              <w:t>Municipalité, vallée, pays, communauté de communes, lieu-dit… :</w:t>
              <w:br/>
              <w:br/>
              <w:t>(B) Description</w:t>
              <w:br/>
              <w:t>Description :</w:t>
              <w:br/>
              <w:t>Lieu d'exercice</w:t>
              <w:br/>
              <w:t>Eléments matériels constitutifs de la pratique :</w:t>
              <w:br/>
              <w:t>Matériaux (origine, fournisseurs, exploitation, difficultés d’approvisionnement) :</w:t>
              <w:br/>
              <w:t>Outils (origine, fournisseurs, exploitation, difficultés d’approvisionnement) :</w:t>
              <w:br/>
              <w:t>Machines (origine, fournisseurs, exploitation, difficultés d’approvisionnement) :</w:t>
              <w:br/>
              <w:t>Produits réalisés :</w:t>
              <w:br/>
              <w:t>Lieu d'exercice :</w:t>
              <w:br/>
              <w:t>Apprentissage et Transmission :</w:t>
              <w:br/>
              <w:t>Actualisation de la pratique, du lieu ou des savoir-faire :</w:t>
              <w:br/>
              <w:br/>
              <w:t>(C) Historique</w:t>
              <w:br/>
              <w:t>Historique général :</w:t>
              <w:br/>
              <w:t>Historique particulier de l'entreprise, de la personne ou de l'organisme, de la forme d'expression ou de l'espace culturel faisant l’objet de la fiche :</w:t>
              <w:br/>
              <w:br/>
              <w:t>(D) Intérêt patrimonial et mise en valeur</w:t>
              <w:br/>
              <w:t>Modes de valorisation</w:t>
              <w:br/>
              <w:t xml:space="preserve"> Plaquette ou Site internet </w:t>
              <w:br/>
              <w:t xml:space="preserve"> Guide ou Boutique</w:t>
              <w:br/>
              <w:t xml:space="preserve"> Portes-ouvertes ou Show-room/galerie</w:t>
              <w:br/>
              <w:t xml:space="preserve"> Exposition ou Foire/salon </w:t>
              <w:tab/>
              <w:br/>
              <w:t xml:space="preserve"> Festival ou Label Entreprise Patrimoine Vivant</w:t>
              <w:br/>
              <w:t xml:space="preserve"> Routes des MA ou Pôle des MA</w:t>
              <w:br/>
              <w:t xml:space="preserve"> Résidences d’artistes ou Réseau de professionnels</w:t>
              <w:br/>
              <w:t xml:space="preserve"> Autre </w:t>
              <w:br/>
              <w:t>Actions de valorisation :</w:t>
              <w:br/>
              <w:t>Modes de reconnaissance publique (niveaux local, national, international) :</w:t>
              <w:br/>
              <w:t>Documentation / éléments bibliographiques/inventaires déjà réalisés :</w:t>
              <w:br/>
              <w:br/>
              <w:t>(E) Mesures de sauvegarde</w:t>
              <w:br/>
              <w:br/>
              <w:t xml:space="preserve">(F) Données techniques </w:t>
              <w:br/>
              <w:t>Dates et lieu(x) de l’enquête : </w:t>
              <w:br/>
              <w:t xml:space="preserve">Date de la fiche d’inventaire : </w:t>
              <w:br/>
              <w:t xml:space="preserve">Nom de l'enquêteur ou des enquêteurs : </w:t>
              <w:br/>
              <w:t xml:space="preserve">Nom du rédacteur de la fiche : </w:t>
              <w:br/>
              <w:br/>
              <w:t>7. La méthode utilisée pour la mise à jour de votre/vos inventaire(s) et la fréquence de celle-ci </w:t>
              <w:br/>
              <w:br/>
              <w:t xml:space="preserve">Comme il a été indiqué dans les principes généraux, l'Inventaire du PCI en France est conçu d'emblée comme un processus ouvert et évolutif et non comme une expérience figée dans le temps. Il y a 65 millions de personnes qui vivent en France et chacune de ces personnes est porteuse de patrimoines culturels immatériels différents, en fonction de son histoire personnelle, des communautés ou groupes auxquels elles appartiennent. Il est donc vain de souhaiter établir d'emblée une liste supposée finie du patrimoine culturel immatériel. </w:t>
              <w:br/>
              <w:t xml:space="preserve">En outre, il faudra tenir compte des évolutions en cours dans la politique du PCI, tant au niveau national qu'au plan international : ainsi, la question de la participation des groupes ou communautés, énoncée comme un principe mais relativement peu mise en avant les premières années de la convention, prend une importance toujours croissante dans la sauvegarde du PCI. L'Inventaire du PCI en France s'efforce de suivre les inflexions de cette politique, comme en témoignent les résultats de l'appel à projet de 2012, qui font une place plus importante aux associations de praticiens, tout en restant attentif au suivi scientifique des travaux. </w:t>
              <w:br/>
              <w:t>Enfin, le précédent de l'Inventaire général du patrimoine et des richesses artistiques de la France, initié en 1964, invite à être prudent quant à l'idée d'une méthodologie figée et d'une liste finie. L'expérience a montré qu'à mesure que l'entreprise progressait les objectifs se diversifiaient, les méthodologies évoluaient et le but initial de 2millions d'entrées pour cet inventaire s'éloignait.</w:t>
              <w:br/>
              <w:br/>
              <w:t>8. Les différentes manières dont les populations locales sont impliquées dans la détection et la définition du patrimoine culturel immatériel à inclure dans l’inventaire/les inventaires, puis dans leur établissement et leur actualisation </w:t>
              <w:br/>
              <w:br/>
              <w:t>L'inventaire du patrimoine immatériel en France fait appel à la participation des communautés détentrices de trois manières distinctes  :</w:t>
              <w:br/>
              <w:br/>
              <w:t>De la manière la plus simple, en recueillant le consentement des personnes rencontrées lors des enquêtes pour figurer sur l'inventaire du patrimoine immatériel en France</w:t>
              <w:br/>
              <w:t>De manière plus complexe, en confiant à des associations de praticiens la conduite d'opérations d'inventaires avec la coopération de scientifiques (c'est le cas pour l'enquête en cours sur les jeux et sports traditionnels en Bretagne). Cette approche, qui constitue une évolution assez importante dans l'orientation méthodologique de l'Inventaire est en en train de se développer notablement dans le cadre des derniers appels à projets.</w:t>
              <w:br/>
              <w:br/>
              <w:t xml:space="preserve">Enfin, dès l'origine, il a été prévu que communautés, groupes et collectivités territoriales puissent faire directement au ministère de la culture et de la communication (direction générale des patrimoines, département du pilotage de la recherche et de la politique scientifique) une demande d'inscription sur l'inventaire du PCI en France. Le Département du pilotage de la recherche et de la politique scientifique fournit alors l'accompagnement méthodologique et assure le suivi pour la réalisation de la fiche l'inventaire. Celle-ci est enfin examinée par le comité du patrimoine ethnologique et immatériel. </w:t>
              <w:br/>
              <w:t>Cette procédure particulière est notamment mise en œuvre, depuis 2008, pour l'inscription sur l'inventaire du PCI en France des éléments concourant pour une inscription sur les listes du PCI de l'UNESCO.</w:t>
              <w:br/>
              <w:br/>
              <w:t xml:space="preserve">La procédure particulière est décrite à l'adresse suivante : </w:t>
              <w:br/>
              <w:t>http://www.culturecommunication.gouv.fr/Disciplines-et-secteurs/Patrimoine-culturel-immateriel/Inventaire-en-France/Inventaire</w:t>
              <w:br/>
              <w:br/>
              <w:t>En novembre 2013, à la suite d'une réunion du comité du patrimoine ethnologique et immatériel, un nouveau formulaire de candidature a été élaboré, non encore en usage, mais destiné à garantir une meilleure implication des détenteurs de PCI dans la démarche d'inventaire.</w:t>
              <w:br/>
              <w:br/>
              <w:t>9. La participation éventuelle d’organisations non gouvernementales compétentes à la détection et à la définition du patrimoine culturel immatériel.</w:t>
              <w:br/>
              <w:br/>
              <w:t xml:space="preserve">La liste des ONG françaises accréditées par l'UNESCO pour la sauvegarde du PCI est disponible en ligne à l'adresse suivante : </w:t>
              <w:br/>
              <w:br/>
              <w:t>http://www.culturecommunication.gouv.fr/Disciplines-et-secteurs/Patrimoine-culturel-immateriel/Le-PCI-francais-et-l-UNESCO/ONG-francaises-accreditees-aupres-de-l-UNESCO</w:t>
              <w:br/>
              <w:br/>
              <w:t xml:space="preserve">En dehors de ces ONG, un grand nombre d'autres organisations non gouvernementales présentent une compétence reconnue dans le domaine du PCI et collaborent depuis le début des travaux de la convention à la mise en œuvre de celle-ci en France. </w:t>
              <w:br/>
              <w:br/>
              <w:t>Il est courant que des ONG actives dans le champ du PCI, telles que l'Institut Occitan, le Crécet, la Maison des Cultures du Monde, ou Dastum (centre des musiques et danses traditionnelles de Bretagne) prennent part aux opérations d'inventaire du patrimoine culturel immatériel en France.</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B.3.</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Autres mesures de sauvegarde</w:t>
            </w:r>
          </w:p>
          <w:p>
            <w:pPr>
              <w:pStyle w:val="Info2"/>
              <w:rPr>
                <w:lang w:val="fr-FR"/>
              </w:rPr>
            </w:pPr>
            <w:r>
              <w:rPr>
                <w:lang w:val="fr-FR"/>
              </w:rPr>
              <w:t>Décrivez d’autres mesures de sauvegarde, notamment celles mentionnées à l’article 13 de la Convention et au paragraphe 98 des Directives opérationnelles, que vous avez prises pour :</w:t>
            </w:r>
          </w:p>
          <w:p>
            <w:pPr>
              <w:pStyle w:val="num02tab"/>
              <w:numPr>
                <w:ilvl w:val="0"/>
                <w:numId w:val="4"/>
              </w:numPr>
              <w:suppressAutoHyphens w:val="true"/>
              <w:ind w:hanging="284" w:start="397" w:end="113"/>
              <w:rPr>
                <w:lang w:val="fr-FR"/>
              </w:rPr>
            </w:pPr>
            <w:r>
              <w:rPr>
                <w:lang w:val="fr-FR"/>
              </w:rPr>
              <w:t>mettre en valeur la fonction du patrimoine culturel immatériel dans la société et en intégrer la sauvegarde dans des programmes de planification ;</w:t>
            </w:r>
          </w:p>
          <w:p>
            <w:pPr>
              <w:pStyle w:val="num02tab"/>
              <w:numPr>
                <w:ilvl w:val="0"/>
                <w:numId w:val="4"/>
              </w:numPr>
              <w:suppressAutoHyphens w:val="true"/>
              <w:ind w:hanging="284" w:start="397" w:end="113"/>
              <w:rPr>
                <w:lang w:val="fr-FR"/>
              </w:rPr>
            </w:pPr>
            <w:r>
              <w:rPr>
                <w:lang w:val="fr-FR"/>
              </w:rPr>
              <w:t>encourager des études scientifiques, techniques et artistiques pour une sauvegarde efficace ;</w:t>
            </w:r>
          </w:p>
          <w:p>
            <w:pPr>
              <w:pStyle w:val="num02tab"/>
              <w:numPr>
                <w:ilvl w:val="0"/>
                <w:numId w:val="4"/>
              </w:numPr>
              <w:suppressAutoHyphens w:val="true"/>
              <w:spacing w:before="0" w:after="120"/>
              <w:ind w:hanging="284" w:start="397" w:end="113"/>
              <w:rPr>
                <w:lang w:val="fr-FR"/>
              </w:rPr>
            </w:pPr>
            <w:r>
              <w:rPr>
                <w:lang w:val="fr-FR"/>
              </w:rPr>
              <w:t>faciliter, dans la mesure du possible, l’accès aux informations relatives au patrimoine culturel immatériel tout en respectant les pratiques coutumières qui régissent l’accès à des aspects spécifiques de ce patrimoine.</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1. mettre en valeur la fonction du patrimoine culturel immatériel dans la société et en intégrer la sauvegarde dans des programmes de planification</w:t>
            </w:r>
          </w:p>
          <w:p>
            <w:pPr>
              <w:pStyle w:val="formtext"/>
              <w:snapToGrid w:val="false"/>
              <w:ind w:start="113" w:end="113"/>
              <w:jc w:val="both"/>
              <w:rPr>
                <w:lang w:val="fr-FR"/>
              </w:rPr>
            </w:pPr>
            <w:r>
              <w:rPr>
                <w:lang w:val="fr-FR"/>
              </w:rPr>
              <w:t>Mesures d'ordre juridique</w:t>
            </w:r>
          </w:p>
          <w:p>
            <w:pPr>
              <w:pStyle w:val="formtext"/>
              <w:snapToGrid w:val="false"/>
              <w:ind w:start="113" w:end="113"/>
              <w:jc w:val="both"/>
              <w:rPr/>
            </w:pPr>
            <w:r>
              <w:rPr>
                <w:lang w:val="fr-FR"/>
              </w:rPr>
              <w:t>Dans le cadre de la mise en place d'une nouvelle loi sur le patrimoine, 100 ans après la Loi sur les Monuments historiques et 10 ans après la mise en place du Code du Patrimoine, le Ministère de la culture envisage l'inclusion de la notion de patrimoine culturel dans la législation française, transposant ainsi les principes de la convention dans le droit interne. Le texte de Loi devrait être étudié par les Chambres en 2014. En l'état actuel il prévoit , d'une part dans la partie législative, l'inclusion de la définition du PCI dans la définition française du Patrimoine et d'autre part, dans la partie réglementaire, la prise en compte de l'Inventaire du PCI en France, ses critères et ses modalités de mise en œuvre.</w:t>
            </w:r>
          </w:p>
          <w:p>
            <w:pPr>
              <w:pStyle w:val="formtext"/>
              <w:snapToGrid w:val="false"/>
              <w:ind w:start="113" w:end="113"/>
              <w:jc w:val="both"/>
              <w:rPr/>
            </w:pPr>
            <w:r>
              <w:rPr>
                <w:lang w:val="fr-FR"/>
              </w:rPr>
              <w:t xml:space="preserve">Afin de mettre en perspective cette démarche, le ministère de la culture a entrerpris un recensement de l'ensemble des mesures législatives et réglementaires prises par les Etats parties à la convention en vue de transposer la convention en droit Interne (Loi ou règlements). Menée entre juin et décembre 2013 cette étude a portée sur 63 pays sur les 159 Etats parties. Les résultats seront mis en ligne en 2014 à l'adresse suivante : </w:t>
            </w:r>
          </w:p>
          <w:p>
            <w:pPr>
              <w:pStyle w:val="formtext"/>
              <w:snapToGrid w:val="false"/>
              <w:ind w:start="113" w:end="113"/>
              <w:jc w:val="both"/>
              <w:rPr>
                <w:lang w:val="fr-FR"/>
              </w:rPr>
            </w:pPr>
            <w:r>
              <w:rPr>
                <w:lang w:val="fr-FR"/>
              </w:rPr>
              <w:t>http://www.culturecommunication.gouv.fr/Disciplines-et-secteurs/Patrimoine-culturel-immateriel/Le-PCI-francais-et-l-UNESCO</w:t>
            </w:r>
          </w:p>
          <w:p>
            <w:pPr>
              <w:pStyle w:val="formtext"/>
              <w:snapToGrid w:val="false"/>
              <w:ind w:start="113" w:end="113"/>
              <w:jc w:val="both"/>
              <w:rPr/>
            </w:pPr>
            <w:r>
              <w:rPr>
                <w:lang w:val="fr-FR"/>
              </w:rPr>
              <w:t>- Mesures de mise en valeur</w:t>
            </w:r>
          </w:p>
          <w:p>
            <w:pPr>
              <w:pStyle w:val="formtext"/>
              <w:snapToGrid w:val="false"/>
              <w:ind w:start="113" w:end="113"/>
              <w:jc w:val="both"/>
              <w:rPr/>
            </w:pPr>
            <w:r>
              <w:rPr>
                <w:lang w:val="fr-FR"/>
              </w:rPr>
              <w:t>Afin de mieux identifier les acteurs du patrimoine culturel immatériel présents en France et de favoriser la mise en place d'une coordination entre ceux-ci, le ministère de la culture et de la communication (direction générale des patrimoines,  département du pilotage de la recherche et de la politique scientifique) a réalisé en 2010 et 2011, en partenariat avec l'Université de Bretagne Occidentale (UBO) un recensement des acteurs du PCI en France, qui a conduit à identifier 500 acteurs du patrimoine culturel immatériel dans notre pays. Ce recensement est disponible en ligne à l'adresse suivante :</w:t>
            </w:r>
          </w:p>
          <w:p>
            <w:pPr>
              <w:pStyle w:val="formtext"/>
              <w:snapToGrid w:val="false"/>
              <w:ind w:start="113" w:end="113"/>
              <w:jc w:val="both"/>
              <w:rPr/>
            </w:pPr>
            <w:r>
              <w:rPr>
                <w:lang w:val="fr-FR"/>
              </w:rPr>
              <w:t>http://www.culturecommunication.gouv.fr/Disciplines-et-secteurs/Patrimoine-culturel-immateriel/Les-acteurs-du-PCI</w:t>
            </w:r>
          </w:p>
          <w:p>
            <w:pPr>
              <w:pStyle w:val="formtext"/>
              <w:snapToGrid w:val="false"/>
              <w:ind w:start="113" w:end="113"/>
              <w:jc w:val="both"/>
              <w:rPr/>
            </w:pPr>
            <w:r>
              <w:rPr>
                <w:lang w:val="fr-FR"/>
              </w:rPr>
              <w:t>Afin de mieux coordonner les actions de sauvegarde préconisées par les plans de sauvegarde des dossiers et afin de donner une plus grande visibilité aux actions communes des porteurs de traditions des éléments inscrits sur les listes du patrimoine culturel immatériel de l'UNESCO, le Centre français du patrimoine culturel immatériel de Vitré a organisé, en juin 2012, la première réunion des porteurs de traditions inscrites. Le but de cette rencontre est de créer un réseau, susceptible de se fédérer en association, afin que soient élaborées en partenariat avec l'Etat, des actions communes en faveur de la sauvegarde du PCI en France.</w:t>
            </w:r>
          </w:p>
          <w:p>
            <w:pPr>
              <w:pStyle w:val="formtext"/>
              <w:snapToGrid w:val="false"/>
              <w:ind w:start="113" w:end="113"/>
              <w:jc w:val="both"/>
              <w:rPr>
                <w:lang w:val="fr-FR"/>
              </w:rPr>
            </w:pPr>
            <w:r>
              <w:rPr>
                <w:lang w:val="fr-FR"/>
              </w:rPr>
              <w:t>2. Encourager des études scientifiques, techniques et artistiques pour une sauvegarde efficace</w:t>
            </w:r>
          </w:p>
          <w:p>
            <w:pPr>
              <w:pStyle w:val="formtext"/>
              <w:snapToGrid w:val="false"/>
              <w:ind w:start="113" w:end="113"/>
              <w:jc w:val="both"/>
              <w:rPr>
                <w:lang w:val="fr-FR"/>
              </w:rPr>
            </w:pPr>
            <w:r>
              <w:rPr>
                <w:lang w:val="fr-FR"/>
              </w:rPr>
              <w:t>En France, la mise en œuvre de la convention de 2003 prend appui sur une politique active depuis trente ans dans la recherche et la valorisation du patrimoine ethnologique de la France.</w:t>
            </w:r>
          </w:p>
          <w:p>
            <w:pPr>
              <w:pStyle w:val="formtext"/>
              <w:snapToGrid w:val="false"/>
              <w:ind w:start="113" w:end="113"/>
              <w:jc w:val="both"/>
              <w:rPr/>
            </w:pPr>
            <w:r>
              <w:rPr>
                <w:lang w:val="fr-FR"/>
              </w:rPr>
              <w:t>Cette politique a donné lieu à la réalisation de plus de 400 rapports de recherche (pour l'essentiel accessibles en ligne à l'adresse suivante : http://www.culturecommunication.gouv.fr/Disciplines-et-secteurs/Patrimoine-ethnologique/Travaux-de-recherche/Rapports-de-recherche) et à la publication de 59 numéros de la revue Terrain, de 34 volumes de la collection ethnologie de la France et de 26 numéros des cahiers d'ethnologie de la France ( pour l'essentiel, les publications ici citées sont disponibles en ligne à l'adresse suivante, en intégralité ou sous forme d'extraits : http://terrain.revues.org). Cette politique de recherche demeure aujourd'hui particulièrement active : entre 2006 et 2012, le réseau de l'ethnologie au ministère de la culture a publié directement ou indirectement plus de 100 ouvrages consacrés  à l'ethnologie (voir en ligne : http://www.culturecommunication.gouv.fr/Disciplines-et-secteurs/Patrimoine-ethnologique/Valorisation-de-la-recherche/Publications-du-reseau).</w:t>
            </w:r>
          </w:p>
          <w:p>
            <w:pPr>
              <w:pStyle w:val="formtext"/>
              <w:snapToGrid w:val="false"/>
              <w:ind w:start="113" w:end="113"/>
              <w:jc w:val="both"/>
              <w:rPr/>
            </w:pPr>
            <w:r>
              <w:rPr>
                <w:lang w:val="fr-FR"/>
              </w:rPr>
              <w:t>La mise en œuvre de la convention de l'UNESCO pour la sauvegarde du patrimoine culturel immatériel a eu un impact conséquent sur cette politique de recherche. En effet, les travaux de recherche conduits en France sur le patrimoine culturel immatériel sont de deux ordres.</w:t>
            </w:r>
          </w:p>
          <w:p>
            <w:pPr>
              <w:pStyle w:val="formtext"/>
              <w:snapToGrid w:val="false"/>
              <w:ind w:start="113" w:end="113"/>
              <w:jc w:val="both"/>
              <w:rPr/>
            </w:pPr>
            <w:r>
              <w:rPr>
                <w:lang w:val="fr-FR"/>
              </w:rPr>
              <w:t>En premier lieu, il s'agit de travaux de recherche portant sur des éléments du patrimoine immatériel ou visant à documenter celui-ci, en relation par exemple avec certaines des opérations d'inventaire. C'est le cas par exemple de l'ouvrage de Yann Leborgne, Des arbres, des rites et des croyances", Ouvrage coédité par le CRéCET et les Éditions OREP en 2012 et qui est issu des enquêtes d'inventaire consacrées aux pratiques et représentations liées au monde végétal en Normandie. A ce courant peuvent être rattachés les recherches mises en œuvre dans le cadre de Portethno, portail de recherche en ethnologie de la France, développé et mis en ligne par le ministère de la culture (disponible à l'adresse suivante : http://www.culturecommunication.gouv.fr/Disciplines-et-secteurs/Patrimoine-ethnologique/Travaux-de-recherche/Portethno)</w:t>
            </w:r>
          </w:p>
          <w:p>
            <w:pPr>
              <w:pStyle w:val="formtext"/>
              <w:snapToGrid w:val="false"/>
              <w:ind w:start="113" w:end="113"/>
              <w:jc w:val="both"/>
              <w:rPr/>
            </w:pPr>
            <w:r>
              <w:rPr>
                <w:lang w:val="fr-FR"/>
              </w:rPr>
              <w:t>Depuis 2008, la direction générale des patrimoines a développé un partenariat avec le pôle multimédia du ministère de la culture pour enrichir la collection de publications multimédia du MCC de sites Internet en relation avec les éléments inscrits sur les listes du PCI. Ainsi a été publié en 2009 le site Charpentiers d'Europe et d'ailleurs (voir : http://www.charpentiers.culture.fr/), qui faisait suite à l'inscription du tracé de charpente. Un autre site est actuellement en préparation sur le patrimoine du cheval, en relation avec l'inscription de l'équitation de tradition française, et plusieurs autres sites sont prévus (compagnonnage, musiques et danses de Bretagne, géants et dragons de France et de Belgique)</w:t>
            </w:r>
          </w:p>
          <w:p>
            <w:pPr>
              <w:pStyle w:val="formtext"/>
              <w:snapToGrid w:val="false"/>
              <w:ind w:start="113" w:end="113"/>
              <w:jc w:val="both"/>
              <w:rPr/>
            </w:pPr>
            <w:r>
              <w:rPr>
                <w:lang w:val="fr-FR"/>
              </w:rPr>
              <w:t>En second lieu, le patrimoine culturel immatériel a donné lieu en France à un important courant de recherches anthropologiques prenant le PCI et la convention comme objets d'études. Il s'agit alors de travaux conduits dans une approche résolument critique, critique qui peut également concerner les actions gouvernementales entreprises par la France dans le cadre de l'application des textes de la convention. La direction générale des patrimoines a dès l'origine soutenu ces recherches et en a publié un nombre important :</w:t>
            </w:r>
          </w:p>
          <w:p>
            <w:pPr>
              <w:pStyle w:val="formtext"/>
              <w:snapToGrid w:val="false"/>
              <w:ind w:start="113" w:end="113"/>
              <w:jc w:val="both"/>
              <w:rPr/>
            </w:pPr>
            <w:r>
              <w:rPr>
                <w:lang w:val="fr-FR"/>
              </w:rPr>
              <w:t>A partir de 2006, a été conduit en partenariat avec le CNRS (UMR IIAC, équipe LAHIC) un séminaire pluriannuel consacré au patrimoine culturel immatériel (voir : http://www.iiac.cnrs.fr/lahic/rubrique40.html)</w:t>
            </w:r>
          </w:p>
          <w:p>
            <w:pPr>
              <w:pStyle w:val="formtext"/>
              <w:snapToGrid w:val="false"/>
              <w:ind w:start="113" w:end="113"/>
              <w:jc w:val="both"/>
              <w:rPr/>
            </w:pPr>
            <w:r>
              <w:rPr>
                <w:lang w:val="fr-FR"/>
              </w:rPr>
              <w:t xml:space="preserve">Les résultats de ce travail collectif ont été publiés en 2011 : </w:t>
            </w:r>
            <w:r>
              <w:rPr/>
              <w:t>Le patrimoine culturel immatériel. Enjeux d'une nouvelle catégorie (Chiara Bortolotto dir. Avec la collab. d'Annick  Arnaud et Sylvie Grenet), Paris, Editions de la Maison des sciences de l'Homme, 2011, 252 p., p. 9-21.  (coll. ethnologie de la France, cahier n° 26).</w:t>
            </w:r>
          </w:p>
          <w:p>
            <w:pPr>
              <w:pStyle w:val="formtext"/>
              <w:snapToGrid w:val="false"/>
              <w:ind w:start="113" w:end="113"/>
              <w:jc w:val="both"/>
              <w:rPr>
                <w:lang w:val="fr-FR"/>
              </w:rPr>
            </w:pPr>
            <w:r>
              <w:rPr>
                <w:lang w:val="fr-FR"/>
              </w:rPr>
              <w:t>Plusieurs travaux de recherches individuels ont été publiés portant également sur le PCI en tant que politique ou concept :</w:t>
            </w:r>
          </w:p>
          <w:p>
            <w:pPr>
              <w:pStyle w:val="formtext"/>
              <w:snapToGrid w:val="false"/>
              <w:ind w:start="113" w:end="113"/>
              <w:jc w:val="both"/>
              <w:rPr/>
            </w:pPr>
            <w:r>
              <w:rPr>
                <w:lang w:val="fr-FR"/>
              </w:rPr>
              <w:t xml:space="preserve">Inventaire du patrimoine immatériel en France - Du recensement à la critique, par </w:t>
            </w:r>
            <w:r>
              <w:rPr>
                <w:bCs/>
              </w:rPr>
              <w:t>Gaetano Ciarcia</w:t>
            </w:r>
            <w:r>
              <w:rPr>
                <w:lang w:val="fr-FR"/>
              </w:rPr>
              <w:t>. Les carnets du Lahic n°3, Lahic/Mission à l’ethnologie, 2007.</w:t>
            </w:r>
          </w:p>
          <w:p>
            <w:pPr>
              <w:pStyle w:val="formtext"/>
              <w:snapToGrid w:val="false"/>
              <w:ind w:start="113" w:end="113"/>
              <w:jc w:val="both"/>
              <w:rPr>
                <w:lang w:val="fr-FR"/>
              </w:rPr>
            </w:pPr>
            <w:r>
              <w:rPr>
                <w:lang w:val="fr-FR"/>
              </w:rPr>
              <w:t>http://www.iiac.cnrs.fr/lahic/sites/lahic/IMG/pdf/Carnet_no3.pdf</w:t>
            </w:r>
          </w:p>
          <w:p>
            <w:pPr>
              <w:pStyle w:val="formtext"/>
              <w:snapToGrid w:val="false"/>
              <w:ind w:start="113" w:end="113"/>
              <w:jc w:val="both"/>
              <w:rPr>
                <w:lang w:val="fr-FR"/>
              </w:rPr>
            </w:pPr>
            <w:r>
              <w:rPr>
                <w:lang w:val="fr-FR"/>
              </w:rPr>
              <w:t xml:space="preserve">La perte durable - Etude sur la notion de "patrimoine immatériel" par Gaetano Ciarcia. </w:t>
              <w:br/>
              <w:t xml:space="preserve">Les carnets du Lahic n°1, Lahic/Mission à l’ethnologie, 2006. </w:t>
            </w:r>
          </w:p>
          <w:p>
            <w:pPr>
              <w:pStyle w:val="formtext"/>
              <w:snapToGrid w:val="false"/>
              <w:ind w:start="113" w:end="113"/>
              <w:jc w:val="both"/>
              <w:rPr>
                <w:lang w:val="fr-FR"/>
              </w:rPr>
            </w:pPr>
            <w:r>
              <w:rPr>
                <w:lang w:val="fr-FR"/>
              </w:rPr>
              <w:t>http://www.iiac.cnrs.fr/lahic/sites/lahic/IMG/pdf/Ciarcia_perte_durable.pdf</w:t>
            </w:r>
          </w:p>
          <w:p>
            <w:pPr>
              <w:pStyle w:val="formtext"/>
              <w:snapToGrid w:val="false"/>
              <w:ind w:start="113" w:end="113"/>
              <w:jc w:val="both"/>
              <w:rPr/>
            </w:pPr>
            <w:r>
              <w:rPr>
                <w:lang w:val="fr-FR"/>
              </w:rPr>
              <w:t>Le ministère de la culture et de la communication a également soutenu l'étude de Laurent-Sébastien Fournier, maître de conférences à l'Université de Nantes, consacrée à l'impact de l'inscription à l'UNESCO sur les pratiques et éléments du patrimoine culturel immatériel en France.</w:t>
            </w:r>
          </w:p>
          <w:p>
            <w:pPr>
              <w:pStyle w:val="formtext"/>
              <w:snapToGrid w:val="false"/>
              <w:ind w:start="113" w:end="113"/>
              <w:jc w:val="both"/>
              <w:rPr/>
            </w:pPr>
            <w:r>
              <w:rPr>
                <w:lang w:val="fr-FR"/>
              </w:rPr>
              <w:t>Il est enfin à noter que le système des allocations de formation et de recherche en ethnologie de la France, destiné depuis 30 ans à encourager les travaux de recherche des jeunes universitaires (niveau II et doctorants) a été ouvert depuis plusieurs années aux recherches portant sur le PCI, dans un esprit pluridisciplinaire (notamment pour des recherches en Droit du patrimoine)</w:t>
            </w:r>
          </w:p>
          <w:p>
            <w:pPr>
              <w:pStyle w:val="formtext"/>
              <w:snapToGrid w:val="false"/>
              <w:ind w:start="113" w:end="113"/>
              <w:jc w:val="both"/>
              <w:rPr>
                <w:lang w:val="fr-FR"/>
              </w:rPr>
            </w:pPr>
            <w:r>
              <w:rPr>
                <w:lang w:val="fr-FR"/>
              </w:rPr>
              <w:t>Autres activités scientifiques</w:t>
            </w:r>
          </w:p>
          <w:p>
            <w:pPr>
              <w:pStyle w:val="formtext"/>
              <w:snapToGrid w:val="false"/>
              <w:ind w:start="113" w:end="113"/>
              <w:jc w:val="both"/>
              <w:rPr>
                <w:lang w:val="fr-FR"/>
              </w:rPr>
            </w:pPr>
            <w:r>
              <w:rPr>
                <w:lang w:val="fr-FR"/>
              </w:rPr>
              <w:t>Le ministère de la culture tient à jour un recensement de publications scientifiques publiées sous ses auspices ou avec la participation de ses agents, disponible en ligne à l'adresse suivante :</w:t>
            </w:r>
          </w:p>
          <w:p>
            <w:pPr>
              <w:pStyle w:val="formtext"/>
              <w:snapToGrid w:val="false"/>
              <w:ind w:start="113" w:end="113"/>
              <w:jc w:val="both"/>
              <w:rPr>
                <w:lang w:val="fr-FR"/>
              </w:rPr>
            </w:pPr>
            <w:r>
              <w:rPr>
                <w:lang w:val="fr-FR"/>
              </w:rPr>
              <w:t>http://www.culturecommunication.gouv.fr/Disciplines-et-secteurs/Patrimoine-culturel-immateriel/Recherche-et-Formations/Publications</w:t>
            </w:r>
          </w:p>
          <w:p>
            <w:pPr>
              <w:pStyle w:val="formtext"/>
              <w:snapToGrid w:val="false"/>
              <w:ind w:start="113" w:end="113"/>
              <w:jc w:val="both"/>
              <w:rPr/>
            </w:pPr>
            <w:r>
              <w:rPr>
                <w:lang w:val="fr-FR"/>
              </w:rPr>
              <w:t>Le ministère de la culture et de la communication explore en outre la possibilité de créer une base de données en ligne consacrée au recensement interdisciplinaire des publications scientifiques portant sur le patrimoine culturel immatériel en langue française.</w:t>
            </w:r>
          </w:p>
          <w:p>
            <w:pPr>
              <w:pStyle w:val="formtext"/>
              <w:snapToGrid w:val="false"/>
              <w:ind w:start="113" w:end="113"/>
              <w:jc w:val="both"/>
              <w:rPr>
                <w:lang w:val="fr-FR"/>
              </w:rPr>
            </w:pPr>
            <w:r>
              <w:rPr>
                <w:lang w:val="fr-FR"/>
              </w:rPr>
              <w:t>Enfin, le ministère de la culture a organisé seul ou en partenariat plusieurs colloques scientifiques consacrés au patrimoine culturel immatériel, il en a également soutenu directement ou indirectement un plus grand nombre, dont un aperçu est donné ici :</w:t>
            </w:r>
          </w:p>
          <w:p>
            <w:pPr>
              <w:pStyle w:val="formtext"/>
              <w:snapToGrid w:val="false"/>
              <w:ind w:start="113" w:end="113"/>
              <w:jc w:val="both"/>
              <w:rPr>
                <w:lang w:val="fr-FR"/>
              </w:rPr>
            </w:pPr>
            <w:r>
              <w:rPr>
                <w:lang w:val="fr-FR"/>
              </w:rPr>
              <w:t>Le patrimoine culturel immatériel en Europe : Inventer son inventaire (INP, décembre 2007)</w:t>
            </w:r>
          </w:p>
          <w:p>
            <w:pPr>
              <w:pStyle w:val="formtext"/>
              <w:snapToGrid w:val="false"/>
              <w:ind w:start="113" w:end="113"/>
              <w:jc w:val="both"/>
              <w:rPr/>
            </w:pPr>
            <w:r>
              <w:rPr>
                <w:lang w:val="fr-FR"/>
              </w:rPr>
              <w:t>Colloque international « Définition, gestion et pratique du patrimoine culturel immatériel » organisé par l’Institut français de Hongrie, l’Office national hongrois du patrimoine culturel, l’Université ELTE et le Musée d’ethnographie en plein air de Szentendre, Budapest et Szentendre, 23-25 septembre 2010</w:t>
            </w:r>
          </w:p>
          <w:p>
            <w:pPr>
              <w:pStyle w:val="formtext"/>
              <w:snapToGrid w:val="false"/>
              <w:ind w:start="113" w:end="113"/>
              <w:jc w:val="both"/>
              <w:rPr/>
            </w:pPr>
            <w:r>
              <w:rPr>
                <w:lang w:val="fr-FR"/>
              </w:rPr>
              <w:t>Colloque international«  Droit et patrimoine culturel immatériel » organisé par le Ministère de la Culture (DG patrimoines), le LAHIC et le (CECOJI, CNRS-Université de Poitiers/UMR 6224, Université Paris-Sud 11) au musée du Quai Branly, 13 et 14 janvier 2011.</w:t>
            </w:r>
          </w:p>
          <w:p>
            <w:pPr>
              <w:pStyle w:val="formtext"/>
              <w:snapToGrid w:val="false"/>
              <w:ind w:start="113" w:end="113"/>
              <w:jc w:val="both"/>
              <w:rPr>
                <w:lang w:val="fr-FR"/>
              </w:rPr>
            </w:pPr>
            <w:r>
              <w:rPr>
                <w:lang w:val="fr-FR"/>
              </w:rPr>
              <w:t>colloque international Patrimoine culturel immatériel et collectivités intraétatiques : dimensions juridiques et régulations, organisé par l'Université Montesqiuieu Bordeaux IV sous le haut patronage de la CNFU, Bordeaux, 8 décembre 2011.</w:t>
            </w:r>
          </w:p>
          <w:p>
            <w:pPr>
              <w:pStyle w:val="formtext"/>
              <w:snapToGrid w:val="false"/>
              <w:spacing w:before="80" w:after="120"/>
              <w:ind w:start="113" w:end="113"/>
              <w:jc w:val="both"/>
              <w:rPr>
                <w:lang w:val="fr-FR"/>
              </w:rPr>
            </w:pPr>
            <w:r>
              <w:rPr>
                <w:lang w:val="fr-FR"/>
              </w:rPr>
              <w:t>Colloque international  Enjeux et modalités de gestion d’un patrimoine culturel immatériel inscrit à l’UNESCO », Aubusson 28 et 29 juin 2012.</w:t>
            </w:r>
          </w:p>
        </w:tc>
      </w:tr>
      <w:tr>
        <w:trPr/>
        <w:tc>
          <w:tcPr>
            <w:tcW w:w="780" w:type="dxa"/>
            <w:tcBorders>
              <w:top w:val="single" w:sz="4" w:space="0" w:color="000000"/>
              <w:start w:val="single" w:sz="4" w:space="0" w:color="000000"/>
              <w:bottom w:val="single" w:sz="4" w:space="0" w:color="000000"/>
            </w:tcBorders>
            <w:shd w:fill="E0E0E0" w:val="clear"/>
          </w:tcPr>
          <w:p>
            <w:pPr>
              <w:pStyle w:val="Grille02"/>
              <w:keepNext w:val="false"/>
              <w:snapToGrid w:val="false"/>
              <w:spacing w:before="120" w:after="120"/>
              <w:jc w:val="end"/>
              <w:rPr/>
            </w:pPr>
            <w:r>
              <w:rPr/>
              <w:t>B.4.</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Mesures visant à assurer la reconnaissance, le respect et la mise en valeur du patrimoine culturel immatériel</w:t>
            </w:r>
          </w:p>
          <w:p>
            <w:pPr>
              <w:pStyle w:val="Info2"/>
              <w:rPr/>
            </w:pPr>
            <w:r>
              <w:rPr>
                <w:lang w:val="fr-FR"/>
              </w:rPr>
              <w:t>Décrivez des mesures que vous avez prises pour assurer une plus grande reconnaissance, le respect et la mise en valeur du patrimoine culturel immatériel, en particulier celles visées à l’article 14 de la Convention et au paragraphe 101 des Directives opérationnelles :</w:t>
            </w:r>
          </w:p>
          <w:p>
            <w:pPr>
              <w:pStyle w:val="num02tab"/>
              <w:numPr>
                <w:ilvl w:val="0"/>
                <w:numId w:val="5"/>
              </w:numPr>
              <w:suppressAutoHyphens w:val="true"/>
              <w:ind w:hanging="284" w:start="397" w:end="113"/>
              <w:rPr>
                <w:lang w:val="fr-FR"/>
              </w:rPr>
            </w:pPr>
            <w:r>
              <w:rPr>
                <w:lang w:val="fr-FR"/>
              </w:rPr>
              <w:t>des programmes éducatifs, de sensibilisation et de diffusion d’informations à l’intention du public, notamment des jeunes (vous pourriez par exemple indiquer si le patrimoine culturel et matériel est intégré dans les programmes scolaires et, le cas échéant, selon quelles modalités) ;</w:t>
            </w:r>
          </w:p>
          <w:p>
            <w:pPr>
              <w:pStyle w:val="num02tab"/>
              <w:numPr>
                <w:ilvl w:val="0"/>
                <w:numId w:val="5"/>
              </w:numPr>
              <w:suppressAutoHyphens w:val="true"/>
              <w:ind w:hanging="284" w:start="397" w:end="113"/>
              <w:rPr>
                <w:lang w:val="fr-FR"/>
              </w:rPr>
            </w:pPr>
            <w:r>
              <w:rPr>
                <w:lang w:val="fr-FR"/>
              </w:rPr>
              <w:t>des programmes éducatifs et de formation au sein des communautés et des groupes concernés ;</w:t>
            </w:r>
          </w:p>
          <w:p>
            <w:pPr>
              <w:pStyle w:val="num02tab"/>
              <w:numPr>
                <w:ilvl w:val="0"/>
                <w:numId w:val="5"/>
              </w:numPr>
              <w:suppressAutoHyphens w:val="true"/>
              <w:ind w:hanging="284" w:start="397" w:end="113"/>
              <w:rPr>
                <w:lang w:val="fr-FR"/>
              </w:rPr>
            </w:pPr>
            <w:r>
              <w:rPr>
                <w:lang w:val="fr-FR"/>
              </w:rPr>
              <w:t>des activités de renforcement des capacités en matière de sauvegarde du patrimoine culturel immatériel ;</w:t>
            </w:r>
          </w:p>
          <w:p>
            <w:pPr>
              <w:pStyle w:val="num02tab"/>
              <w:numPr>
                <w:ilvl w:val="0"/>
                <w:numId w:val="5"/>
              </w:numPr>
              <w:suppressAutoHyphens w:val="true"/>
              <w:ind w:hanging="284" w:start="397" w:end="113"/>
              <w:rPr>
                <w:lang w:val="fr-FR"/>
              </w:rPr>
            </w:pPr>
            <w:r>
              <w:rPr>
                <w:lang w:val="fr-FR"/>
              </w:rPr>
              <w:t>des moyens non formels de transmission des savoirs (vous pourriez par exemple expliquer de quelle manière les modes de transmission non formels sont perçus et reconnus par le grand public et au niveau national) ;</w:t>
            </w:r>
          </w:p>
          <w:p>
            <w:pPr>
              <w:pStyle w:val="num02tab"/>
              <w:numPr>
                <w:ilvl w:val="0"/>
                <w:numId w:val="5"/>
              </w:numPr>
              <w:suppressAutoHyphens w:val="true"/>
              <w:spacing w:before="0" w:after="120"/>
              <w:ind w:hanging="284" w:start="397" w:end="113"/>
              <w:rPr/>
            </w:pPr>
            <w:r>
              <w:rPr>
                <w:lang w:val="fr-FR"/>
              </w:rPr>
              <w:t>éducation à la protection des espaces naturels et des lieux de mémoire dont l’existence est nécessaire à l’expression du patrimoine culturel immatériel.</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lang w:val="fr-FR"/>
              </w:rPr>
            </w:pPr>
            <w:r>
              <w:rPr>
                <w:lang w:val="fr-FR"/>
              </w:rPr>
              <w:t>Mesures visant à assurer la reconnaissance, le respect et la mise en valeur du patrimoine culturel immatériel</w:t>
              <w:br/>
              <w:br/>
              <w:t xml:space="preserve">1. Cadre général </w:t>
              <w:br/>
              <w:t xml:space="preserve"> </w:t>
              <w:br/>
              <w:t xml:space="preserve">Si les mesures règlementaires, telles que la mise en place de l'inventaire, relèvent de l'Etat, les mesures liées à la valorisation et à la reconnaissance du patrimoine culturel immatériel sont plutôt, en l'état actuel des choses, l'apanage des associations et des collectivités territoriales. </w:t>
              <w:br/>
              <w:t>Bien entendu, ces actions en faveur de la sensibilisation et de l'intéressement au patrimoine culturel immatériel sont soutenues et accompagnées par les représentants de l'Etat : depuis 2006, agents du ministère impliqués dans la mise en œuvre de la convention ont mené plus de 100 interventions auprès d'associations ou de groupements et réseaux professionnels impliqués dans la mise en œuvre de la convention.</w:t>
              <w:br/>
              <w:t>Il faut signaler à ce titre une certaine disparité, au plan national, entre diverses régions et divers secteurs d'activités impliqués dans le champ du PCI : l'implication de certaines collectivités territoriales est forte (Bretagne, Limousin, notamment par le biais des dossiers de candidature), il en va de même pour certains groupements professionnels ou associatifs (musiques et danses traditionnelles, métiers d'arts). Ce n'est pas le cas partout.</w:t>
              <w:br/>
              <w:t>On ne saurait donner ici un bilan exhaustif des actions menées dans ce domaine. Après avoir détaillé l'action conjointe de l'Etat et de la maison des cultures du Monde pour la reconnaissance et la valorisation du PCI en France, on abordera les actions selon les secteurs, en fournissant des exemples de projets et activités</w:t>
              <w:br/>
              <w:t>.</w:t>
              <w:br/>
              <w:t>2. L'action du ministère de la culture</w:t>
              <w:br/>
              <w:t xml:space="preserve"> </w:t>
              <w:br/>
              <w:t>Rencontres et manifestations</w:t>
              <w:br/>
              <w:br/>
              <w:t xml:space="preserve">Le ministère de la culture a fait porter ses efforts en direction des principaux réseaux concernés par le PCI en organisant avec eux des rencontres largement ouvertes destinées à faire connaître les principes de la convention, afin que ceux-ci soient ensuite appropriés dans les différents domaines : </w:t>
              <w:br/>
              <w:t>Première journée rencontre des maîtres d'art (Paris, 2007)</w:t>
              <w:br/>
              <w:t>Assises nationales des musiques et danses traditionnelles ( Nantes, 2007)</w:t>
              <w:br/>
              <w:t>Assises du patrimoine culturel immatériel en Bretagne (2008)</w:t>
              <w:br/>
              <w:t>Assises du Patrimoine culturel immatériel  en Auvergne (2009)</w:t>
              <w:br/>
              <w:t>Le patrimoine culturel immatériel dans les Parcs naturels régionaux (2010)</w:t>
              <w:br/>
              <w:t>Les musées de sociétés et le patrimoine culturel immatériel (2011)</w:t>
              <w:br/>
              <w:t>Deuxièmes assises du patrimoine culturel immatériel en Bretagne (2012)</w:t>
              <w:br/>
              <w:br/>
              <w:t>Le ministère de la culture et de la communication a également soutenu un grand nombre de rencontres plus ponctuelles, en relation avec les activités des associations impliquées dans la sauvegarde du PCI (par exemple : le séminaire d'ethnomusicologie de la Caraïbe, en juillet 2007, en relation avec le festival de musiques et danses traditionnelles de Sainte-Anne de la Guadeloupe, en juillet 2007).</w:t>
              <w:br/>
              <w:t xml:space="preserve"> </w:t>
              <w:br/>
              <w:t>Un intérêt tout particulier a été apporté aux potentiel de médiatisation offert par les candidatures pour la liste représentative du patrimoine culturel immatériel de l'Humanité, ses candidatures ont beaucoup fait pur faire connaître et apprécié en France le concept de patrimoine culturel immatériel.</w:t>
              <w:br/>
              <w:br/>
              <w:t>Publications et diffusion de l'information</w:t>
              <w:br/>
              <w:br/>
              <w:t>L'action du ministère s'est également manifestée par le biais de la publication de livres de documentation, de sensibilisation et d'information sur le patrimoine culturel immatériel :</w:t>
              <w:br/>
              <w:t xml:space="preserve"> </w:t>
              <w:br/>
              <w:t xml:space="preserve"> Culture et recherche, « Le patrimoine culturel immatériel »,  printemps-été 2008, n° 116. Disponible en ligne : http://www.culture.gouv.fr/culture/editions/r-cr.htm</w:t>
              <w:br/>
              <w:t xml:space="preserve">Le patrimoine culturel. Premières expériences en France, Paris et Arles, Maison des cultures du monde et Actes sud, 2011, 365 p. (collection « Internationale de l'imaginaire, n.s., numéro 21) </w:t>
              <w:br/>
              <w:t>Culture et recherche, « les nouveaux terrains de l'ethnologie », automne -hiver 2012, n°127. Disponible en ligne : http://www.culturecommunication.gouv.fr/Politiques-ministerielles/Recherche-Enseignement-superieur-Technologies/La-revue-Culture-et-recherche/Culture-et-recherche-n-127</w:t>
              <w:br/>
              <w:br/>
              <w:t>Création et valorisation</w:t>
              <w:br/>
              <w:br/>
              <w:t>Le ministère de la culture soutien spécifiquement la création audiovisuelle dans le domaine du patrimoine culturel immatériel, soit par le biais d'aide à la réalisation de documentaires, soit par la dotation de prix spécifiques dédiés au patrimoine culturel immatériel dans les principaux festivals de films documentaires ( Cinéma du Réel et Bilan du Film ethnographique, festival international Jean Rouch)</w:t>
              <w:br/>
              <w:t xml:space="preserve">Les informations relatives à ce dispositif de soutien sont disponibles en ligne : </w:t>
              <w:br/>
              <w:t>http://www.culturecommunication.gouv.fr/Disciplines-et-secteurs/Patrimoine-ethnologique/Audiovisue</w:t>
              <w:br/>
              <w:t>l</w:t>
              <w:br/>
              <w:t>3. L'Action de la maison des cultures du Monde</w:t>
              <w:br/>
              <w:br/>
              <w:t xml:space="preserve">Associations soutenue par le ministère de la culture et de la communication, la Maison des cultures du monde organise depuis 30 ans le Festival de l'imaginaire, principal lieu de découverte à Paris des formes du patrimoine culturel immatériel du monde entier. </w:t>
              <w:br/>
              <w:t>Dès avant la ratification par la France (2006), la maison des cultures du monde a joué un rôle important dans la diffusion du concept de patrimoine culturel immatériel. Ce rôle s'est largement affirmé à la suite de la ratification de la convention.</w:t>
              <w:br/>
              <w:t>Manifestations</w:t>
              <w:br/>
              <w:t>festival de l'imaginaire : festival dédié depuis 30 ans à la découverte des formes du patrimoine culturel immatériel du monde entier. Les enregistrements du festival sont conservés au centre de documentation de la Maison des cultures du Monde à Vitréet font l'objet d'un programme de numérisation soutenu par le ministère de la culture et de la communication</w:t>
              <w:br/>
              <w:br/>
              <w:t>Rencontres</w:t>
              <w:br/>
              <w:br/>
              <w:t xml:space="preserve">Depuis 2004, la maison des cultures du Monde organise des rencontres annuelles dédiées au patrimoine culturel immatériel. Ces rencontres visent un large public d'amateurs, de curieux, de professionnels, de chercheurs, et praticiens du PCI. Elles portent chaque année sur un thème différent. </w:t>
              <w:br/>
              <w:br/>
              <w:t xml:space="preserve">Publications et diffusion </w:t>
              <w:br/>
              <w:br/>
              <w:t xml:space="preserve">Par le biais de la collection L’internationale de l'imaginaire, plusieurs journées du PCI ont fait l'objet de publications destinées à un large public : </w:t>
              <w:br/>
              <w:t>Le patrimoine culturel immatériel : les enjeux, les problématiques et les pratiques (babel n° 620)</w:t>
              <w:br/>
              <w:t>Le patrimoine culturel immatériel à la lumière de l’extrême orient (babel n°957)</w:t>
              <w:br/>
              <w:t>La maison des cultures du Monde (centre français du patrimoine culturel immatériel de vitré) a mis en place en 2012 une exposition destinée à la compréhension du patrimoine culturel immatériel et destinée au plus large public intitulée « le PCI, qu'est-ce que c'est ? »</w:t>
              <w:br/>
              <w:br/>
              <w:t>4. Action des réseaux : Les centres de musiques et danses traditionnelles</w:t>
              <w:br/>
              <w:br/>
              <w:t xml:space="preserve">Les centres des musiques et danses traditionnelles ont été les premiers à mettre en place une information large sur les objectifs et moyens de la convention, notamment par le biais des assises tenues à Nantes en 2007. </w:t>
              <w:br/>
              <w:t xml:space="preserve">Une action plus déterminante a été conduite l'année suivante avec les assises du patrimoine culturel immatériel en Bretagne, qui ont débouché sur la mise en place, autour de Dastum (centre de musiques et danses traditionnelles de Bretagne) d'un groupe de travail consacré au patrimoine culturel immatériel en Bretagne. Ce groupe de travail est à l'origine des différentes dossiers ou projets de dossiers de candidatures sur les listes du PCI de l'UNESCO. Il est surtout à l'origine d'une démarche originale visant, par le biais de réunions, de rencontres et à travers la diffusion d'un appel à la reconnaissance du PCI en Bretagne, à faire reconnaître le PCI comme une politique culturelle à part entière par les instances régionales. Cette démarche a été largement soutenue par le conseil régional de Bretagne. </w:t>
              <w:br/>
              <w:t>Autour du centre Repriz, centre des musiques et danses traditionnelles de Guadeloupe, une dynamique semblable s'est nouée en faveur de la reconnaissance du patrimoine culturel immatériel sur cette île des Antilles françaises.</w:t>
              <w:br/>
              <w:br/>
              <w:t>5. Action des réseaux : les parcs naturels régionaux</w:t>
              <w:br/>
              <w:br/>
              <w:t xml:space="preserve">Les actions dans le domaine des parcs naturels régionaux (PNR) sont moins nombreuses et moins structurées, mais certaines méritent d'être signalées. </w:t>
              <w:br/>
              <w:t xml:space="preserve">La plus originale est la mise en place, dans le cadre du renouvellement de la charte du Parc naturel régional du Ballon des Vosges, un dispositif de démocratie participative visant à faire désigner par les habitants du territoire les éléments du PCI qu’ils souhaitaient sauvegarder. Les élus du Parc ont accepté le processus et les choix faits par les habitants (la traction animale et la technique de couverture traditionnelle en bois des chalots). Les habitants du territoire ont ensuite élaboré, dans le cadre de groupes de travail, les mesures de sauvegarde qu’ils préconisaient pour le renouvellement et l'entretien de ces pratiques traditionnelles. </w:t>
              <w:br/>
              <w:t xml:space="preserve">Cette expérience est détaillée dans le cadre du numéro 127 de la revue Culture et recherche : </w:t>
              <w:br/>
              <w:t>«  les nouveaux terrains de l'ethnologie », automne -hiver 2012, n°127. Disponible en ligne : http://www.culturecommunication.gouv.fr/Politiques-ministerielles/Recherche-Enseignement-superieur-Technologies/La-revue-Culture-et-recherche/Culture-et-recherche-n-12</w:t>
              <w:br/>
              <w:t xml:space="preserve"> FILLIN "Text1"µ</w:t>
            </w:r>
          </w:p>
          <w:p>
            <w:pPr>
              <w:pStyle w:val="formtext"/>
              <w:snapToGrid w:val="false"/>
              <w:spacing w:before="80" w:after="80"/>
              <w:ind w:start="113" w:end="113"/>
              <w:jc w:val="both"/>
              <w:rPr>
                <w:lang w:val="fr-FR"/>
              </w:rPr>
            </w:pPr>
            <w:r>
              <w:rPr>
                <w:lang w:val="fr-FR"/>
              </w:rP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B.5.</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pPr>
            <w:r>
              <w:rPr>
                <w:lang w:val="fr-FR"/>
              </w:rPr>
              <w:t>Coopération bilatérale, sous-régionale, régionale et internationale</w:t>
            </w:r>
          </w:p>
          <w:p>
            <w:pPr>
              <w:pStyle w:val="Info2"/>
              <w:rPr/>
            </w:pPr>
            <w:r>
              <w:rPr>
                <w:lang w:val="fr-FR"/>
              </w:rPr>
              <w:t xml:space="preserve">Rendez compte des mesures prises aux niveaux bilatéral, sous-régional, régional et international pour la mise en œuvre de la Convention, y compris les mesures de coopération internationale telles que l’échange d’informations et de données d’expérience, et des initiatives communes, qui sont visées à l’article 19 de la Convention et au paragraphe 102 des Directives opérationnelles. </w:t>
            </w:r>
            <w:r>
              <w:rPr/>
              <w:t>Vous pourriez par exemple mentionner les activités suivantes :</w:t>
            </w:r>
          </w:p>
          <w:p>
            <w:pPr>
              <w:pStyle w:val="num02tab"/>
              <w:numPr>
                <w:ilvl w:val="0"/>
                <w:numId w:val="6"/>
              </w:numPr>
              <w:suppressAutoHyphens w:val="true"/>
              <w:ind w:hanging="284" w:start="397" w:end="113"/>
              <w:rPr>
                <w:lang w:val="fr-FR"/>
              </w:rPr>
            </w:pPr>
            <w:r>
              <w:rPr>
                <w:lang w:val="fr-FR"/>
              </w:rPr>
              <w:t>partage de la documentation sur un élément du patrimoine culturel immatériel présent sur le territoire d’un autre État partie (paragraphe 84 des Directives opérationnelles) ;</w:t>
            </w:r>
          </w:p>
          <w:p>
            <w:pPr>
              <w:pStyle w:val="num02tab"/>
              <w:numPr>
                <w:ilvl w:val="0"/>
                <w:numId w:val="6"/>
              </w:numPr>
              <w:suppressAutoHyphens w:val="true"/>
              <w:ind w:hanging="284" w:start="397" w:end="113"/>
              <w:rPr>
                <w:lang w:val="fr-FR"/>
              </w:rPr>
            </w:pPr>
            <w:r>
              <w:rPr>
                <w:lang w:val="fr-FR"/>
              </w:rPr>
              <w:t>participation aux activités relevant de la coopération régionale, par exemple celles des centres de catégorie 2 pour le patrimoine culturel immatériel qui sont ou seront créés sous les auspices de l’UNESCO (paragraphe 85 des Directives opérationnelles) ;</w:t>
            </w:r>
          </w:p>
          <w:p>
            <w:pPr>
              <w:pStyle w:val="num02tab"/>
              <w:numPr>
                <w:ilvl w:val="0"/>
                <w:numId w:val="6"/>
              </w:numPr>
              <w:suppressAutoHyphens w:val="true"/>
              <w:spacing w:before="0" w:after="120"/>
              <w:ind w:hanging="284" w:start="397" w:end="113"/>
              <w:rPr/>
            </w:pPr>
            <w:r>
              <w:rPr>
                <w:lang w:val="fr-FR"/>
              </w:rPr>
              <w:t>développement de réseaux de communautés, d’experts, de centres d’expertise et d’instituts de recherche, aux niveaux sous-régional et régional, pour élaborer des approches communes et interdisciplinaires pour ce qui est des éléments du patrimoine culturel immatériel que plusieurs pays ont en commun (paragraphe 83 des Directives opérationnelles).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lang w:val="fr-FR"/>
              </w:rPr>
            </w:pPr>
            <w:r>
              <w:rPr>
                <w:lang w:val="fr-FR"/>
              </w:rPr>
              <w:t>Coopération internationale</w:t>
            </w:r>
          </w:p>
          <w:p>
            <w:pPr>
              <w:pStyle w:val="formtext"/>
              <w:snapToGrid w:val="false"/>
              <w:ind w:start="113" w:end="113"/>
              <w:jc w:val="both"/>
              <w:rPr>
                <w:lang w:val="fr-FR"/>
              </w:rPr>
            </w:pPr>
            <w:r>
              <w:rPr>
                <w:lang w:val="fr-FR"/>
              </w:rPr>
              <w:t>1. La mise en place des Inventaires en France. L’explicitation de la politique française en matière de PCI</w:t>
            </w:r>
          </w:p>
          <w:p>
            <w:pPr>
              <w:pStyle w:val="formtext"/>
              <w:snapToGrid w:val="false"/>
              <w:ind w:start="113" w:end="113"/>
              <w:jc w:val="both"/>
              <w:rPr>
                <w:lang w:val="fr-FR"/>
              </w:rPr>
            </w:pPr>
            <w:r>
              <w:rPr>
                <w:lang w:val="fr-FR"/>
              </w:rPr>
              <w:t>a. La coopération avec le Québec</w:t>
            </w:r>
          </w:p>
          <w:p>
            <w:pPr>
              <w:pStyle w:val="formtext"/>
              <w:snapToGrid w:val="false"/>
              <w:ind w:start="113" w:end="113"/>
              <w:jc w:val="both"/>
              <w:rPr/>
            </w:pPr>
            <w:r>
              <w:rPr>
                <w:lang w:val="fr-FR"/>
              </w:rPr>
              <w:t>Dès les premières années qui ont suivi la ratification par la France de la convention pour la sauvegarde du PCI, une coopération internationale s’est mise en place pour la réalisation des inventaires en France. Cette coopération s’est faite avec un Etat non-membre de la Convention, le Canada, et plus particulièrement avec le Québec qui mettait en place, peu de temps avant la France, son propre inventaire du PCI, sous le nom du programme IREPI (Inventaire des ressources ethnologiques du patrimoine immatériel), mis en place par l’Université Laval, sous la direction du pr. Laurier Turgeon.</w:t>
            </w:r>
          </w:p>
          <w:p>
            <w:pPr>
              <w:pStyle w:val="formtext"/>
              <w:snapToGrid w:val="false"/>
              <w:ind w:start="113" w:end="113"/>
              <w:jc w:val="both"/>
              <w:rPr/>
            </w:pPr>
            <w:r>
              <w:rPr>
                <w:lang w:val="fr-FR"/>
              </w:rPr>
              <w:t xml:space="preserve">La méthode mise en place en France s’est librement inspirée du travail conduit à l’Université Laval et dans tous les Québec et de fréquents échanges ont été organisés entre 2007 et 2009 pour étudier le travail québécois, mais aussi pour accueillir en retour des chercheurs de l’Université Laval impliqués dans ce travail. </w:t>
            </w:r>
          </w:p>
          <w:p>
            <w:pPr>
              <w:pStyle w:val="formtext"/>
              <w:snapToGrid w:val="false"/>
              <w:ind w:start="113" w:end="113"/>
              <w:jc w:val="both"/>
              <w:rPr>
                <w:lang w:val="fr-FR"/>
              </w:rPr>
            </w:pPr>
            <w:r>
              <w:rPr>
                <w:lang w:val="fr-FR"/>
              </w:rPr>
              <w:t>b. Un partage des informations au niveau international.</w:t>
            </w:r>
          </w:p>
          <w:p>
            <w:pPr>
              <w:pStyle w:val="formtext"/>
              <w:snapToGrid w:val="false"/>
              <w:ind w:start="113" w:end="113"/>
              <w:jc w:val="both"/>
              <w:rPr/>
            </w:pPr>
            <w:r>
              <w:rPr>
                <w:lang w:val="fr-FR"/>
              </w:rPr>
              <w:t xml:space="preserve">Parallèlement à la mise en place du programme d’Inventaire en France, un travail important d’échanges scientifiques a été mise en place pour confronter l’expérience française en matière d’inventaires du PCI avec celles d’autres pays. </w:t>
            </w:r>
          </w:p>
          <w:p>
            <w:pPr>
              <w:pStyle w:val="formtext"/>
              <w:snapToGrid w:val="false"/>
              <w:ind w:start="113" w:end="113"/>
              <w:jc w:val="both"/>
              <w:rPr>
                <w:lang w:val="fr-FR"/>
              </w:rPr>
            </w:pPr>
            <w:r>
              <w:rPr>
                <w:lang w:val="fr-FR"/>
              </w:rPr>
              <w:t xml:space="preserve">On peut citer ici notamment : </w:t>
            </w:r>
          </w:p>
          <w:p>
            <w:pPr>
              <w:pStyle w:val="formtext"/>
              <w:snapToGrid w:val="false"/>
              <w:ind w:start="113" w:end="113"/>
              <w:jc w:val="both"/>
              <w:rPr>
                <w:lang w:val="fr-FR"/>
              </w:rPr>
            </w:pPr>
            <w:r>
              <w:rPr>
                <w:lang w:val="fr-FR"/>
              </w:rPr>
              <w:t>« The Ethnology Department of the French Ministry of culture and the Inventories of Intangible Heritage in France », communication au séminaire « Principles and experiences of Drawing UP Intangible Heritage Inventories un Europe », organisé par l’UNESCO, Tallinn, 13-15 mai 2007.</w:t>
            </w:r>
          </w:p>
          <w:p>
            <w:pPr>
              <w:pStyle w:val="formtext"/>
              <w:snapToGrid w:val="false"/>
              <w:ind w:start="113" w:end="113"/>
              <w:jc w:val="both"/>
              <w:rPr>
                <w:lang w:val="fr-FR"/>
              </w:rPr>
            </w:pPr>
            <w:r>
              <w:rPr>
                <w:lang w:val="fr-FR"/>
              </w:rPr>
              <w:t>Version en ligne : http://www.unesco.org/culture/ich/index.php?lg=EN&amp;meeting_id=00076</w:t>
            </w:r>
          </w:p>
          <w:p>
            <w:pPr>
              <w:pStyle w:val="formtext"/>
              <w:snapToGrid w:val="false"/>
              <w:ind w:start="113" w:end="113"/>
              <w:jc w:val="both"/>
              <w:rPr/>
            </w:pPr>
            <w:r>
              <w:rPr>
                <w:lang w:val="fr-FR"/>
              </w:rPr>
              <w:t>« The implementation of the ICH convention in France » (avec Sylvie Grenet) communication au séminaire organisé par le Centre flamand pour la culture populaire (CVC), Bruxelles, 7 et 8 juin 2007.</w:t>
            </w:r>
          </w:p>
          <w:p>
            <w:pPr>
              <w:pStyle w:val="formtext"/>
              <w:snapToGrid w:val="false"/>
              <w:ind w:start="113" w:end="113"/>
              <w:jc w:val="both"/>
              <w:rPr>
                <w:lang w:val="fr-FR"/>
              </w:rPr>
            </w:pPr>
            <w:r>
              <w:rPr>
                <w:lang w:val="fr-FR"/>
              </w:rPr>
              <w:t>« L’attuazione della convenzione per la Salvaguardia del Patrimonio Culturale Intangibile : l’esperienza francese », Colloque Le nuove Convenzioni UNESCO : Il coinvolgimento delle Regioni e degli Enti Locali nella loro attuazione e promozione, Rome, Bibliothèque nationale centrale, 29 septembre 2007</w:t>
            </w:r>
          </w:p>
          <w:p>
            <w:pPr>
              <w:pStyle w:val="formtext"/>
              <w:snapToGrid w:val="false"/>
              <w:ind w:start="113" w:end="113"/>
              <w:jc w:val="both"/>
              <w:rPr/>
            </w:pPr>
            <w:r>
              <w:rPr>
                <w:lang w:val="fr-FR"/>
              </w:rPr>
              <w:t>), Le patrimoine culturel immatériel en Europe : inventer son inventaire, actes de la journée d’études organisée par la Direction de l’architecture et du patrimoine et l’Institut national du patrimoine le 30 novembre 2007. Publication en ligne :</w:t>
            </w:r>
          </w:p>
          <w:p>
            <w:pPr>
              <w:pStyle w:val="formtext"/>
              <w:snapToGrid w:val="false"/>
              <w:ind w:start="113" w:end="113"/>
              <w:jc w:val="both"/>
              <w:rPr>
                <w:lang w:val="fr-FR"/>
              </w:rPr>
            </w:pPr>
            <w:r>
              <w:rPr>
                <w:lang w:val="fr-FR"/>
              </w:rPr>
              <w:t>http://www.inp.fr/patrimoines_en_ligne/publications_en_ligne/</w:t>
            </w:r>
          </w:p>
          <w:p>
            <w:pPr>
              <w:pStyle w:val="formtext"/>
              <w:snapToGrid w:val="false"/>
              <w:ind w:start="113" w:end="113"/>
              <w:jc w:val="both"/>
              <w:rPr/>
            </w:pPr>
            <w:r>
              <w:rPr/>
              <w:t>« Intangible cultural heritage and the culture of tangible heritage : fortunes and misfortunes of the implementation of the 2003 UNESCO convention in France », Between objects and ideas : Re-thinking the role of intangible heritage, The 4th annual Ename international colloquium, Gand (Belgique), 26-28 mars 2008.</w:t>
            </w:r>
          </w:p>
          <w:p>
            <w:pPr>
              <w:pStyle w:val="formtext"/>
              <w:snapToGrid w:val="false"/>
              <w:ind w:start="113" w:end="113"/>
              <w:jc w:val="both"/>
              <w:rPr>
                <w:lang w:val="fr-FR"/>
              </w:rPr>
            </w:pPr>
            <w:r>
              <w:rPr>
                <w:lang w:val="fr-FR"/>
              </w:rPr>
              <w:t>« Quelle politique pour le patrimoine culturel immatériel ? réflexions à partir de l’exemple français (2005-2008) », Intervention au colloque Racines et culture – La rencontre de Mons, organisé par la ville de Mons et les Rencontres, association des villes et régions de la Grande Europe, Mons (Belgique), 15-18 mai 2008.</w:t>
            </w:r>
          </w:p>
          <w:p>
            <w:pPr>
              <w:pStyle w:val="formtext"/>
              <w:snapToGrid w:val="false"/>
              <w:ind w:start="113" w:end="113"/>
              <w:jc w:val="both"/>
              <w:rPr/>
            </w:pPr>
            <w:r>
              <w:rPr/>
              <w:t>« The role of the inventory in safeguarding intangible heritage methodology » dialogue with David Officer, Recording and safeguarding the intangible, Euromed Heritage 4 workshop, Palerme, Biotos Cultura e Eventi, 20-22 février 2010</w:t>
            </w:r>
          </w:p>
          <w:p>
            <w:pPr>
              <w:pStyle w:val="formtext"/>
              <w:snapToGrid w:val="false"/>
              <w:ind w:start="113" w:end="113"/>
              <w:jc w:val="both"/>
              <w:rPr/>
            </w:pPr>
            <w:r>
              <w:rPr>
                <w:lang w:val="fr-FR"/>
              </w:rPr>
              <w:t>« Du patrimoine culturel immatériel au pays de Viollet-le-Duc. Retour sur quatre années de mise en œuvre de la convention de l’UNESCO pour la sauvegarde du PCI en France », colloque international « Définition, gestion et pratique du patrimoine culturel immatériel » organisé par l’Institut français de Hongrie, l’Office national hongrois du patrimoine culturel, l’Université ELTE et le Musée d’ethnographie en plein air de Szentendre, Budapest et Szentendre, 23-25 septembre 2010.</w:t>
            </w:r>
          </w:p>
          <w:p>
            <w:pPr>
              <w:pStyle w:val="formtext"/>
              <w:snapToGrid w:val="false"/>
              <w:ind w:start="113" w:end="113"/>
              <w:jc w:val="both"/>
              <w:rPr/>
            </w:pPr>
            <w:r>
              <w:rPr/>
              <w:t>« Intangible heritage in viollet-le-Duc’s country. Reveiw of four years of implementation of the UNESCO convention in France », Internationale Tatung « Europäisches Kulturerbe – Bilder, traditionen, Konfigurationen », Kassel Universität Kassel, 8 – 9 octobre 2010.</w:t>
            </w:r>
          </w:p>
          <w:p>
            <w:pPr>
              <w:pStyle w:val="formtext"/>
              <w:snapToGrid w:val="false"/>
              <w:ind w:start="113" w:end="113"/>
              <w:jc w:val="both"/>
              <w:rPr/>
            </w:pPr>
            <w:r>
              <w:rPr/>
              <w:t>« The french ministery of Culture and ICH : a civil servant point of view ? » communication dans le panel « Applying the UNESCO intangible Cultural Heritage paradigm II – Heritage administration : case studies from Asia to Europe », annual meeting of the SEG / SEE, Bern, 12 et 13 novembre 2010</w:t>
            </w:r>
          </w:p>
          <w:p>
            <w:pPr>
              <w:pStyle w:val="formtext"/>
              <w:snapToGrid w:val="false"/>
              <w:ind w:start="113" w:end="113"/>
              <w:jc w:val="both"/>
              <w:rPr>
                <w:lang w:val="fr-FR"/>
              </w:rPr>
            </w:pPr>
            <w:r>
              <w:rPr>
                <w:lang w:val="fr-FR"/>
              </w:rPr>
              <w:t>« O patrimonio culturel immaterial no pais de Viollet-le-Duc. Sucesso et insuccessos du convençao de Unesco para a salvaguarda do patrimonio cultural immaterial », Revista Mémoria enm Rede, odiçao n° 04, 1 – 2011, p. 18-48.</w:t>
            </w:r>
          </w:p>
          <w:p>
            <w:pPr>
              <w:pStyle w:val="formtext"/>
              <w:snapToGrid w:val="false"/>
              <w:ind w:start="113" w:end="113"/>
              <w:jc w:val="both"/>
              <w:rPr>
                <w:lang w:val="fr-FR"/>
              </w:rPr>
            </w:pPr>
            <w:r>
              <w:rPr>
                <w:lang w:val="fr-FR"/>
              </w:rPr>
              <w:t>disponible en ligne : http://www.ufpel.edu.br/ich/memoriaemrede/revista/edicao-04/sumario-4/</w:t>
            </w:r>
          </w:p>
          <w:p>
            <w:pPr>
              <w:pStyle w:val="formtext"/>
              <w:snapToGrid w:val="false"/>
              <w:ind w:start="113" w:end="113"/>
              <w:jc w:val="both"/>
              <w:rPr/>
            </w:pPr>
            <w:r>
              <w:rPr>
                <w:lang w:val="fr-FR"/>
              </w:rPr>
              <w:t>« À la recherche du patrimoine immatériel, stratégies, tactiques et tâtonnements pour la mise en œuvre par la France de la Convention de 2003 », intervention au colloque international Les mesures de soutien au patrimoine culturel immatériel : gouvernements, institutions, municipalités, organisé par le Conseil Québecois du patrimoine vivant, Québec, 14-18 avril 2011.</w:t>
            </w:r>
          </w:p>
          <w:p>
            <w:pPr>
              <w:pStyle w:val="formtext"/>
              <w:snapToGrid w:val="false"/>
              <w:ind w:start="113" w:end="113"/>
              <w:jc w:val="both"/>
              <w:rPr>
                <w:lang w:val="fr-FR"/>
              </w:rPr>
            </w:pPr>
            <w:r>
              <w:rPr>
                <w:lang w:val="fr-FR"/>
              </w:rPr>
              <w:t>2. La construction d’une expertise partagée sur le PCI au plan international : le travail avec la Maison des cultures du Monde.</w:t>
            </w:r>
          </w:p>
          <w:p>
            <w:pPr>
              <w:pStyle w:val="formtext"/>
              <w:snapToGrid w:val="false"/>
              <w:ind w:start="113" w:end="113"/>
              <w:jc w:val="both"/>
              <w:rPr/>
            </w:pPr>
            <w:r>
              <w:rPr>
                <w:lang w:val="fr-FR"/>
              </w:rPr>
              <w:t xml:space="preserve">Comme il a déjà été dit plus haut, la Maison des cultures du Monde est une ONG particulièrement active dans les échanges internationaux en matière de patrimoine culturel immatériel. </w:t>
            </w:r>
          </w:p>
          <w:p>
            <w:pPr>
              <w:pStyle w:val="formtext"/>
              <w:snapToGrid w:val="false"/>
              <w:ind w:start="113" w:end="113"/>
              <w:jc w:val="both"/>
              <w:rPr>
                <w:lang w:val="fr-FR"/>
              </w:rPr>
            </w:pPr>
            <w:r>
              <w:rPr>
                <w:lang w:val="fr-FR"/>
              </w:rPr>
              <w:t xml:space="preserve">Les rencontres organisées par la Maison des cultures du Monde, l’accueil de professionnels du patrimoine immatériel, qu’ils appartiennent à des ONG, des institutions gouvernementales ou des centres de recherche et d’experetises, créent les conditions favorables à l’émergence d’une expertise partagée au plan international dans le champ du PCI. </w:t>
            </w:r>
          </w:p>
          <w:p>
            <w:pPr>
              <w:pStyle w:val="formtext"/>
              <w:snapToGrid w:val="false"/>
              <w:ind w:start="113" w:end="113"/>
              <w:jc w:val="both"/>
              <w:rPr>
                <w:lang w:val="fr-FR"/>
              </w:rPr>
            </w:pPr>
            <w:r>
              <w:rPr>
                <w:lang w:val="fr-FR"/>
              </w:rPr>
              <w:t>a. La coopération formelle avec l’UNESCO</w:t>
            </w:r>
          </w:p>
          <w:p>
            <w:pPr>
              <w:pStyle w:val="formtext"/>
              <w:snapToGrid w:val="false"/>
              <w:ind w:start="113" w:end="113"/>
              <w:jc w:val="both"/>
              <w:rPr/>
            </w:pPr>
            <w:r>
              <w:rPr>
                <w:lang w:val="fr-FR"/>
              </w:rPr>
              <w:t>La Maison des cultures du Monde a organisé, en partenariat avec le Ministère de la culture, deux rencontres internationales directement liées aux travaux de la convention :</w:t>
            </w:r>
          </w:p>
          <w:p>
            <w:pPr>
              <w:pStyle w:val="formtext"/>
              <w:snapToGrid w:val="false"/>
              <w:ind w:start="113" w:end="113"/>
              <w:jc w:val="both"/>
              <w:rPr>
                <w:lang w:val="fr-FR"/>
              </w:rPr>
            </w:pPr>
            <w:r>
              <w:rPr>
                <w:lang w:val="fr-FR"/>
              </w:rPr>
              <w:t>« La place des communautés et des centres de recherche dans la mise en œuvre de la convention de l’UNESCO pour la sauvegarde du patrimoine culturel immatériel »,  séminaire organisé par l’UNESCO et le Ministère de la culture à la Maison des cultures du monde, Vitré, 29 janvier 2008.</w:t>
            </w:r>
          </w:p>
          <w:p>
            <w:pPr>
              <w:pStyle w:val="formtext"/>
              <w:snapToGrid w:val="false"/>
              <w:ind w:start="113" w:end="113"/>
              <w:jc w:val="both"/>
              <w:rPr/>
            </w:pPr>
            <w:r>
              <w:rPr>
                <w:lang w:val="fr-FR"/>
              </w:rPr>
              <w:t>« Les pratiques alimentaires et les systèmes culturel qui leur sont associés dans le cadre de la convention de l’UNESCO pour la sauvegarde du patrimoine culturel immatériel », séminaire international organisé par le Ministère de la culture en partenariat avec l’UNESCO et la Maison des cultures du Monde, Vitré, Centre de documentation de la MCM, 4 et 5 avril 2009.</w:t>
            </w:r>
          </w:p>
          <w:p>
            <w:pPr>
              <w:pStyle w:val="formtext"/>
              <w:snapToGrid w:val="false"/>
              <w:ind w:start="113" w:end="113"/>
              <w:jc w:val="both"/>
              <w:rPr>
                <w:lang w:val="fr-FR"/>
              </w:rPr>
            </w:pPr>
            <w:r>
              <w:rPr>
                <w:lang w:val="fr-FR"/>
              </w:rPr>
              <w:t>b. Les journées du patrimoine culturel immatériel à la Maison de cultures du Monde</w:t>
            </w:r>
          </w:p>
          <w:p>
            <w:pPr>
              <w:pStyle w:val="formtext"/>
              <w:snapToGrid w:val="false"/>
              <w:ind w:start="113" w:end="113"/>
              <w:jc w:val="both"/>
              <w:rPr/>
            </w:pPr>
            <w:r>
              <w:rPr>
                <w:lang w:val="fr-FR"/>
              </w:rPr>
              <w:t>Ces rencontres se tiennent toujours dans le cadre du festival International de l’Imaginaire et rassemble des personnalités et acteurs du champ du PCI issus de plusieurs pays.</w:t>
            </w:r>
          </w:p>
          <w:p>
            <w:pPr>
              <w:pStyle w:val="formtext"/>
              <w:snapToGrid w:val="false"/>
              <w:ind w:start="113" w:end="113"/>
              <w:jc w:val="both"/>
              <w:rPr>
                <w:lang w:val="fr-FR"/>
              </w:rPr>
            </w:pPr>
            <w:r>
              <w:rPr>
                <w:lang w:val="fr-FR"/>
              </w:rPr>
              <w:t>Troisième journée du patrimoine culturel immatériel : la France d’Outre-mer, dans le cadre du Festival de l’imaginaire, Paris, Maison des cultures du monde, 15 mars 2006.</w:t>
            </w:r>
          </w:p>
          <w:p>
            <w:pPr>
              <w:pStyle w:val="formtext"/>
              <w:snapToGrid w:val="false"/>
              <w:ind w:start="113" w:end="113"/>
              <w:jc w:val="both"/>
              <w:rPr>
                <w:lang w:val="fr-FR"/>
              </w:rPr>
            </w:pPr>
            <w:r>
              <w:rPr>
                <w:lang w:val="fr-FR"/>
              </w:rPr>
              <w:t>Quatrième journée organisée par la Maison des cultures du monde et la Commission française auprès de l’UNESCO, Paris, 28 mars 2007.</w:t>
            </w:r>
          </w:p>
          <w:p>
            <w:pPr>
              <w:pStyle w:val="formtext"/>
              <w:snapToGrid w:val="false"/>
              <w:ind w:start="113" w:end="113"/>
              <w:jc w:val="both"/>
              <w:rPr>
                <w:lang w:val="fr-FR"/>
              </w:rPr>
            </w:pPr>
            <w:r>
              <w:rPr>
                <w:lang w:val="fr-FR"/>
              </w:rPr>
              <w:t>Cinquième journée du patrimoine culturel immatériel : le PCI à la lumière de l’extrême-orient, mars 2008.</w:t>
            </w:r>
          </w:p>
          <w:p>
            <w:pPr>
              <w:pStyle w:val="formtext"/>
              <w:snapToGrid w:val="false"/>
              <w:ind w:start="113" w:end="113"/>
              <w:jc w:val="both"/>
              <w:rPr/>
            </w:pPr>
            <w:r>
              <w:rPr>
                <w:lang w:val="fr-FR"/>
              </w:rPr>
              <w:t>« Les effets pervers de la Convention de 2003 », table ronde pour la 7e journée du patrimoine culturel immatériel, dans la cadre du 14e festival de l’imaginaire, en collaboration avec la commission nationale française pour l’UNESCO (avec Chérif Khaznadar, Panayiota Adrianopoulou, Chiara Bortolotto, Nathalie Heinich et Marc Jacobs), Paris, Maison des cultures du Monde, 12 avril 2010.</w:t>
            </w:r>
          </w:p>
          <w:p>
            <w:pPr>
              <w:pStyle w:val="formtext"/>
              <w:snapToGrid w:val="false"/>
              <w:ind w:start="113" w:end="113"/>
              <w:jc w:val="both"/>
              <w:rPr/>
            </w:pPr>
            <w:r>
              <w:rPr>
                <w:lang w:val="fr-FR"/>
              </w:rPr>
              <w:t>Table ronde «  Transmettre le patrimoine culturel immatériel », organisée par la maison des cultures du monde (centre Français du patrimoine culturel immatériel de Vitré) et l'Université de Rennes, Rennes, 29 mars 2011</w:t>
            </w:r>
          </w:p>
          <w:p>
            <w:pPr>
              <w:pStyle w:val="formtext"/>
              <w:snapToGrid w:val="false"/>
              <w:ind w:start="113" w:end="113"/>
              <w:jc w:val="both"/>
              <w:rPr>
                <w:lang w:val="fr-FR"/>
              </w:rPr>
            </w:pPr>
            <w:r>
              <w:rPr>
                <w:lang w:val="fr-FR"/>
              </w:rPr>
              <w:t>Table ronde « Transmettre, oui mais comment ? » 8e Journée du Patrimoine Culturel Immatériel, dans le cadre du 15e Festival de l’Imaginaire, en collaboration avec la Commission Nationale Française pour l’Unesco avec le soutien du Ministère de la Culture et de la Communication.</w:t>
            </w:r>
          </w:p>
          <w:p>
            <w:pPr>
              <w:pStyle w:val="formtext"/>
              <w:snapToGrid w:val="false"/>
              <w:ind w:start="113" w:end="113"/>
              <w:jc w:val="both"/>
              <w:rPr>
                <w:lang w:val="fr-FR"/>
              </w:rPr>
            </w:pPr>
            <w:r>
              <w:rPr>
                <w:lang w:val="fr-FR"/>
              </w:rPr>
              <w:t>c. Rencontres des chercheurs du Patrimoine culturel immatériel</w:t>
            </w:r>
          </w:p>
          <w:p>
            <w:pPr>
              <w:pStyle w:val="formtext"/>
              <w:snapToGrid w:val="false"/>
              <w:ind w:start="113" w:end="113"/>
              <w:jc w:val="both"/>
              <w:rPr/>
            </w:pPr>
            <w:r>
              <w:rPr>
                <w:lang w:val="fr-FR"/>
              </w:rPr>
              <w:t xml:space="preserve">Depuis 2012, La Maison des cultures du monde organise dans le cadre du festival de l’Internationale de l’Imaginaire une journée consacrée à la recherche sur le PCI. </w:t>
            </w:r>
          </w:p>
          <w:p>
            <w:pPr>
              <w:pStyle w:val="formtext"/>
              <w:snapToGrid w:val="false"/>
              <w:ind w:start="113" w:end="113"/>
              <w:jc w:val="both"/>
              <w:rPr>
                <w:lang w:val="fr-FR"/>
              </w:rPr>
            </w:pPr>
            <w:r>
              <w:rPr>
                <w:lang w:val="fr-FR"/>
              </w:rPr>
              <w:t>La première journée, tenue en juin 2012, a porté sur la question de la notion de communauté selon la convention de 2003.</w:t>
            </w:r>
          </w:p>
          <w:p>
            <w:pPr>
              <w:pStyle w:val="formtext"/>
              <w:snapToGrid w:val="false"/>
              <w:ind w:start="113" w:end="113"/>
              <w:jc w:val="both"/>
              <w:rPr>
                <w:lang w:val="fr-FR"/>
              </w:rPr>
            </w:pPr>
            <w:r>
              <w:rPr>
                <w:lang w:val="fr-FR"/>
              </w:rPr>
              <w:t>La deuxième prévue pour mai 2013, portera sur la place des animaux dans le patrimoine culturel immatériel.</w:t>
            </w:r>
          </w:p>
          <w:p>
            <w:pPr>
              <w:pStyle w:val="formtext"/>
              <w:snapToGrid w:val="false"/>
              <w:ind w:start="113" w:end="113"/>
              <w:jc w:val="both"/>
              <w:rPr>
                <w:lang w:val="fr-FR"/>
              </w:rPr>
            </w:pPr>
            <w:r>
              <w:rPr>
                <w:lang w:val="fr-FR"/>
              </w:rPr>
              <w:t>d. La coopération avec le Centre Français du patrimoine culturel immatériel (Vitré) : la mise en place d’un réseau européen d’acteurs du PCI</w:t>
            </w:r>
          </w:p>
          <w:p>
            <w:pPr>
              <w:pStyle w:val="formtext"/>
              <w:snapToGrid w:val="false"/>
              <w:ind w:start="113" w:end="113"/>
              <w:jc w:val="both"/>
              <w:rPr/>
            </w:pPr>
            <w:r>
              <w:rPr>
                <w:lang w:val="fr-FR"/>
              </w:rPr>
              <w:t>L’Installation du CFPCI à Vitré a permis, à partir de 2012 l’organisation de séminaires européens sur des questions techniques ayant trait à la mise en place des politiques européennes dans le champ du PCI.</w:t>
            </w:r>
          </w:p>
          <w:p>
            <w:pPr>
              <w:pStyle w:val="formtext"/>
              <w:snapToGrid w:val="false"/>
              <w:ind w:start="113" w:end="113"/>
              <w:jc w:val="both"/>
              <w:rPr/>
            </w:pPr>
            <w:r>
              <w:rPr>
                <w:lang w:val="fr-FR"/>
              </w:rPr>
              <w:t xml:space="preserve">Le premier de ces séminaires, tenu les 6 et 7 septembre 2012 a été consacré aux pratiques et approches administratives du PCI dans différents pays européens. Ce séminaire organisé par le Centre français du patrimoine culturel s’inscrivait dans le cadre d’un partenariat pluriannuel entre la Maison des Cultures du Monde et le Ministère de la Culture. Il visait à mieux comprendre comment la Convention est déclinée au sein des pays d’Europe qui l’on ratifiée, non pas en se focalisant uniquement sur les mesures de sauvegarde (listes, inventaires, renforcement des capacités des communautés), mais en cherchant également à rendre compte des réponses institutionnelles élaborées par les États à partir du cadre schématique donné par le texte de l’UNESCO. Comment se traduisent dans les différents contextes nationaux les outils et concepts clefs de la Convention, tels que les inventaires ou les notions de communauté et de participation ? Quelles étaient les politiques dans le champ du patrimoine immatériel qui préexistaient à la ratification de la Convention ? Quels services ont-ils été investis de la mise en œuvre de ce texte ? Comment ces politiques s’inscrivent-elles dans les politiques patrimoniales des Etats ? Quelles instances consultatives ont été mises en place ? Quels furent ou quels sont les problèmes rencontrés ? Quel jugement porter sur les résultats obtenus ? </w:t>
            </w:r>
          </w:p>
          <w:p>
            <w:pPr>
              <w:pStyle w:val="formtext"/>
              <w:snapToGrid w:val="false"/>
              <w:ind w:start="113" w:end="113"/>
              <w:jc w:val="both"/>
              <w:rPr/>
            </w:pPr>
            <w:r>
              <w:rPr>
                <w:lang w:val="fr-FR"/>
              </w:rPr>
              <w:t xml:space="preserve">La rencontre a rassemblé des représentants des pays dont les noms suivent : Belgique (Flandre et Wallonie), Espagne, Portugal, Suisse, Allemagne, Norvège, France. </w:t>
            </w:r>
          </w:p>
          <w:p>
            <w:pPr>
              <w:pStyle w:val="formtext"/>
              <w:snapToGrid w:val="false"/>
              <w:ind w:start="113" w:end="113"/>
              <w:jc w:val="both"/>
              <w:rPr>
                <w:lang w:val="fr-FR"/>
              </w:rPr>
            </w:pPr>
            <w:r>
              <w:rPr>
                <w:lang w:val="fr-FR"/>
              </w:rPr>
              <w:t>Il est prévu que ces séminaires deviennent des rendez-vous réguliers, celui de 2013 portera sur les formations universitaires dédiées au PCI en Europe.</w:t>
            </w:r>
          </w:p>
          <w:p>
            <w:pPr>
              <w:pStyle w:val="formtext"/>
              <w:snapToGrid w:val="false"/>
              <w:ind w:start="113" w:end="113"/>
              <w:jc w:val="both"/>
              <w:rPr>
                <w:lang w:val="fr-FR"/>
              </w:rPr>
            </w:pPr>
            <w:r>
              <w:rPr>
                <w:lang w:val="fr-FR"/>
              </w:rPr>
              <w:t>3. La découverte et le partage des formes du patrimoine culturel immatériel du monde : le festival de l’Imaginaire</w:t>
            </w:r>
          </w:p>
          <w:p>
            <w:pPr>
              <w:pStyle w:val="formtext"/>
              <w:snapToGrid w:val="false"/>
              <w:ind w:start="113" w:end="113"/>
              <w:jc w:val="both"/>
              <w:rPr/>
            </w:pPr>
            <w:r>
              <w:rPr>
                <w:lang w:val="fr-FR"/>
              </w:rPr>
              <w:t xml:space="preserve">ON ne reviendra pas ici sur les très nombreuses rencontres et festivals organisés chaque année en France et qui permettent le découvert par les publics les plus variés des formes musicales traditionnelles, pour ne s’en tenir qu’à cet aspect de la Convention. </w:t>
            </w:r>
          </w:p>
          <w:p>
            <w:pPr>
              <w:pStyle w:val="formtext"/>
              <w:snapToGrid w:val="false"/>
              <w:spacing w:before="80" w:after="120"/>
              <w:ind w:start="113" w:end="113"/>
              <w:jc w:val="both"/>
              <w:rPr>
                <w:lang w:val="fr-FR"/>
              </w:rPr>
            </w:pPr>
            <w:r>
              <w:rPr>
                <w:lang w:val="fr-FR"/>
              </w:rPr>
              <w:t>Très directement liée à la mise en œuvre de la convention en France, la Maison des cultures du Monde organise depuis 30 ans le festival de l’Imaginaire pour faire découvrir au public français des formes musicales, chorégraphiques traditionnelles. Les programmes des années antérieures peuvent donner une idée de la richesse de cette manifestation : http://www.festivaldelimaginaire.com/</w:t>
            </w:r>
          </w:p>
        </w:tc>
      </w:tr>
      <w:tr>
        <w:trPr/>
        <w:tc>
          <w:tcPr>
            <w:tcW w:w="780" w:type="dxa"/>
            <w:tcBorders>
              <w:top w:val="single" w:sz="4" w:space="0" w:color="000000"/>
              <w:start w:val="single" w:sz="4" w:space="0" w:color="000000"/>
              <w:bottom w:val="single" w:sz="4" w:space="0" w:color="000000"/>
            </w:tcBorders>
            <w:shd w:fill="CCCCCC" w:val="clear"/>
          </w:tcPr>
          <w:p>
            <w:pPr>
              <w:pStyle w:val="Grille02"/>
              <w:snapToGrid w:val="false"/>
              <w:spacing w:before="120" w:after="120"/>
              <w:jc w:val="end"/>
              <w:rPr/>
            </w:pPr>
            <w:r>
              <w:rPr/>
              <w:t>C.</w:t>
            </w:r>
          </w:p>
        </w:tc>
        <w:tc>
          <w:tcPr>
            <w:tcW w:w="9078" w:type="dxa"/>
            <w:tcBorders>
              <w:top w:val="single" w:sz="4" w:space="0" w:color="000000"/>
              <w:bottom w:val="single" w:sz="4" w:space="0" w:color="000000"/>
              <w:end w:val="single" w:sz="4" w:space="0" w:color="000000"/>
            </w:tcBorders>
            <w:shd w:fill="CCCCCC" w:val="clear"/>
          </w:tcPr>
          <w:p>
            <w:pPr>
              <w:pStyle w:val="Grille01"/>
              <w:snapToGrid w:val="false"/>
              <w:spacing w:before="120" w:after="120"/>
              <w:rPr/>
            </w:pPr>
            <w:r>
              <w:rPr>
                <w:rFonts w:eastAsia="SimSun;宋体" w:cs="Arial"/>
                <w:bCs/>
                <w:szCs w:val="22"/>
                <w:lang w:val="fr-FR"/>
              </w:rPr>
              <w:t>Statut des éléments inscrits sur la Liste représentative</w:t>
            </w:r>
          </w:p>
          <w:p>
            <w:pPr>
              <w:pStyle w:val="Info2"/>
              <w:rPr/>
            </w:pPr>
            <w:r>
              <w:rPr>
                <w:lang w:val="fr-FR"/>
              </w:rPr>
              <w:t xml:space="preserve">Veuillez fournir l’ensemble des informations demandées ci-après pour chacun des éléments du patrimoine culturel immatériel présents sur le territoire de l’État qui ont été inscrits sur la Liste représentative. Pour décrire l’état </w:t>
            </w:r>
            <w:r>
              <w:rPr>
                <w:b/>
                <w:bCs/>
                <w:lang w:val="fr-FR"/>
              </w:rPr>
              <w:t>actuel</w:t>
            </w:r>
            <w:r>
              <w:rPr>
                <w:lang w:val="fr-FR"/>
              </w:rPr>
              <w:t xml:space="preserve"> de l’élément, vous prendrez pour base le dossier de proposition d’inscription et ne rendez compte que des changements pertinents survenus depuis la date de l’inscription sur la Liste ou depuis le dernier rapport établi. Les dossiers de proposition d’inscription et les précédents rapports peuvent être consultés sur le Web (www.unesco.org/culture/ich) ou, sur demande, au Secrétariat.</w:t>
            </w:r>
          </w:p>
          <w:p>
            <w:pPr>
              <w:pStyle w:val="Info2"/>
              <w:spacing w:before="0" w:after="120"/>
              <w:rPr>
                <w:lang w:val="fr-FR"/>
              </w:rPr>
            </w:pPr>
            <w:r>
              <w:rPr>
                <w:lang w:val="fr-FR"/>
              </w:rPr>
              <w:t>L’État partie s’efforce d’assurer la plus large participation possible des communautés, des groupes et, le cas échéant, des individus concernés au cours du processus de préparation de chaque rapport et il lui est demandé au point C.7 ci-après de décrire de quelle manière il y est parvenu.</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8" w:type="dxa"/>
            <w:tcBorders>
              <w:top w:val="single" w:sz="4" w:space="0" w:color="000000"/>
              <w:bottom w:val="single" w:sz="4" w:space="0" w:color="000000"/>
              <w:end w:val="single" w:sz="4" w:space="0" w:color="000000"/>
            </w:tcBorders>
          </w:tcPr>
          <w:p>
            <w:pPr>
              <w:pStyle w:val="Grille02"/>
              <w:snapToGrid w:val="false"/>
              <w:spacing w:before="120" w:after="120"/>
              <w:ind w:start="113" w:end="113"/>
              <w:rPr>
                <w:lang w:val="fr-FR"/>
              </w:rPr>
            </w:pPr>
            <w:r>
              <w:rPr>
                <w:lang w:val="fr-FR"/>
              </w:rPr>
              <w:t xml:space="preserve">Nom de l’élément : </w:t>
            </w:r>
            <w:r>
              <w:rPr>
                <w:b w:val="false"/>
                <w:bCs w:val="false"/>
                <w:lang w:val="fr-FR"/>
              </w:rPr>
              <w:t>Le savoir-faire de la dentelle au Point d'Alençon</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8" w:type="dxa"/>
            <w:tcBorders>
              <w:top w:val="single" w:sz="4" w:space="0" w:color="000000"/>
              <w:bottom w:val="single" w:sz="4" w:space="0" w:color="000000"/>
              <w:end w:val="single" w:sz="4" w:space="0" w:color="000000"/>
            </w:tcBorders>
          </w:tcPr>
          <w:p>
            <w:pPr>
              <w:pStyle w:val="Grille02"/>
              <w:snapToGrid w:val="false"/>
              <w:spacing w:before="120" w:after="120"/>
              <w:ind w:start="113" w:end="113"/>
              <w:rPr/>
            </w:pPr>
            <w:r>
              <w:rPr/>
              <w:t xml:space="preserve">Inscrit en : </w:t>
            </w:r>
            <w:r>
              <w:rPr>
                <w:b w:val="false"/>
              </w:rPr>
              <w:t xml:space="preserve"> 2010</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C.1.</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Fonctions sociales et culturelles</w:t>
            </w:r>
          </w:p>
          <w:p>
            <w:pPr>
              <w:pStyle w:val="Info2"/>
              <w:keepNext w:val="true"/>
              <w:spacing w:lineRule="exact" w:line="260" w:before="0" w:after="120"/>
              <w:jc w:val="both"/>
              <w:rPr/>
            </w:pPr>
            <w:r>
              <w:rPr>
                <w:iCs w:val="false"/>
                <w:lang w:val="fr-FR"/>
              </w:rPr>
              <w:t>Expliquez les fonctions et les significations sociales et culturelles de l’élément aujourd’hui, dans le groupe de population d’où il est originaire et pour ce groupe, les caractéristiques de ses gardiens et de ses praticiens et décrivez, entre autres, toute catégorie de personnes exerçant un rôle ou des responsabilités spécifiques vis-à-vis de l’élément. Il faut mentionner tout changement pertinent susceptible d’avoir des répercussions sur le critère d’inscription R.1 (« </w:t>
            </w:r>
            <w:r>
              <w:rPr>
                <w:lang w:val="fr-FR"/>
              </w:rPr>
              <w:t>L’élément est constitutif du patrimoine culturel immatériel tel que défini à l’article 2 de la Convention »).</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 point d'Alençon est une technique complexe de dentelle à l'aiguille qui s'est transmise à Alençon et ses environs, sans interruption depuis son apparition au XVIIe siècle. La production dentellière fait donc partie intégrante de la mémoire industrielle et commerciale du territoire Alençonnais. Pendant 3 siècles seules les maitresses dentellières fabriquaient la dentelles entièrement. Les simples dentellières, très nombreuses (jusqu'à 7000), ne pratiquaient qu'une seule étape de fabrication (la rapidité d'exécution en été accrue).</w:t>
              <w:br/>
              <w:br/>
              <w:t>Ce savoir-faire unique au monde n'est aujourd'hui détenu que par une dizaine de spécialistes, qui chacun se voit confié l'ensemble du savoir de fabrication de cette dentelle. La plupart appartiennent à l'Atelier National conservatoire du Point d'Alençon, institué par l'état en 1976 et rattaché au Mobilier National. L'Atelier conservatoire n'est pas voué uniquement à la perpétuation d'un savoir-faire ; c'est aussi un lieu de création qui offre un terrain d'expression original à des créateurs contemporains (parmi lesquels on peut citer Paul-Armand Gette, Pierrette Bloch, Corine Sentou, Didier Trenet, Christian Jaccard, Eric Gizard, Ghislaine Portalis, Anne Deguelle, Jean-Luc Parant...)</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C.2.</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Analyse de la viabilité de l’élément et risques auxquels il est actuellement exposé</w:t>
            </w:r>
          </w:p>
          <w:p>
            <w:pPr>
              <w:pStyle w:val="Info2"/>
              <w:keepNext w:val="true"/>
              <w:spacing w:lineRule="exact" w:line="260" w:before="0" w:after="120"/>
              <w:jc w:val="both"/>
              <w:rPr/>
            </w:pPr>
            <w:r>
              <w:rPr>
                <w:bCs/>
                <w:iCs w:val="false"/>
                <w:lang w:val="fr-FR"/>
              </w:rPr>
              <w:t>Décrivez le degré de viabilité actuelle de l’élément, en particulier la fréquence et l’étendue de sa pratique, la force des modes de transmission traditionnels, la composition démographique des praticiens et des publics et sa durabilité. Veuillez aussi identifier et décrire les facteurs qui, le cas échéant, constituent une menace pour la pérennité de la transmission et de la représentation de l’élément et indiquez le degré de gravité et de proximité de tels facteurs.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 savoir-faire du Point d'Alençon se transmet exclusivement de façon orale et son apprentissage requiert une dizaine d'années. En l'absence d'une filière d'apprentissage scolaire, la spécialité ne dispose pas d'un diplôme pour l'intégration statutaire au sein de l'Atelier conservatoire National. Il existe cependant un référentiel du certificat d'aptitude professionnelle option aiguille ainsi qu'un référentiel  brevet des métiers d'art, mais aucuns lieux d'enseignement.</w:t>
              <w:br/>
              <w:br/>
              <w:t>En octobre 2013, l'Atelier National du Point d'Alençon accueil 8 dentellières titulaires (après un départ à la retraite, l'intégration d'une stagiaire au 1er aout, le retour d'une dentellière après un congé sabbatique). Ainsi que deux contractuels d’État, dans l'attente du concours d'adjoint technique de niveau c du ministère de la culture.</w:t>
              <w:br/>
              <w:br/>
              <w:t>Prévu initialement début 2013, puis mi-2013, ce concours d'adjoint technique est encore repoussé jusqu'au premier trimestre 2014 (dans l'attente d'une confirmation officielle). Un concours de technicien d'art de catégorie b est également attendu. La titularisation des effectifs assure une pérennité du savoir-faire</w:t>
              <w:br/>
              <w:br/>
              <w:t>Une autre inquiétude est liée à la finesse du fils, indispensable à la conservation de la technique du Point d'Alençon.</w:t>
              <w:br/>
              <w:br/>
              <w:t>Nous constatons que les réserves s'épuisent alors que la production de fil très fin n'existe plus . Les dentellières de l'Atelier National Conservatoire se déplacent donc elles-mêmes aux couviges de dentelle (évènement d'exposition/vente de dentelles et broderies), dans l'espoir de trouver des réserves de fils anciens très fins. En 2013, seul 10 échevaux de fils très fin ont été achetés lors de couviges, pour enrichir les réserves de l'Atelier National.</w:t>
              <w:br/>
              <w:br/>
              <w:t>Actuellement, il n'est connu aucune manufacture qui puisse fabriqué des fils aussi fins.</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C.3.</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Contribution aux buts de la Liste</w:t>
            </w:r>
          </w:p>
          <w:p>
            <w:pPr>
              <w:pStyle w:val="Info2"/>
              <w:keepNext w:val="true"/>
              <w:spacing w:lineRule="exact" w:line="260" w:before="0" w:after="120"/>
              <w:jc w:val="both"/>
              <w:rPr/>
            </w:pPr>
            <w:r>
              <w:rPr>
                <w:lang w:val="fr-FR"/>
              </w:rPr>
              <w:t>Expliquez de quelle manière l’inscription de l’élément sur la Liste a contribué à assurer la visibilité du patrimoine culturel matériel et à sensibiliser les populations au niveau local, national et international, à son importance, mais aussi à promouvoir le respect de la diversité culturelle, de la créativité humaine et du respect mutuel auprès de communautés, de groupes et d’individus.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L'inscription sur la liste représentative a bénéficié d'une bonne couverture médiatique (télévision, radio, presse écrite), au niveau national et régional ainsi que dans les réseaux spécialisés. Les interviews des principaux acteurs du dossier, ainsi que les reportages au Musée des Baux-arts et de la Dentelle d'Alençon et à l'Atelier National, ont permis d'attirer l'attention du public sur le Point d'Alençon aussi bien que sur la Convention et sur la notion de patrimoine culturel immatériel.</w:t>
              <w:br/>
              <w:br/>
              <w:t>Contribution apportées par les dentellières de l'Atelier National :</w:t>
              <w:br/>
              <w:br/>
              <w:t>-Formation de 3 personnes au savoir-faire dentellier, transmission orale et gestuelle.</w:t>
              <w:br/>
              <w:br/>
              <w:t>-Démonstration au Musée des Beaux-arts par une dentellière, ponctuelle pour les groupes toute l'année, 3 fois par semaine pendant la période estivale.</w:t>
              <w:br/>
              <w:br/>
              <w:t>-Démonstration à la manifestation "Fils et dentelles", organisée à Alençon. Démonstration sur place et au musée.</w:t>
              <w:br/>
              <w:br/>
              <w:t>-Exposition/démonstration à Basingstoke (UK, ville jumelée avec Alençon)  avec le partenariat de l'Association du Point d'Alençon et du comité de jumelage, présence de deux dentellières contractuelles.</w:t>
              <w:br/>
              <w:br/>
              <w:t>-Exposition/démonstration à Bolsena (Italie), par une dentellière contractuelle.</w:t>
              <w:br/>
              <w:br/>
              <w:t>-Participation au prix "Avenir métier d'art" de L'Institut National des Métiers d'Art, Thomas Gaugain lauréat régional.</w:t>
              <w:br/>
              <w:br/>
              <w:t>-Rencontre organisée par le Mobilier National entre les dentellières et Anne de Deguelle et Jean-luc Parrant, artistes plasticiens à Alençon</w:t>
              <w:br/>
              <w:br/>
              <w:t>-Collecte de mémoires de dentellière parle CRECET Basse-Normandie.</w:t>
              <w:br/>
              <w:br/>
              <w:t>-Journées Patrimoines</w:t>
              <w:br/>
              <w:br/>
              <w:t>Couverture médiatique des dentellières :</w:t>
              <w:br/>
              <w:br/>
              <w:t>-Juin 2013. "Métier d'art, les dentellières font de la résitance" Gazette Drouot n°23</w:t>
              <w:br/>
              <w:br/>
              <w:t>-Juillet. Reportage et interviews pour le magazine "My Normandie"</w:t>
              <w:br/>
              <w:br/>
              <w:t>-Sept. Journée Européenne du Patrimoine + tournage vidéo pour la société TSVP (émission diffusée sur M6 en 2014)</w:t>
              <w:br/>
              <w:t>+ interview en direct de Bénédicte Leclercq pour Fr3 à l'occasion de la manifestation "fils et dentelles"</w:t>
              <w:br/>
              <w:br/>
              <w:t>-Oct. Photographie de dentellières au travail, pour le musée de la manufacture BOHIN + Reportage Radio Bleue Basse-Normandie à l'occasion de la semaine du patrimoine normand.</w:t>
              <w:br/>
              <w:br/>
              <w:t xml:space="preserve">-Nov. Tournage vidéo 1 Republican Production pour le développement de l'Orne au Conseil Général de l'Orne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C.4.</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Efforts pour promouvoir ou renforcer l’élément</w:t>
            </w:r>
          </w:p>
          <w:p>
            <w:pPr>
              <w:pStyle w:val="Info2"/>
              <w:keepNext w:val="true"/>
              <w:spacing w:lineRule="exact" w:line="260" w:before="0" w:after="120"/>
              <w:jc w:val="both"/>
              <w:rPr/>
            </w:pPr>
            <w:r>
              <w:rPr>
                <w:lang w:val="fr-FR"/>
              </w:rPr>
              <w:t>Décrivez les mesures qui ont été prises aux fins de la promotion et du renforcement de l’élément, en donnant le détail de toutes celles qui se sont révélées nécessaires en conséquence de son inscription.</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Des mesures ont été prises afin de promouvoir l’élément </w:t>
              <w:br/>
              <w:t>1 Musée des Beaux-arts et de la Dentelle d'Alençon :</w:t>
              <w:br/>
              <w:t>- Création d’un espace dédié à l'inscription du savoir-faire du Point d'Alençon sur la Liste représentative du patrimoine culturel immatériel de l'humanité (« salle Unesco »), juillet 2011</w:t>
              <w:br/>
              <w:t>- Refonte des salles d’exposition permanente et création de l’exposition temporaire Faisons le Point, le fil de l’excellence, sous le patronage de la Commission nationale française pour l’UNESCO (été 2012).</w:t>
              <w:br/>
              <w:t>- Acceptation de dons et legs. Diverses acquisitions participent également de l’enrichissement des collections du Musée qui se veut établissement de référence et de ressources.</w:t>
              <w:br/>
              <w:t>- Dépôt du Mobilier National en 2011 et 2012 : 9 bijoux en Alençon, 1 bracelet en Alençon, 1    voile de mariée pour l'exposition Faisons le Point – Le fil de l’excellence ; 2 motifs baroques en Alençon pour la « salle Unesco »</w:t>
              <w:br/>
              <w:t>- Edition de deux livrets (septembre 2011 et juillet 2012)</w:t>
              <w:br/>
              <w:t>- Prêts : dépôt d'oeuvres à la Maison du Parc naturel régional Normandie-Maine à Carrouges (septembre 2010-septembre 2011) ; prêt de photographies pour le circuit de découverte 2010 « Alençon », proposé par l'Office du Tourisme</w:t>
              <w:br/>
              <w:t>- Mise en place d’un accord tarifaire entre le Musée des Beaux-arts et de la Dentelle à Alençon, le Musée de Normandie à Caen et le Musée des Dentelles à Argentan</w:t>
              <w:br/>
              <w:t>- Projet de jumelage autour de la dentelle, de septembre 2010 à juin 2011 : 111 élèves (5 classes) de l’école de Lonrai ont bénéficié d’un accompagnement spécifique au Musée, avec l'intervention d'une artiste. Le projet a généré une émulation au sein de l’équipe d’enseignants et auprès des élèves ; les 5 classes ont produit un travail autour de la dentelle.</w:t>
              <w:br/>
              <w:t>2 Participation de la Ville d’Alençon au Congrès international de la dentelle aux fuseaux et à l’aiguille organisé à Caen en juillet 2012 par l’Organisation Internationale de la Dentelle aux Fuseaux et à l'Aiguille, en partenariat avec l’Association de la Dentelle au Point d’Alençon</w:t>
              <w:br/>
              <w:t>3 Rétrospective des expositions temporaires du Musée des Beaux-arts et de la Dentelle, à la médiathèque d’Alençon (affiches)</w:t>
              <w:br/>
              <w:t>4 Campagne de communication régionale (Le Mans-Caen) « 2012 Année de la Dentelle » autour de plusieurs manifestations liées au Point d'Alençon : 15ème Congrès mondial de la Dentelle à Caen ; exposition Faisons le Point, le fil de l’excellence (Musée des Beaux-arts et de la Dentelle), exposition De dentelles en dentelle (Centre Hospitalier Intercommunal Alençon-Mamers) ; rétrospective des expositions dentelle à la médiathèque d’Alençon.</w:t>
              <w:br/>
              <w:t xml:space="preserve">  5 Publications mentionnant le Point d'Alençon :</w:t>
              <w:br/>
              <w:t>Catalogue de l'exposition Dentelles – Quand la mode ne tient qu’à un fil, Musée de Normandie à Caen, 30 juin – 11 novembre 2012 (un article consacré à l’inscription du savoir-faire de la dentelle au Point d’Alençon au Patrimoine culturel immatériel de l’humanité, p. 143)</w:t>
              <w:br/>
              <w:t>L’Orne, des territoires, une histoire – Archives Départementales de l’Orne 2011</w:t>
              <w:br/>
              <w:t xml:space="preserve">1811, Alençon reçoit l’Empereur – A. Ponchel/Ville d'Alençon/Editions de l’Ornal 2011 </w:t>
              <w:br/>
              <w:t>Brochure annuelle Concours d’écriture 2011 – Inspection Académique de Caen</w:t>
              <w:br/>
              <w:br/>
              <w:t>Des mesures ont également été prises afin de renforcer l’élément</w:t>
            </w:r>
          </w:p>
          <w:p>
            <w:pPr>
              <w:pStyle w:val="formtext"/>
              <w:snapToGrid w:val="false"/>
              <w:ind w:start="113" w:end="113"/>
              <w:jc w:val="both"/>
              <w:rPr>
                <w:lang w:val="fr-FR"/>
              </w:rPr>
            </w:pPr>
            <w:r>
              <w:rPr>
                <w:lang w:val="fr-FR"/>
              </w:rPr>
              <w:br/>
              <w:t>1 Pour garantir la pérennité et la transmission du savoir-faire de la dentelle au Point d’Alençon :</w:t>
              <w:br/>
              <w:t>- Signature de contrats d’accompagnement à l’emploi par la Ville d’Alençon pour placer deux jeunes en stage auprès de l’Atelier national (octobre 2011-septembre 2012), avec mise à disposition par la Ville d’une salle pour leur formation au dessin et aux arts appliqués. Leur formation a été assurée par les dentellières de l’Atelier conservatoire national, le Mobilier national ayant pris en charge des cours d’histoire de l’art et d’arts appliqués. Ces deux personnes ont été recrutées par le Mobilier national en octobre 2012. Simultanément, une tapissière du Mobilier national est placée en stage pour une durée d’un an avant intégration à l’Atelier, afin de renforcer l’effectif.</w:t>
              <w:br/>
              <w:t>- Travaux de mise aux normes des locaux mis à disposition gracieusement par la Ville à l’Atelier conservatoire national (second semestre 2012).</w:t>
            </w:r>
          </w:p>
          <w:p>
            <w:pPr>
              <w:pStyle w:val="formtext"/>
              <w:snapToGrid w:val="false"/>
              <w:ind w:start="113" w:end="113"/>
              <w:jc w:val="both"/>
              <w:rPr/>
            </w:pPr>
            <w:r>
              <w:rPr>
                <w:lang w:val="fr-FR"/>
              </w:rPr>
              <w:br/>
              <w:t>2 Pour conserver la connaissance ou la production et les valoriser</w:t>
              <w:br/>
              <w:t>- Signature d’une convention de dépôt temporaire des collections textile de l’Association de la Dentelle au Point d’Alençon (ADPA) au Musée des Beaux-arts et de la Dentelle, et transfert du dépôt temporaire des collections d'archives de l'ADPA aux Archives départementales de l’Orne</w:t>
              <w:br/>
              <w:t xml:space="preserve">- Création d’un service des publics au Musée des Beaux-arts et de la Dentelle avec mise en place d’une offre d’ateliers et de stages notamment axés sur la création textile (création septembre 2011- premiers stages décembre 2011). </w:t>
              <w:br/>
              <w:t>- Récolement et régie des collections du Musée des Beaux-arts et de la Dentelle</w:t>
              <w:br/>
              <w:t>Récolement</w:t>
              <w:br/>
              <w:t>Quantité</w:t>
              <w:br/>
              <w:t xml:space="preserve">pièces appartenant au musée 124 </w:t>
            </w:r>
          </w:p>
          <w:p>
            <w:pPr>
              <w:pStyle w:val="formtext"/>
              <w:snapToGrid w:val="false"/>
              <w:ind w:start="113" w:end="113"/>
              <w:jc w:val="both"/>
              <w:rPr>
                <w:lang w:val="fr-FR"/>
              </w:rPr>
            </w:pPr>
            <w:r>
              <w:rPr>
                <w:lang w:val="fr-FR"/>
              </w:rPr>
              <w:t>pièces appartenant à l’ADPA 40</w:t>
            </w:r>
          </w:p>
          <w:p>
            <w:pPr>
              <w:pStyle w:val="formtext"/>
              <w:snapToGrid w:val="false"/>
              <w:spacing w:before="80" w:after="80"/>
              <w:ind w:start="113" w:end="113"/>
              <w:jc w:val="both"/>
              <w:rPr/>
            </w:pPr>
            <w:r>
              <w:rPr>
                <w:lang w:val="fr-FR"/>
              </w:rPr>
              <w:t>pièces en dépôts (Louvre, Arts et Traditions Populaires) 6</w:t>
              <w:br/>
              <w:t>Total 170</w:t>
              <w:br/>
              <w:br/>
              <w:t>Couverture photographique des pièces de dentelles</w:t>
              <w:br/>
              <w:t>Quantité</w:t>
              <w:br/>
              <w:t>Réalisée par D. COMMENCHAL</w:t>
              <w:br/>
              <w:br/>
              <w:t>pièces appartenant au musée 1 962</w:t>
              <w:br/>
              <w:t>pièces appartenant à l’ADPA et dépôts divers 1 134</w:t>
              <w:br/>
              <w:t>vues générales des nouvelles salles 244</w:t>
              <w:br/>
              <w:t>Sous-total photos D. COMMENCHAL 3 340</w:t>
              <w:br/>
              <w:t>Réalisée en interne</w:t>
              <w:br/>
              <w:br/>
              <w:t>pièces appartenant au musée 338</w:t>
              <w:br/>
              <w:t>pièces appartenant à l’ADPA et dépôts divers 89</w:t>
              <w:br/>
              <w:t>Sous-total photos en interne 427</w:t>
              <w:br/>
              <w:t>TOTAL PHOTOS 3 767</w:t>
              <w:br/>
              <w:br/>
              <w:t>Fiches déversées sur Flora (progiciel de gestion des collections muséales)</w:t>
              <w:br/>
              <w:t>Quantité</w:t>
              <w:br/>
              <w:t>pièces appartenant au musée 83</w:t>
              <w:br/>
              <w:t>pièces appartenant à l’ADPA 27</w:t>
              <w:br/>
              <w:t>pièces en dépôt 5</w:t>
              <w:br/>
              <w:t>Total 115</w:t>
              <w:br/>
              <w:br/>
              <w:t>- Aménagement des réserves dentelle au Musée des Beaux-arts et de la Dentelle</w:t>
              <w:br/>
              <w:t xml:space="preserve"> - Signature en 2012 d'une convention tripartite entre le Centre régional de culture ethnologique et technique (CRECET) à Caen, le Mobilier national et la Ville d’Alençon : les parties ont décidé de co-réaliser une enquête ethnologique auprès d’une dizaine de dentellières ayant travaillé ou travaillant au sein de l’Atelier conservatoire national. Les parties seront copropriétaires des résultats de l’enquête. Elles pourront les exploiter librement à des fins culturelles ou éducatives selon les autorisations recueillies auprès des personnes interviewées. Du fait de la prochaine cessation d’activité de plusieurs des membres de la communauté des dentellières, il s’agit de contribuer à maintenir le savoir-faire dentellier et d'en assurer la transmission. En effet, loin de se limiter à un apprentissage des gestes techniques, cette transmission doit tenir compte de l’évolution du contexte de production, de l’histoire du groupe et de sa culture, de ses représentations et de ses modes de vie.</w:t>
              <w:br/>
              <w:t xml:space="preserve"> </w:t>
              <w:br/>
              <w:t xml:space="preserve"> - Soutien à la création contemporaine par le Mobilier National. Des projets d’artistes sont réalisés par l’ensemble des dentellières.</w:t>
              <w:b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C.5.</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w:t>
            </w:r>
          </w:p>
          <w:p>
            <w:pPr>
              <w:pStyle w:val="Info2"/>
              <w:spacing w:before="0" w:after="120"/>
              <w:rPr>
                <w:rFonts w:eastAsia="SimSun;宋体"/>
                <w:lang w:val="fr-FR"/>
              </w:rPr>
            </w:pPr>
            <w:r>
              <w:rPr>
                <w:rFonts w:eastAsia="SimSun;宋体"/>
                <w:lang w:val="fr-FR"/>
              </w:rPr>
              <w:t>Décrivez la participation des communautés, des groupes et des individus à la sauvegarde de l’élément et indiquez s’ils ont la volonté de continuer à le sauvegarder.</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lang w:val="fr-FR"/>
              </w:rPr>
            </w:pPr>
            <w:r>
              <w:rPr>
                <w:lang w:val="fr-FR"/>
              </w:rPr>
              <w:t>Participation de la communauté des dentellières : </w:t>
              <w:br/>
              <w:br/>
              <w:t>Formation des apprentis</w:t>
              <w:br/>
              <w:br/>
              <w:t>Actions de médiation et de sensibilisation, démonstrations auprès des groupes de visiteurs du Musée des Beaux-arts et de la Dentelle en saison ou sur rendez-vous</w:t>
              <w:br/>
              <w:br/>
              <w:t>Ouverture de l'Atelier au public lors de Journées européennes du Patrimoine</w:t>
              <w:br/>
              <w:br/>
              <w:t>Présence d’une dentellière au Congrès international de la dentelle aux fuseaux et à l’aiguille à Caen, au titre de Meilleur Ouvrier de France</w:t>
              <w:br/>
              <w:br/>
              <w:t>Expertise sur des pièces du Musée des Beaux-arts et de la dentelle</w:t>
              <w:br/>
              <w:br/>
              <w:t>Participation active des membres de la communauté à l’enquête ethonologique (voir ci-dessus)</w:t>
              <w:br/>
              <w:br/>
              <w:t>Participation de la Ville d’Alençon :</w:t>
              <w:br/>
              <w:br/>
              <w:t>Deux Contrats d'Accompagnement à l'Emploi (CAE), octobre 2011-octobre 2012</w:t>
              <w:br/>
              <w:t xml:space="preserve">Mise aux normes des locaux mis à disposition de l’Atelier national (2nd semestre 2012) </w:t>
              <w:br/>
              <w:t>Mise à disposition gracieuse d’une salle de formation pour les apprentis</w:t>
              <w:br/>
              <w:t>Prise en charge des frais pour la représentation au Congrès international de la dentelle aux fuseaux et à l’aiguille à Caen et financement de la campagne de communication « 2012 Année de la Dentelle »</w:t>
              <w:br/>
              <w:br/>
              <w:t>Participation de la Communauté Urbaine d’Alençon (dont dépend le Musée des Beaux-arts et de la Dentelle) :</w:t>
              <w:br/>
              <w:br/>
              <w:t>Financement :</w:t>
              <w:br/>
              <w:t xml:space="preserve"> - de la création de la « salle Unesco » (investissement musée : 6 023.31 €, travaux par le service bâtiments : 23 000 €)</w:t>
              <w:br/>
              <w:t xml:space="preserve">- de la refonte des salles d’exposition permanente et de la création de l’exposition Faisons le Point… (travaux 157 098 €, communication 30 000 €, divers  5 000 €, éditions 11 500 €). </w:t>
              <w:br/>
              <w:t>- des travaux d’aménagement des réserves dentelle : 14 068,14 €</w:t>
              <w:br/>
              <w:t>- du contrôle général de l’installation et du renforcement du dispositif des capteurs d’humidité (HUMIDITECH) : 4 982,53 €.</w:t>
              <w:br/>
              <w:t>- de l'aménagement d’un atelier de médiation au rez-de-chaussée du Musée, dédié aux ateliers et activités du Service des Publics qui visent notamment à sensibiliser aux arts textiles</w:t>
              <w:br/>
              <w:t>- du projet de jumelage autour de la dentelle (septembre 2010-juin 2011)</w:t>
              <w:b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C.6.</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Contexte institutionnel</w:t>
            </w:r>
          </w:p>
          <w:p>
            <w:pPr>
              <w:pStyle w:val="Info2"/>
              <w:rPr>
                <w:lang w:val="fr-FR"/>
              </w:rPr>
            </w:pPr>
            <w:r>
              <w:rPr>
                <w:lang w:val="fr-FR"/>
              </w:rPr>
              <w:t>Informations concernant le contexte institutionnel de l’élément inscrit sur la Liste représentative, y compris :</w:t>
            </w:r>
          </w:p>
          <w:p>
            <w:pPr>
              <w:pStyle w:val="num02tab"/>
              <w:numPr>
                <w:ilvl w:val="0"/>
                <w:numId w:val="7"/>
              </w:numPr>
              <w:suppressAutoHyphens w:val="true"/>
              <w:ind w:hanging="0" w:start="0" w:end="113"/>
              <w:rPr>
                <w:lang w:val="fr-FR"/>
              </w:rPr>
            </w:pPr>
            <w:r>
              <w:rPr>
                <w:lang w:val="fr-FR"/>
              </w:rPr>
              <w:t>le ou les organisme(s) compétent(s) impliqué(s) dans sa gestion et/ou sa sauvegarde ;</w:t>
            </w:r>
          </w:p>
          <w:p>
            <w:pPr>
              <w:pStyle w:val="num02tab"/>
              <w:numPr>
                <w:ilvl w:val="0"/>
                <w:numId w:val="7"/>
              </w:numPr>
              <w:suppressAutoHyphens w:val="true"/>
              <w:spacing w:before="0" w:after="120"/>
              <w:ind w:hanging="0" w:start="0" w:end="113"/>
              <w:rPr/>
            </w:pPr>
            <w:r>
              <w:rPr>
                <w:lang w:val="fr-FR"/>
              </w:rPr>
              <w:t>la ou les organisation(s) de la communauté ou du groupe concernée(s) par l’élément et sa sauvegarde.</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Les dentellières de l’Atelier conservatoire national du Point d’Alençon, détentrices du savoir-faire</w:t>
              <w:br/>
              <w:t>- L’Atelier conservatoire national et Le Mobilier national</w:t>
              <w:br/>
              <w:t>- La Ville d’Alençon</w:t>
              <w:br/>
              <w:t>- La Communauté Urbaine d’Alençon (Musée des Beaux-arts et de la Dentelle)</w:t>
              <w:br/>
              <w:t>Organisme associé : le Centre régional de culture ethnologique et technique de Basse Normandie (CréCET).</w:t>
              <w:br/>
              <w:t xml:space="preserve">Le présent formulaire a été rédigé sur la base des informations fournies à la suite d'une réunion entre la chef de l'Atelier national (dentellière), la Ville d'Alençon/Communauté Urbaine d'Alençon et le CréCET.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C.7.</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 à l’établissement du présent rapport</w:t>
            </w:r>
          </w:p>
          <w:p>
            <w:pPr>
              <w:pStyle w:val="Info2"/>
              <w:spacing w:before="0" w:after="120"/>
              <w:rPr>
                <w:lang w:val="fr-FR"/>
              </w:rPr>
            </w:pPr>
            <w:r>
              <w:rPr>
                <w:lang w:val="fr-FR"/>
              </w:rPr>
              <w:t>Décrivez les mesures qui ont été prises pour assurer la plus large participation possible des communautés, des groupes et, le cas échéant, des individus concernés pendant la préparation du présent rapport pour chaque élément concerné.</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rPr/>
            </w:pPr>
            <w:r>
              <w:rPr>
                <w:lang w:val="fr-FR"/>
              </w:rPr>
              <w:t>Le document relatif à la mise en oeuvre des mesures du plan de sauvegarde a été rédigé par les porteurs mêmes du dossier de candidature, les informations ont été recueillies et revuse en suite par le CFPCI et le Ministère de la culture.</w:t>
            </w:r>
          </w:p>
        </w:tc>
      </w:tr>
      <w:tr>
        <w:trPr/>
        <w:tc>
          <w:tcPr>
            <w:tcW w:w="780" w:type="dxa"/>
            <w:tcBorders>
              <w:top w:val="single" w:sz="4" w:space="0" w:color="000000"/>
              <w:start w:val="single" w:sz="4" w:space="0" w:color="000000"/>
              <w:bottom w:val="single" w:sz="4" w:space="0" w:color="000000"/>
            </w:tcBorders>
            <w:shd w:fill="CCCCCC" w:val="clear"/>
          </w:tcPr>
          <w:p>
            <w:pPr>
              <w:pStyle w:val="Grille02"/>
              <w:snapToGrid w:val="false"/>
              <w:spacing w:before="120" w:after="120"/>
              <w:jc w:val="end"/>
              <w:rPr>
                <w:lang w:val="fr-FR"/>
              </w:rPr>
            </w:pPr>
            <w:r>
              <w:rPr>
                <w:lang w:val="fr-FR"/>
              </w:rPr>
            </w:r>
          </w:p>
        </w:tc>
        <w:tc>
          <w:tcPr>
            <w:tcW w:w="9078" w:type="dxa"/>
            <w:tcBorders>
              <w:top w:val="single" w:sz="4" w:space="0" w:color="000000"/>
              <w:bottom w:val="single" w:sz="4" w:space="0" w:color="000000"/>
              <w:end w:val="single" w:sz="4" w:space="0" w:color="000000"/>
            </w:tcBorders>
            <w:shd w:fill="CCCCCC" w:val="clear"/>
          </w:tcPr>
          <w:p>
            <w:pPr>
              <w:pStyle w:val="Grille01"/>
              <w:snapToGrid w:val="false"/>
              <w:spacing w:before="120" w:after="120"/>
              <w:rPr>
                <w:rFonts w:eastAsia="SimSun;宋体"/>
                <w:lang w:val="fr-FR"/>
              </w:rPr>
            </w:pPr>
            <w:r>
              <w:rPr>
                <w:rFonts w:eastAsia="SimSun;宋体"/>
                <w:lang w:val="fr-FR"/>
              </w:rPr>
            </w:r>
          </w:p>
        </w:tc>
      </w:tr>
      <w:tr>
        <w:trPr/>
        <w:tc>
          <w:tcPr>
            <w:tcW w:w="780" w:type="dxa"/>
            <w:tcBorders>
              <w:top w:val="single" w:sz="4" w:space="0" w:color="000000"/>
              <w:start w:val="single" w:sz="4" w:space="0" w:color="000000"/>
              <w:bottom w:val="single" w:sz="4" w:space="0" w:color="000000"/>
            </w:tcBorders>
            <w:shd w:fill="CCCCCC" w:val="clear"/>
          </w:tcPr>
          <w:p>
            <w:pPr>
              <w:pStyle w:val="Grille01"/>
              <w:spacing w:before="120" w:after="120"/>
              <w:jc w:val="end"/>
              <w:rPr>
                <w:rFonts w:eastAsia="SimSun;宋体" w:cs="Arial"/>
                <w:bCs/>
                <w:szCs w:val="22"/>
                <w:lang w:val="fr-FR"/>
              </w:rPr>
            </w:pPr>
            <w:r>
              <w:rPr>
                <w:rFonts w:eastAsia="SimSun;宋体" w:cs="Arial"/>
                <w:bCs/>
                <w:szCs w:val="22"/>
                <w:lang w:val="fr-FR"/>
              </w:rPr>
              <w:t>C.</w:t>
            </w:r>
          </w:p>
        </w:tc>
        <w:tc>
          <w:tcPr>
            <w:tcW w:w="9078" w:type="dxa"/>
            <w:tcBorders>
              <w:top w:val="single" w:sz="4" w:space="0" w:color="000000"/>
              <w:bottom w:val="single" w:sz="4" w:space="0" w:color="000000"/>
              <w:end w:val="single" w:sz="4" w:space="0" w:color="000000"/>
            </w:tcBorders>
            <w:shd w:fill="CCCCCC" w:val="clear"/>
          </w:tcPr>
          <w:p>
            <w:pPr>
              <w:pStyle w:val="Grille01"/>
              <w:spacing w:before="120" w:after="120"/>
              <w:rPr>
                <w:rFonts w:eastAsia="SimSun;宋体" w:cs="Arial"/>
                <w:bCs/>
                <w:szCs w:val="22"/>
                <w:lang w:val="fr-FR"/>
              </w:rPr>
            </w:pPr>
            <w:r>
              <w:rPr>
                <w:rFonts w:eastAsia="SimSun;宋体" w:cs="Arial"/>
                <w:bCs/>
                <w:szCs w:val="22"/>
                <w:lang w:val="fr-FR"/>
              </w:rPr>
              <w:t>Statut des éléments inscrits sur la Liste représentative</w:t>
            </w:r>
          </w:p>
          <w:p>
            <w:pPr>
              <w:pStyle w:val="Info2"/>
              <w:ind w:start="113" w:end="113"/>
              <w:rPr/>
            </w:pPr>
            <w:r>
              <w:rPr>
                <w:lang w:val="fr-FR"/>
              </w:rPr>
              <w:t>Veuillez fournir l’ensemble des informations demandées ci-après pour chacun des éléments du patrimoine culturel immatériel présents sur le territoire de l’État qui ont été inscrits sur la Liste représentative. Pour décrire l’état actuel de l’élément, vous prendrez pour base le dossier de proposition d’inscription et ne rendez compte que des changements pertinents survenus depuis la date de l’inscription sur la Liste ou depuis le dernier rapport établi. Les dossiers de proposition d’inscription et les précédents rapports peuvent être consultés sur le Web (www.unesco.org/culture/ich) ou, sur demande, au Secrétariat.</w:t>
            </w:r>
          </w:p>
          <w:p>
            <w:pPr>
              <w:pStyle w:val="Info2"/>
              <w:spacing w:before="0" w:after="120"/>
              <w:ind w:start="113" w:end="113"/>
              <w:rPr>
                <w:rFonts w:eastAsia="SimSun;宋体"/>
                <w:bCs/>
                <w:lang w:val="fr-FR"/>
              </w:rPr>
            </w:pPr>
            <w:r>
              <w:rPr>
                <w:lang w:val="fr-FR"/>
              </w:rPr>
              <w:t>L’État partie s’efforce d’assurer la plus large participation possible des communautés, des groupes et, le cas échéant, des individus concernés au cours du processus de préparation de chaque rapport et il lui est demandé au point C.7 ci-après de décrire de quelle manière il y est parvenu.</w:t>
            </w:r>
          </w:p>
        </w:tc>
      </w:tr>
      <w:tr>
        <w:trPr/>
        <w:tc>
          <w:tcPr>
            <w:tcW w:w="780" w:type="dxa"/>
            <w:tcBorders>
              <w:top w:val="single" w:sz="4" w:space="0" w:color="000000"/>
              <w:start w:val="single" w:sz="4" w:space="0" w:color="000000"/>
              <w:bottom w:val="single" w:sz="4" w:space="0" w:color="000000"/>
            </w:tcBorders>
          </w:tcPr>
          <w:p>
            <w:pPr>
              <w:pStyle w:val="Grille02"/>
              <w:keepNext w:val="false"/>
              <w:snapToGrid w:val="false"/>
              <w:spacing w:before="120" w:after="120"/>
              <w:jc w:val="end"/>
              <w:rPr>
                <w:rFonts w:eastAsia="SimSun;宋体"/>
                <w:bCs/>
                <w:lang w:val="fr-FR"/>
              </w:rPr>
            </w:pPr>
            <w:r>
              <w:rPr>
                <w:rFonts w:eastAsia="SimSun;宋体"/>
                <w:bCs/>
                <w:lang w:val="fr-FR"/>
              </w:rPr>
            </w:r>
          </w:p>
        </w:tc>
        <w:tc>
          <w:tcPr>
            <w:tcW w:w="9078" w:type="dxa"/>
            <w:tcBorders>
              <w:top w:val="single" w:sz="4" w:space="0" w:color="000000"/>
              <w:bottom w:val="single" w:sz="4" w:space="0" w:color="000000"/>
              <w:end w:val="single" w:sz="4" w:space="0" w:color="000000"/>
            </w:tcBorders>
          </w:tcPr>
          <w:p>
            <w:pPr>
              <w:pStyle w:val="Grille01"/>
              <w:keepNext w:val="true"/>
              <w:spacing w:lineRule="exact" w:line="240" w:before="120" w:after="120"/>
              <w:ind w:hanging="0" w:start="113" w:end="113"/>
              <w:rPr>
                <w:rFonts w:eastAsia="SimSun;宋体"/>
                <w:lang w:val="fr-FR"/>
              </w:rPr>
            </w:pPr>
            <w:r>
              <w:rPr>
                <w:rFonts w:eastAsia="SimSun;宋体"/>
                <w:bCs/>
                <w:caps w:val="false"/>
                <w:smallCaps w:val="false"/>
                <w:szCs w:val="22"/>
                <w:lang w:val="fr-FR"/>
              </w:rPr>
              <w:t>Nom de l’élément</w:t>
            </w:r>
            <w:r>
              <w:rPr>
                <w:rFonts w:eastAsia="SimSun;宋体"/>
                <w:lang w:val="fr-FR"/>
              </w:rPr>
              <w:t xml:space="preserve"> :  </w:t>
            </w:r>
            <w:r>
              <w:rPr>
                <w:rFonts w:eastAsia="SimSun;宋体"/>
                <w:b w:val="false"/>
                <w:caps w:val="false"/>
                <w:smallCaps w:val="false"/>
                <w:lang w:val="fr-FR"/>
              </w:rPr>
              <w:t>La fauconnerie, un patrimoine humain vivant</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rFonts w:eastAsia="SimSun;宋体"/>
                <w:lang w:val="fr-FR"/>
              </w:rPr>
            </w:pPr>
            <w:r>
              <w:rPr>
                <w:rFonts w:eastAsia="SimSun;宋体"/>
                <w:lang w:val="fr-FR"/>
              </w:rPr>
            </w:r>
          </w:p>
        </w:tc>
        <w:tc>
          <w:tcPr>
            <w:tcW w:w="9078" w:type="dxa"/>
            <w:tcBorders>
              <w:top w:val="single" w:sz="4" w:space="0" w:color="000000"/>
              <w:bottom w:val="single" w:sz="4" w:space="0" w:color="000000"/>
              <w:end w:val="single" w:sz="4" w:space="0" w:color="000000"/>
            </w:tcBorders>
          </w:tcPr>
          <w:p>
            <w:pPr>
              <w:pStyle w:val="Grille01"/>
              <w:spacing w:before="120" w:after="120"/>
              <w:rPr>
                <w:rFonts w:eastAsia="SimSun;宋体"/>
                <w:lang w:val="fr-FR"/>
              </w:rPr>
            </w:pPr>
            <w:r>
              <w:rPr>
                <w:rFonts w:eastAsia="SimSun;宋体"/>
                <w:lang w:val="fr-FR"/>
              </w:rPr>
              <w:t>Inscrit en : 2010 puis 2012</w:t>
            </w:r>
          </w:p>
        </w:tc>
      </w:tr>
      <w:tr>
        <w:trPr/>
        <w:tc>
          <w:tcPr>
            <w:tcW w:w="780" w:type="dxa"/>
            <w:tcBorders>
              <w:top w:val="single" w:sz="4" w:space="0" w:color="000000"/>
              <w:start w:val="single" w:sz="4" w:space="0" w:color="000000"/>
              <w:bottom w:val="single" w:sz="4" w:space="0" w:color="000000"/>
            </w:tcBorders>
            <w:shd w:fill="CCCCCC" w:val="clear"/>
          </w:tcPr>
          <w:p>
            <w:pPr>
              <w:pStyle w:val="Grille02"/>
              <w:keepNext w:val="false"/>
              <w:snapToGrid w:val="false"/>
              <w:spacing w:before="120" w:after="120"/>
              <w:jc w:val="end"/>
              <w:rPr>
                <w:lang w:val="fr-FR"/>
              </w:rPr>
            </w:pPr>
            <w:r>
              <w:rPr>
                <w:lang w:val="fr-FR"/>
              </w:rPr>
              <w:t>C.1.</w:t>
            </w:r>
          </w:p>
        </w:tc>
        <w:tc>
          <w:tcPr>
            <w:tcW w:w="9078" w:type="dxa"/>
            <w:tcBorders>
              <w:top w:val="single" w:sz="4" w:space="0" w:color="000000"/>
              <w:bottom w:val="single" w:sz="4" w:space="0" w:color="000000"/>
              <w:end w:val="single" w:sz="4" w:space="0" w:color="000000"/>
            </w:tcBorders>
            <w:shd w:fill="CCCCCC" w:val="clear"/>
          </w:tcPr>
          <w:p>
            <w:pPr>
              <w:pStyle w:val="Grille01"/>
              <w:spacing w:before="120" w:after="120"/>
              <w:rPr>
                <w:rFonts w:eastAsia="SimSun;宋体"/>
                <w:lang w:val="fr-FR"/>
              </w:rPr>
            </w:pPr>
            <w:r>
              <w:rPr>
                <w:rFonts w:eastAsia="SimSun;宋体"/>
                <w:lang w:val="fr-FR"/>
              </w:rPr>
              <w:t>Fonctions sociales et culturelles</w:t>
            </w:r>
          </w:p>
          <w:p>
            <w:pPr>
              <w:pStyle w:val="Info2"/>
              <w:spacing w:before="0" w:after="120"/>
              <w:ind w:start="113" w:end="113"/>
              <w:rPr>
                <w:rFonts w:eastAsia="SimSun;宋体"/>
                <w:lang w:val="fr-FR"/>
              </w:rPr>
            </w:pPr>
            <w:r>
              <w:rPr>
                <w:lang w:val="fr-FR"/>
              </w:rPr>
              <w:t>Expliquez les fonctions et les significations sociales et culturelles de l’élément aujourd’hui, dans le groupe de population d’où il est originaire et pour ce groupe, les caractéristiques de ses gardiens et de ses praticiens et décrivez, entre autres, toute catégorie de personnes exerçant un rôle ou des responsabilités spécifiques vis-à-vis de l’élément. Il faut mentionner tout changement pertinent susceptible d’avoir des répercussions sur le critère d’inscription R.1 (« L’élément est constitutif du patrimoine culturel immatériel tel que défini à l’article 2 de la Convention »).</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120"/>
              <w:ind w:start="113" w:end="113"/>
              <w:jc w:val="both"/>
              <w:rPr/>
            </w:pPr>
            <w:r>
              <w:rPr>
                <w:lang w:val="fr-FR"/>
              </w:rPr>
              <w:t>Dans tous les pays où la fauconnerie est pratiquée, les fauconniers, hommes et femmes de terrain, s’impliquent dans la protection de la nature et des milieux naturels. Ce mode de chasse nécessite une réelle immersion dans la nature, et permet ainsi nombre d’observations dans beaucoup de domaines : surveillance des nichages d’oiseaux de proie, de la reproduction des espèces gibiers et surveillance de l’état d’entretien du milieu naturel et de l’impact des activités humaines. Par leur pratique d’une chasse très « naturelle » les fauconniers ont largement contribué à la connaissance et au respect des rapaces, dans un pays ou, traditionnellement, le « bec crochu » n’était qu’un prédateur à éradiquer.</w:t>
              <w:br/>
              <w:t>Plus largement, la discussion avec des non-fauconniers permet de les informer sur l’histoire de ce patrimoine naturel et sa répartition mondiale.</w:t>
              <w:br/>
              <w:t>Des fauconniers siègent dans toutes les instances officielles et sont en rapport permanent avec les ministères concernés, en particulier celui de l’Écologie du Développement Durable et de l’Energie avec lequel, depuis des dizaines d’années, un dialogue fécond a été noué.</w:t>
              <w:br/>
              <w:t xml:space="preserve">La fauconnerie est présente à chacune des réunions de la C.I.T.E.S   (Convention sur le commerce international des espèces de faune et de flore sauvages menacées d'extinction). </w:t>
              <w:br/>
              <w:t>Une JOURNEE INTERNATIONALE DE LA FAUCONNERIE a été instituée par l’IAF (Association Internationale de Fauconnerie), chaque 26 Novembre, pour faire connaître notre art et ses spécificités.</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C.2.</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Analyse de la viabilité de l’élément et risques auxquels il est actuellement exposé</w:t>
            </w:r>
          </w:p>
          <w:p>
            <w:pPr>
              <w:pStyle w:val="Info2"/>
              <w:keepNext w:val="true"/>
              <w:spacing w:lineRule="exact" w:line="260" w:before="0" w:after="120"/>
              <w:jc w:val="both"/>
              <w:rPr/>
            </w:pPr>
            <w:r>
              <w:rPr>
                <w:bCs/>
                <w:iCs w:val="false"/>
                <w:lang w:val="fr-FR"/>
              </w:rPr>
              <w:t>Décrivez le degré de viabilité actuelle de l’élément, en particulier la fréquence et l’étendue de sa pratique, la force des modes de transmission traditionnels, la composition démographique des praticiens et des publics et sa durabilité. Veuillez aussi identifier et décrire les facteurs qui, le cas échéant, constituent une menace pour la pérennité de la transmission et de la représentation de l’élément et indiquez le degré de gravité et de proximité de tels facteurs.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120"/>
              <w:ind w:start="113" w:end="113"/>
              <w:jc w:val="both"/>
              <w:rPr/>
            </w:pPr>
            <w:r>
              <w:rPr>
                <w:lang w:val="fr-FR"/>
              </w:rPr>
              <w:t>Nous n’avons pas de difficultés particulières à accueillir de nouveaux adeptes : il se trouve seulement que la fauconnerie est dévoreuse de temps, qu’elle nécessite des installations spécifiques, qu’elle est exclusivement un mode de chasse et qu’en conséquence des terrains giboyeux doivent se trouver à proximité du domicile du fauconnier. Ces impératifs créent obligatoirement une sévère sélection dans les candidats. Mais ceux qui ont pris la mesure de toutes ces contraintes et les acceptent deviennent des praticiens très actifs.</w:t>
              <w:br/>
              <w:t>Nous excluons de cette remarque les « détenteurs d’oiseaux de proie » que des commerciaux peu scrupuleux intitulent « fauconniers » dans le seul but de vendre des oiseaux. Cet engouement est le plus souvent temporaire, et pose le problème aigu du devenir des oiseaux rapidement délaissés.</w:t>
              <w:br/>
              <w:t>Ces commerciaux ne manquent pas de faire état du classement UNESCO dans leur publicité…</w:t>
              <w:br/>
              <w:t>Nous assistons enfin à une importante émulation en ce qui concerne notre matériel : de nombreux jeunes se lancent dans la fabrication de leurres de chaperons, de longes, de jets, souvent avoir bonheur, assurant ainsi la vie d’un savoir-faire unique.</w:t>
              <w:br/>
              <w:t>Les menaces sur la fauconnerie sont celles qui planent sur les milieux naturels : on citera l’urbanisme dévorant, les emprises autoroutières qui créent des ruptures préjudiciables dans les milieux, et des méthodes culturales désastreuses (traitements chimiques mal maîtrisés, monoculture extensive, déforestation, arrachage des haies etc...). La fauconnerie vit en symbiose avec un milieu naturel riche en proies : à défaut, beaucoup de fauconniers raccrochent le gant.</w:t>
              <w:br/>
              <w:t>En haut-vol, beaucoup de fauconniers se « reconvertissent » en volant les nuisibles (corneilles et freux). En bas-vol, c’est la survie chaotique du lapin qui pose problème. Et dans les deux cas, la difficulté de reconstituer des populations convenables de perdrix grises est un vrai problème : dans de nombreuses régions, les fauconniers participent depuis des années à des activités de réintroduction (protection des jeunes oiseaux, agrainages, cultures spécialisées)</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C.3.</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Contribution aux buts de la Liste</w:t>
            </w:r>
          </w:p>
          <w:p>
            <w:pPr>
              <w:pStyle w:val="Info2"/>
              <w:keepNext w:val="true"/>
              <w:spacing w:lineRule="exact" w:line="260" w:before="0" w:after="120"/>
              <w:jc w:val="both"/>
              <w:rPr/>
            </w:pPr>
            <w:r>
              <w:rPr>
                <w:lang w:val="fr-FR"/>
              </w:rPr>
              <w:t>Expliquez de quelle manière l’inscription de l’élément sur la Liste a contribué à assurer la visibilité du patrimoine culturel matériel et à sensibiliser les populations au niveau local, national et international, à son importance, mais aussi à promouvoir le respect de la diversité culturelle, de la créativité humaine et du respect mutuel auprès de communautés, de groupes et d’individus.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Les fauconniers ont cette chance de détenir un savoir largement partagé dans le monde entier : si des différences minimes existent, conséquences de dizaines de siècles de pratique et de différences culturelles, les fauconniers du monde ont une passion commune, un langage commun (le français est sans doute la langue la plus riche en termes de fauconnerie), et une gestuelle identique. Chaque fauconnier peut acheter du matériel dans le monde entier : un chaperon pour un faucon peut être aussi bien fabriqué au Japon qu’aux États-Unis ou en France. On pourrait, dans les réunions internationales, parier que les commentaires des vols dans toutes les langues possibles ont une signification identique !</w:t>
              <w:br/>
              <w:t>L’Association Internationale de Fauconnerie (I.A.F), qui regroupe les délégués de 53 pays, œuvre sans relâche pour promouvoir dans tous les pays du Monde,</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C.4.</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Efforts pour promouvoir ou renforcer l’élément</w:t>
            </w:r>
          </w:p>
          <w:p>
            <w:pPr>
              <w:pStyle w:val="Info2"/>
              <w:spacing w:before="0" w:after="120"/>
              <w:rPr>
                <w:lang w:val="fr-FR"/>
              </w:rPr>
            </w:pPr>
            <w:r>
              <w:rPr>
                <w:lang w:val="fr-FR"/>
              </w:rPr>
              <w:t>Décrivez les mesures qui ont été prises aux fins de la promotion et du renforcement de l’élément, en donnant le détail de toutes celles qui se sont révélées nécessaires en conséquence de son inscription.</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La diffusion de circulaires internes ainsi que l'organisation régulière par l'ANFA de réunions sur le terrain favorisent la transmission à travers le partage d'expériences entre fauconniers. L'ANFA édite également une revue annuelle, Chasse au vol.</w:t>
              <w:br/>
              <w:br/>
              <w:t>L’ANFA a initié un recensement des représentations de fauconnerie dans les bâtiments publics ou privés, notamment les châteaux et les lieux de culte. Elle cherche également à retrouver l'origine des lieux dont le nom rappelle directement ou indirectement la fauconnerie.</w:t>
              <w:br/>
              <w:br/>
              <w:t xml:space="preserve">L'association travaille également au projet de création d'un Musée de la Fauconnerie qui retrace pour le visiteur, praticien ou non, l’histoire de cet art au travers des siècles et présente un inventaire de l’ensemble des pièces et documents connus sur la fauconnerie (manuscrits, traités, œuvres d’art), en consultation sous forme numérique. </w:t>
              <w:br/>
              <w:br/>
              <w:t>Enfin, plusieurs membres de l’ANFA ont représenté la fauconnerie française dans diverses réunions internationales dans le monde entier (par exemple le Festival International de la Fauconnerie à Abu Dhabi).</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C.5.</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w:t>
            </w:r>
          </w:p>
          <w:p>
            <w:pPr>
              <w:pStyle w:val="Info2"/>
              <w:keepNext w:val="true"/>
              <w:spacing w:lineRule="exact" w:line="260" w:before="0" w:after="120"/>
              <w:jc w:val="both"/>
              <w:rPr/>
            </w:pPr>
            <w:r>
              <w:rPr>
                <w:rFonts w:eastAsia="SimSun;宋体"/>
                <w:lang w:val="fr-FR"/>
              </w:rPr>
              <w:t>Décrivez la participation des communautés, des groupes et des individus à la sauvegarde de l’élément et indiquez s’ils ont la volonté de continuer à le sauvegarder.</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Les jeunes fauconniers font preuve d’un grand respect pour l’éthique de la chasse au vol, et se sentent plus que jamais rattachés à des siècles de tradition et d’histoire. On observe un regain d’intérêt pour les racines de notre art. L’Association Nationale des Fauconniers et Autoursiers Français inventorie année après année les représentations de la fauconnerie dans le monde des arts : peinture, sculpture, architecture, et chaque fauconnier est motivé pour découvrir dans sa propre région des œuvres méconnues.</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C.6.</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Contexte institutionnel</w:t>
            </w:r>
          </w:p>
          <w:p>
            <w:pPr>
              <w:pStyle w:val="Info2"/>
              <w:rPr>
                <w:lang w:val="fr-FR"/>
              </w:rPr>
            </w:pPr>
            <w:r>
              <w:rPr>
                <w:lang w:val="fr-FR"/>
              </w:rPr>
              <w:t>Informations concernant le contexte institutionnel de l’élément inscrit sur la Liste représentative, y compris :</w:t>
            </w:r>
          </w:p>
          <w:p>
            <w:pPr>
              <w:pStyle w:val="Info2"/>
              <w:numPr>
                <w:ilvl w:val="0"/>
                <w:numId w:val="15"/>
              </w:numPr>
              <w:tabs>
                <w:tab w:val="clear" w:pos="567"/>
                <w:tab w:val="left" w:pos="518" w:leader="none"/>
                <w:tab w:val="left" w:pos="1134" w:leader="none"/>
                <w:tab w:val="left" w:pos="1701" w:leader="none"/>
                <w:tab w:val="left" w:pos="2268" w:leader="none"/>
              </w:tabs>
              <w:ind w:hanging="567" w:start="660" w:end="0"/>
              <w:rPr>
                <w:lang w:val="fr-FR"/>
              </w:rPr>
            </w:pPr>
            <w:r>
              <w:rPr>
                <w:lang w:val="fr-FR"/>
              </w:rPr>
              <w:t>le ou les organisme(s) compétent(s) impliqué(s) dans sa gestion et/ou sa sauvegarde ;</w:t>
            </w:r>
          </w:p>
          <w:p>
            <w:pPr>
              <w:pStyle w:val="Info2"/>
              <w:numPr>
                <w:ilvl w:val="0"/>
                <w:numId w:val="15"/>
              </w:numPr>
              <w:tabs>
                <w:tab w:val="clear" w:pos="567"/>
                <w:tab w:val="left" w:pos="518" w:leader="none"/>
                <w:tab w:val="left" w:pos="1134" w:leader="none"/>
                <w:tab w:val="left" w:pos="1701" w:leader="none"/>
                <w:tab w:val="left" w:pos="2268" w:leader="none"/>
              </w:tabs>
              <w:spacing w:before="0" w:after="120"/>
              <w:ind w:hanging="567" w:start="660" w:end="0"/>
              <w:rPr>
                <w:lang w:val="fr-FR"/>
              </w:rPr>
            </w:pPr>
            <w:r>
              <w:rPr>
                <w:lang w:val="fr-FR"/>
              </w:rPr>
              <w:t>la ou les organisation(s) de la communauté ou du groupe concernée(s) par l’élément et sa sauvegarde.</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L’Association Nationale des Fauconniers et Autoursiers Français (ANFA) fédère la plupart des fauconniers français (président : M. Philippe Justeau ; secrétaire général M. Benoît Labarthe, Secrétaire adjoint : Pierre Courjaret). Elle est en contact permanent avec le ministère de l’Environnement et du Cadre de Vie ainsi que l’Office national de la Chasse et de la Faune Sauvage, qui considère l'association comme l’interlocuteur unique pour toutes les questions liées à la fauconnerie. </w:t>
              <w:br/>
              <w:t>L'ANFA adhère à l’Association Internationale de Fauconnerie qui réunit 40 000 membres dans 54 pays, et siège dans toutes les instances internationales concernant la fauconnerie, la protection des rapaces, la règlementation internationale concernant le commerce des espèces classées,  et la chasse (président : Dr Adrian Lombard, Afrique du Sud, secrétaire M. Gary Timbrell, Irlande).</w:t>
              <w:br/>
              <w:br/>
              <w:t xml:space="preserve">Le présent formulaire a été renseigné sur la bse des informations fournies à cet effet par l'Association Nationale des Fauconniers et Autoursiers Français. </w:t>
              <w:b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C.7.</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pPr>
            <w:r>
              <w:rPr>
                <w:lang w:val="fr-FR"/>
              </w:rPr>
              <w:t>Participation des communautés à l’établissement du présent rapport</w:t>
            </w:r>
          </w:p>
          <w:p>
            <w:pPr>
              <w:pStyle w:val="Info2"/>
              <w:spacing w:before="0" w:after="120"/>
              <w:rPr>
                <w:lang w:val="fr-FR"/>
              </w:rPr>
            </w:pPr>
            <w:r>
              <w:rPr>
                <w:lang w:val="fr-FR"/>
              </w:rPr>
              <w:t>Décrivez les mesures qui ont été prises pour assurer la plus large participation possible des communautés, des groupes et, le cas échéant, des individus concernés pendant la préparation du présent rapport pour chaque élément concerné.</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rPr/>
            </w:pPr>
            <w:r>
              <w:rPr>
                <w:lang w:val="fr-FR"/>
              </w:rPr>
              <w:t>Le document relatif à la mise en œuvre des mesures du plan de sauvegarde a été rédigé par les porteurs mêmes du dossier de candidature, les informations ont été recueillies et revues ensuite par le CFPCI et le Ministère de la culture.</w:t>
            </w:r>
          </w:p>
        </w:tc>
      </w:tr>
      <w:tr>
        <w:trPr/>
        <w:tc>
          <w:tcPr>
            <w:tcW w:w="780" w:type="dxa"/>
            <w:tcBorders>
              <w:top w:val="single" w:sz="4" w:space="0" w:color="000000"/>
              <w:start w:val="single" w:sz="4" w:space="0" w:color="000000"/>
              <w:bottom w:val="single" w:sz="4" w:space="0" w:color="000000"/>
            </w:tcBorders>
            <w:shd w:fill="CCCCCC" w:val="clear"/>
          </w:tcPr>
          <w:p>
            <w:pPr>
              <w:pStyle w:val="Grille02"/>
              <w:snapToGrid w:val="false"/>
              <w:spacing w:before="120" w:after="120"/>
              <w:jc w:val="end"/>
              <w:rPr/>
            </w:pPr>
            <w:r>
              <w:rPr/>
              <w:t>C.</w:t>
            </w:r>
          </w:p>
        </w:tc>
        <w:tc>
          <w:tcPr>
            <w:tcW w:w="9078" w:type="dxa"/>
            <w:tcBorders>
              <w:top w:val="single" w:sz="4" w:space="0" w:color="000000"/>
              <w:bottom w:val="single" w:sz="4" w:space="0" w:color="000000"/>
              <w:end w:val="single" w:sz="4" w:space="0" w:color="000000"/>
            </w:tcBorders>
            <w:shd w:fill="CCCCCC" w:val="clear"/>
          </w:tcPr>
          <w:p>
            <w:pPr>
              <w:pStyle w:val="Grille01"/>
              <w:snapToGrid w:val="false"/>
              <w:spacing w:before="120" w:after="120"/>
              <w:rPr/>
            </w:pPr>
            <w:r>
              <w:rPr>
                <w:rFonts w:eastAsia="SimSun;宋体" w:cs="Arial"/>
                <w:bCs/>
                <w:szCs w:val="22"/>
                <w:lang w:val="fr-FR"/>
              </w:rPr>
              <w:t>Statut des éléments inscrits sur la Liste représentative</w:t>
            </w:r>
          </w:p>
          <w:p>
            <w:pPr>
              <w:pStyle w:val="Info2"/>
              <w:rPr/>
            </w:pPr>
            <w:r>
              <w:rPr>
                <w:lang w:val="fr-FR"/>
              </w:rPr>
              <w:t xml:space="preserve">Veuillez fournir l’ensemble des informations demandées ci-après pour chacun des éléments du patrimoine culturel immatériel présents sur le territoire de l’État qui ont été inscrits sur la Liste représentative. Pour décrire l’état </w:t>
            </w:r>
            <w:r>
              <w:rPr>
                <w:b/>
                <w:bCs/>
                <w:lang w:val="fr-FR"/>
              </w:rPr>
              <w:t>actuel</w:t>
            </w:r>
            <w:r>
              <w:rPr>
                <w:lang w:val="fr-FR"/>
              </w:rPr>
              <w:t xml:space="preserve"> de l’élément, vous prendrez pour base le dossier de proposition d’inscription et ne rendez compte que des changements pertinents survenus depuis la date de l’inscription sur la Liste ou depuis le dernier rapport établi. Les dossiers de proposition d’inscription et les précédents rapports peuvent être consultés sur le Web (www.unesco.org/culture/ich) ou, sur demande, au Secrétariat.</w:t>
            </w:r>
          </w:p>
          <w:p>
            <w:pPr>
              <w:pStyle w:val="Info2"/>
              <w:spacing w:before="0" w:after="120"/>
              <w:rPr>
                <w:lang w:val="fr-FR"/>
              </w:rPr>
            </w:pPr>
            <w:r>
              <w:rPr>
                <w:lang w:val="fr-FR"/>
              </w:rPr>
              <w:t>L’État partie s’efforce d’assurer la plus large participation possible des communautés, des groupes et, le cas échéant, des individus concernés au cours du processus de préparation de chaque rapport et il lui est demandé au point C.7 ci-après de décrire de quelle manière il y est parvenu.</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8" w:type="dxa"/>
            <w:tcBorders>
              <w:top w:val="single" w:sz="4" w:space="0" w:color="000000"/>
              <w:bottom w:val="single" w:sz="4" w:space="0" w:color="000000"/>
              <w:end w:val="single" w:sz="4" w:space="0" w:color="000000"/>
            </w:tcBorders>
          </w:tcPr>
          <w:p>
            <w:pPr>
              <w:pStyle w:val="Grille02"/>
              <w:snapToGrid w:val="false"/>
              <w:spacing w:before="120" w:after="120"/>
              <w:ind w:start="113" w:end="113"/>
              <w:rPr>
                <w:lang w:val="fr-FR"/>
              </w:rPr>
            </w:pPr>
            <w:r>
              <w:rPr>
                <w:lang w:val="fr-FR"/>
              </w:rPr>
              <w:t xml:space="preserve">Nom de l’élément : </w:t>
            </w:r>
            <w:r>
              <w:rPr>
                <w:b w:val="false"/>
                <w:bCs w:val="false"/>
                <w:lang w:val="fr-FR"/>
              </w:rPr>
              <w:t>Le repas gastronomique des Français</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8" w:type="dxa"/>
            <w:tcBorders>
              <w:top w:val="single" w:sz="4" w:space="0" w:color="000000"/>
              <w:bottom w:val="single" w:sz="4" w:space="0" w:color="000000"/>
              <w:end w:val="single" w:sz="4" w:space="0" w:color="000000"/>
            </w:tcBorders>
          </w:tcPr>
          <w:p>
            <w:pPr>
              <w:pStyle w:val="Grille02"/>
              <w:snapToGrid w:val="false"/>
              <w:spacing w:before="120" w:after="120"/>
              <w:ind w:start="113" w:end="113"/>
              <w:rPr/>
            </w:pPr>
            <w:r>
              <w:rPr/>
              <w:t xml:space="preserve">Inscrit en : </w:t>
            </w:r>
            <w:r>
              <w:rPr>
                <w:b w:val="false"/>
              </w:rPr>
              <w:t>2010</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C.1.</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Fonctions sociales et culturelles</w:t>
            </w:r>
          </w:p>
          <w:p>
            <w:pPr>
              <w:pStyle w:val="Info2"/>
              <w:keepNext w:val="true"/>
              <w:spacing w:lineRule="exact" w:line="260" w:before="0" w:after="120"/>
              <w:jc w:val="both"/>
              <w:rPr/>
            </w:pPr>
            <w:r>
              <w:rPr>
                <w:iCs w:val="false"/>
                <w:lang w:val="fr-FR"/>
              </w:rPr>
              <w:t>Expliquez les fonctions et les significations sociales et culturelles de l’élément aujourd’hui, dans le groupe de population d’où il est originaire et pour ce groupe, les caractéristiques de ses gardiens et de ses praticiens et décrivez, entre autres, toute catégorie de personnes exerçant un rôle ou des responsabilités spécifiques vis-à-vis de l’élément. Il faut mentionner tout changement pertinent susceptible d’avoir des répercussions sur le critère d’inscription R.1 (« </w:t>
            </w:r>
            <w:r>
              <w:rPr>
                <w:lang w:val="fr-FR"/>
              </w:rPr>
              <w:t>L’élément est constitutif du patrimoine culturel immatériel tel que défini à l’article 2 de la Convention »).</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Les Français, lorsqu'ils célèbrent un événement important et heureux de la vie tel qu'une naissance, un anniversaire, un mariage, l'obtention d'un diplôme, un succès ou des retrouvailles, organisent un repas festif ou repas gastronomique. Il s'agit d'un moment de plaisir partagé autour de la table qui est essentiel à la vie du groupe, que celui-ci soit amical, familial, professionnel ou associatif, renforçant sa cohésion et constituant un important repère identitaire. Le repas gastronomique est une occasion de réunion et de partage illustrant l'attachement à une représentation commune et revendiquée du bien manger et du bien être ensemble. C’est une pratique sociale qui s’attache à une représentation commune du bien manger plutôt qu’à des mets particuliers. Son homogénéité dans toute la communauté provient:</w:t>
              <w:br/>
              <w:t xml:space="preserve"> - d’une part du sens qu’elle lui donne: le bien être ensemble, l’attention à l’Autre, le partage autour du plaisir du goût, l’équilibre entre l’être humain et les productions de la nature; </w:t>
              <w:br/>
              <w:t xml:space="preserve">- d’autre part des rites précis selon lesquels il se déroule : recherche de bons produits, référence aux corpus de recettes codifiées, savoir-faire culinaires, esthétisation de la table, succession des services, mariage des mets et des vins, conversations autour des mets.  La convivialité est le sens principal que les Français donnent au repas en général et au repas gastronomique en particulier, selon une étude du CREDOC (Centre de recherche pour l'étude et l'observation des conditions de vie) sur la consommation et les modes de vie (Gabriel Tavoularis et Thierry Mathé, septembre 2010). Par ailleurs une enquête menée par l'institut de sondage IPSOS en avril 2012 a fait valoir que le repas partagé est une source principale (« apporte beaucoup ou un peu ») de joie pour 97% des Français.L'enquête Harris Interactive (octobre 2013) vérifie cette tendance et souignant que pour 82% des français le temps passé avec les proches et les plaisirs de la table sont les activités les plus susceptibles d’apporter réconfort et bien-être particulièrement en période de crise économique. Ses valeurs, intégratives des diversités, renforcent pour ceux qui le pratiquent le sentiment d’appartenance. Le repas gastronomique est une pratique sociale coutumière partagée par l'ensemble des Français sans distinction d’âge, de sexe, d'appartenance sociale ou politique. Ces derniers sont donc les praticiens et les détenteurs d'un patrimoine transmis de manière formelle et informelle, de génération en génération au sein de la famille ou entre amis. Les gastronomes fréquentés dans la famille (parents, grands-parents...) ou parmi les amis ont des connaissances approfondies des rituels et des savoir-faire du repas gastronomique. Ils sont à ce titre les gardiens de la mémoire autant que les acteurs de sa transmission.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C.2.</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Analyse de la viabilité de l’élément et risques auxquels il est actuellement exposé</w:t>
            </w:r>
          </w:p>
          <w:p>
            <w:pPr>
              <w:pStyle w:val="Info2"/>
              <w:keepNext w:val="true"/>
              <w:spacing w:lineRule="exact" w:line="260" w:before="0" w:after="120"/>
              <w:jc w:val="both"/>
              <w:rPr/>
            </w:pPr>
            <w:r>
              <w:rPr>
                <w:bCs/>
                <w:iCs w:val="false"/>
                <w:lang w:val="fr-FR"/>
              </w:rPr>
              <w:t>Décrivez le degré de viabilité actuelle de l’élément, en particulier la fréquence et l’étendue de sa pratique, la force des modes de transmission traditionnels, la composition démographique des praticiens et des publics et sa durabilité. Veuillez aussi identifier et décrire les facteurs qui, le cas échéant, constituent une menace pour la pérennité de la transmission et de la représentation de l’élément et indiquez le degré de gravité et de proximité de tels facteurs.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Les Français sont très attachés au repas gastronomique qui demeure une véritable institution et résiste aux contraintes liées au monde du travail ou à la crise du modèle familial traditionnel. L’étude du CREDOC citée plus haut précise  ainsi que « le repas festif s’inscrit dans la continuité du repas caractéristique du modèle alimentaire français ». Les praticiens adolescents et jeunes adultes contribuent fortement à la recréation de l’élément (étude AlimAdo de l'OCHA, Observatoire des habitudes alimentaires du Centre national interprofessionel de l'économie laitière, octobre 2009) ; le repas festif en tant que pratique sociale mais également comme expérience sensorielle et symbolique se révèle un espace de reformulation identitaire. C’est ainsi que le repas gastronomique associe les principes de continuité, de reproduction (notamment des goûts ou des manières de préparation) et les désirs d’innovation caractéristiques des jeunes classes d’âge. C'est ainsi qu'à la faveur d'une appropriation par les jeunes générations des valeurs du repas festif - principalement le plaisir sociable -  on note l'apparition de nouvelles formes de commensalité plus souples et modernisées. La transmission des connaissances et des savoirs du repas gastronomique des Français est donc un processus dynamique. Il est néanmoins indispensable de renforcer et de développer les outils d’information et d’enseignement formel ou informel.</w:t>
              <w:br/>
              <w:t xml:space="preserve">Par ailleurs, le concept de patrimoine culturel immatériel est encore relativement nouveau en France. L’importante médiatisation dont a bénéficié l’inscription du Repas gastronomique des Français sur la Liste représentative n’a pas encore eu pour effet de lever toute ambiguïté quant à sa portée exacte. Un travail pédagogique se poursuit néanmoins notamment à la faveur de la mise en œuvre des mesures de sauvegarde dans leur ensemble et de la mesure dite phare en particulier; création d'un équipement culturel pluridisciplinaire dédié (réseau des cités de la gastronomie). Les médias se sont régulièrement faits l'écho de la mise en oeuvre du plan de gestion qui découle de l'inscription du repas gastronomique. Il reste cependant à déplorer que très fréquement la presse entretient (par commodité de langage et manque de rigueur) la confusion et l'amalgame entre patrimoine mondial et patrimoine culturel immatériel. A ce titre, les ministères chargés de la Culture et de l’Agriculture sont particulièrement attentifs au risque de dérive mercantile que pourrait faire naître une compréhension hâtive de l’inscription de cette pratique sociale au patrimoine culturel immatériel de l’humanité.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C.3.</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Contribution aux buts de la Liste</w:t>
            </w:r>
          </w:p>
          <w:p>
            <w:pPr>
              <w:pStyle w:val="Info2"/>
              <w:spacing w:before="0" w:after="120"/>
              <w:rPr>
                <w:lang w:val="fr-FR"/>
              </w:rPr>
            </w:pPr>
            <w:r>
              <w:rPr>
                <w:lang w:val="fr-FR"/>
              </w:rPr>
              <w:t>Expliquez de quelle manière l’inscription de l’élément sur la Liste a contribué à assurer la visibilité du patrimoine culturel matériel et à sensibiliser les populations au niveau local, national et international, à son importance, mais aussi à promouvoir le respect de la diversité culturelle, de la créativité humaine et du respect mutuel auprès de communautés, de groupes et d’individus.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L'inscription en novembre 2010 du repas gastronomique des Français sur la Liste représentative du patrimoine culturel immatériel de l'humanité a bénéficié d'une large couverture médiatique qui a contribué à faire découvrir au grand public la notion de patrimoine culturel immatériel. Les nombreuses interventions publiques qui ont suivi cette inscription ont permis de faire connaître la Convention de 2003, ses valeurs et ses enjeux, notamment concernant les mesures de sauvegarde : </w:t>
              <w:br/>
              <w:t>conférences de presse ;</w:t>
              <w:br/>
              <w:t>Rencontres François Rabelais réunissant universitaires et praticiens des arts culinaires, organisées annuellement par l'Institut Européen de l'Histoire et des Cultures de l'Alimentation (Université de Tours) dans le cadre du Forum Alimentation et Culture ;</w:t>
              <w:br/>
              <w:t xml:space="preserve"> journées d’études à l'Université Lyon II et à l'Université de Tours. De nombreuses invitations à présenter à l'étranger (notamment au sein du réseau des instituts culturels français) les enjeux et perspectives de l'inscription de l'élément ont permis de développer une "pédagogie" de du patrimoine culturel immatériel; Riga, Tel Aviv, Bangkok, Bouthan, Kuala Lumpur, ... </w:t>
              <w:br/>
              <w:t xml:space="preserve">Les interprétations approximatives de l'inscription du repas gastronomique des Français sur la Liste représentative ont par ailleurs nécessité la mise en œuvre d'une communication pédagogique adaptée, basée sur la Convention de 2003, les caractéristiques du patrimoine culturel immatériel et la diversité de ses expressions dans le monde, contribuant ainsi à leur visibilité.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rPr/>
            </w:pPr>
            <w:r>
              <w:rPr/>
              <w:t>C.4.</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Efforts pour promouvoir ou renforcer l’élément</w:t>
            </w:r>
          </w:p>
          <w:p>
            <w:pPr>
              <w:pStyle w:val="Info2"/>
              <w:keepNext w:val="true"/>
              <w:spacing w:lineRule="exact" w:line="260" w:before="0" w:after="120"/>
              <w:jc w:val="both"/>
              <w:rPr/>
            </w:pPr>
            <w:r>
              <w:rPr>
                <w:lang w:val="fr-FR"/>
              </w:rPr>
              <w:t>Décrivez les mesures qui ont été prises aux fins de la promotion et du renforcement de l’élément, en donnant le détail de toutes celles qui se sont révélées nécessaires en conséquence de son inscription.</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1 Les actions mises en œuvre par l’État et prévues dans le Programme National pour l'Alimentation</w:t>
              <w:br/>
              <w:br/>
              <w:t>Les ministères en charge de l’agriculture et de la culture ont lancé conjointement, dès septembre 2010, un groupe de travail pour préparer la mise en œuvre des actions du Programme National pour l'Alimentation (PNA) concourant, pour ce qui relève de la responsabilité de l’État, aux mesures de sauvegarde prévues dans le dossier de candidature du repas gastronomique des Français. Pour les mesures portées par les partenaires privés, la Mission française du patrimoine et des cultures alimentaires (MFPCA) est identifiée comme la structure de référence chargée du suivi et de la veille.</w:t>
              <w:br/>
              <w:br/>
              <w:t>Le groupe de travail est ensuite devenu un Groupe de Travail Interministériel du PNA (GTI 11 sur le patrimoine alimentaire et culinaire) qui s’est déjà réuni à cinq reprises, dont une réunion élargie aux organisations professionnelles, et inclut désormais la MFPCA. Ce GTI rassemble les ministères en charge de l'alimentation, de la culture, du tourisme, du commerce extérieur, de la consommation, des affaires étrangères, de l'Éducation nationale et de l'enseignement supérieur, ainsi que l'Institut National de l’Origine et de la Qualité (INAO).</w:t>
              <w:br/>
              <w:br/>
              <w:t>Mesure 1 : création d'ateliers de découverte de la culture gastronomique dans le cadre des mesures d'accompagnement éducatif mises en place dans les écoles</w:t>
              <w:br/>
              <w:br/>
              <w:t xml:space="preserve">Des « classes du goût » sont mises en œuvre entre mars et décembre 2011 dans 6 régions pilotes (Alsace, Bourgogne, Ile-de-France, Nord-Pas-de-Calais, Région Centre et la Réunion), puis proposées dans l’ensemble des régions à la rentrée scolaire 2011. Ces classes se déroulent sur le temps scolaire au cours de 8 séances d'1h30, avec le concours de l’INAO. Elles ont pour objectifs de développer les compétences psychosociales de l’élève, d’améliorer la verbalisation des sensations perçues, de diminuer la néophobie alimentaire et de favoriser la participation à la cuisine en famille. Les séances 7 et 8 des classes du goût prennent la forme d'« ateliers de découverte » de cette culture que constitue le repas gastronomique des Français, et permettent de sensibiliser les enfants mais aussi les parents au partage du plaisir et du goût autour des produits de terroir. Un guide1 de formation a été réalisé par les ministères chargés de l’alimentation et de l’Éducation nationale, en collaboration étroite avec l’INAO. </w:t>
              <w:br/>
              <w:t>Dans ce cadre, le ministère de l'Agriculture, de l'Agroalimentaire et de la Forêt a apporté son soutien à la constitution d’un réseau national des acteurs de l'éducation au goût2 pour permettre notamment d'assurer le déploiement des classes du goût. Plus de 400 classes (soit 10 000 enfants) auront ainsi été bénéficiaires de cette formation au cours de l'année scolaire 2011-2012. Le bilan de cette action est très positif et son coût, partagé dans de nombreuses régions avec le ministère chargé de la Santé ou de la Cohésion sociale, relativement peu élevé (4€ par enfant).</w:t>
              <w:br/>
              <w:t>D'autres actions de sensibilisation des jeunes publics ont également été labellisées par le PNA :</w:t>
              <w:br/>
              <w:br/>
              <w:t>En région Aquitaine, la manifestation « Les bons goûts d'antan », organisée en juin 2012 par l'association « Bien Vivre à Noaillan », pour valoriser la gastronomie et la transmission d'une culture culinaire au moyen d’un concours de cuisine par des équipes d'enfants, jugés par des chefs cuisiniers.</w:t>
              <w:br/>
              <w:br/>
              <w:t>En région Ile-de-France, le rallye « A la recherche des plats perdus », organisé en 2011 par l'association Envol'moi, jeu de piste autour de la gastronomie et de la cuisine à destination du jeune public.</w:t>
              <w:br/>
              <w:br/>
              <w:t>Mesure 2 : recensement et collecte des éléments du repas gastronomique des Français et de ses rites</w:t>
              <w:br/>
              <w:br/>
              <w:t>Au travers de la Loi de modernisation de l’agriculture et de la pêche, le législateur a confié au Programme national pour l'alimentation l’objectif de mieux valoriser ce patrimoine, notamment au moyen d’un inventaire national des produits et recettes régionaux. La référence à un vaste corpus de recettes est en effet l'un des éléments qui caractérisent la ritualisation du repas gastronomique.</w:t>
              <w:br/>
              <w:br/>
              <w:t>Des données sont déjà disponibles : l'inventaire du Conseil national des arts culinaires (CNAC)3 réalisé dans les années 1990 avec la collaboration du CNRS de Bourg-en-Bresse, mais non numérisé, et la base de données INAO sur les produits sous signes de qualité qui sera opérationnelle à la fin de l’année 2012.</w:t>
              <w:br/>
              <w:br/>
              <w:t>Il est apparu nécessaire de fédérer ces données afin de les rendre accessibles au plus grand nombre. Les élèves de l'enseignement agricole ont ainsi été mobilisés dès la rentrée 2011 afin de consolider l'inventaire réalisé par le CNAC en choisissant 15 produits parmi les plus emblématiques de leur région4. Ils ont réalisé un travail de terrain recoupant les données géographiques, sociologiques, culturelles, historiques, et environnementales qui ont contribué à l'inscription du produit dans l'inventaire.</w:t>
              <w:br/>
              <w:br/>
              <w:t>Les données collectées seront mises à disposition du public à partir de la fin de l'année 2012 via différents canaux de diffusion : portail Internet avec contenu multimédia (www.cuisinealafrancaise.com ; www.alimentation.gouv.fr) et éventuellement des éditions papier sous forme de guides, de livres ou de fiches thématiques. Le portail Internet www.cuisinealafrancaise.com comporte déjà de nombreuses informations sur les produits et les recettes qui seront enrichis par le travail des élèves en mettant notamment en avant les savoir-faire et les pratiques sociales.</w:t>
              <w:br/>
              <w:br/>
              <w:t>Dans le cadre du PNA a également été retenu le projet de l'association des Cuisineries Gourmandes5 pour la création d'un conservatoire des traditions culinaires artisanales qui référencera les savoir-faire, favorisant leur transmission et la valorisation des traditions autour de l’art culinaire.</w:t>
              <w:br/>
              <w:t>Il a noter dans cet esprit la publication par la Région Centre avec l'IEHCA et les éditions Albin Michel du dernier volume ( de la France métropolitaine) de l'inventaire du patrimoine culinaire de la France : Région Centre.</w:t>
              <w:br/>
              <w:t>Mesure 3 : encourager les grandes manifestations culturelles nationales à intégrer un volet dédié au repas gastronomique. On peut à cet égard souligner l'attention particulière portée au patrimoine gastronomique et au repas de fête par les organisateurs de Marseille2013 capitale européenne de la culture notamment illustrée par la manifestations "cuisines en friche".</w:t>
              <w:br/>
              <w:br/>
              <w:t>Pour valoriser la reconnaissance du repas gastronomique des Français par l’Unesco et en accord avec le ministère de la Culture, le PNA prévoyait d'étendre les journées européennes du patrimoine au patrimoine alimentaire et gastronomique. Cette action expérimentée en 20106 sur le thème des hommes et femmes célèbres a été renouvelée en 20117 sur le thème du voyage.</w:t>
              <w:br/>
              <w:br/>
              <w:t>Par ailleurs, le 23 septembre 2011, les ministres chargés de l’agriculture et de la culture ont signé une convention « Alimentation, Agri-Culture »8 afin de renforcer la prise en compte des enjeux culturels dans un aménagement concerté et intégré des territoires ruraux, et ainsi favoriser la mise en place de manifestations locales sur l’importance de la valorisation du patrimoine alimentaire et culinaire des régions mais surtout des savoir-faire et des pratiques sociales associées à ce patrimoine. Cette convention fera l’objet d’une déclinaison régionale à partir d’une expérimentation dans quelques DRAAF-DRAC pilotes (Directions régionales de l'agriculture, de l'agroalimentaire et de la forêt et Directions régionales des affaires culturelles).</w:t>
              <w:br/>
              <w:t>2 La Chaire UNESCO « sauvegarde et valorisation des patrimoines culturels alimentaires »</w:t>
              <w:br/>
              <w:t>L’Université François-Rabelais de Tours a créé en juin 2009 la Chaire UNESCO « sauvegarde et valorisation des patrimoines culturels alimentaires » dont les partenaires institutionnels sont l’Institut Européen d’Histoire et des Cultures de l’Alimentation (IEHCA) et la Mission Française du Patrimoine et des Cultures Alimentaires (MFPCA). En labellisant ce projet, l’Unesco a reconnu l'intérêt de ce dernier concernant la mise en commun et le transfert des connaissances dans une optique de développement des relations Nord/Sud. La création de cette chaire s’intègre dans le plan de gestion associé à l’inscription du Repas gastronomique des Français sur la Liste représentative, qui identifiait l’Université François-Rabelais comme centre de recherche sur la question des patrimoines alimentaires et gastronomiques.</w:t>
              <w:br/>
              <w:t>La chaire a pour objectif de promouvoir les patrimoines alimentaires et d'en permettre une meilleure connaissance, notamment à travers leur identification et la réalisation de leurs inventaires. L’Université François-Rabelais entend mettre en place un certain nombre d’actions concrètes à cette fin : organisation de colloques internationaux et de séminaires, mise en place de mobilités enseignantes et étudiantes, promotion de la recherche, soutien aux initiatives d’inventaires des patrimoines alimentaires, etc.</w:t>
              <w:br/>
              <w:t>Cette chaire UNESCO constitue une étape importante d’un processus engagé depuis près de 10 ans, visant à faire de l’alimentation l'un des pôles d’excellence de l’université de Tours. La collaboration entre l’Université et l’IEHCA a déjà permis l'établissement du Master européen d’histoire et des cultures de l’alimentation (2005), la mise en place du Plan pluri-formations alimentation (2008), regroupant une trentaine d’enseignants-chercheurs de six UFR (Unités de Formation et de Recherche) et de l’IUT (Institut Universitaire de Technologie), la création de la collection « Tables des Hommes » en collaboration avec les Presses Universitaires de Rennes (2009). La chaire place ainsi l’université François-Rabelais de Tours à la tête d’un réseau international d’institutions de recherche. L’Université fédérale du Paraná (Brésil), l’Université Ibn Tofaïl de Kénitra (Maroc), l’Université Abdou Moumouni de Niamey (Niger), l’Université américaine de Beyrouth (Liban), l’Institut Français de Pondichéry (Inde) et la Chinese University de Hong Kong (République populaire de Chine) ont collaboré à la mise en œuvre de ce projet dont ils constituent des partenaires à part entière. La chaire tourangelle est également fédérée avec la chaire Unesco « Alimentations du monde » de SupAgro Montpellier (Centre international d'études supérieures en sciences agronomiques).</w:t>
              <w:br/>
              <w:t>Une équipe d’accueil alimentation (EA N°6294) a également été créée au sein de l’Université de Tours. Ses travaux contribuent à une meilleure connaissance de la pratique sociale du repas gastronomique et de son contexte (http://lea.univ-tours.fr)</w:t>
              <w:br/>
              <w:br/>
              <w:t>3 La coopération internationale</w:t>
              <w:br/>
              <w:t xml:space="preserve">Conformément aux mesures de sauvegarde prévues dans le dossier de candidature, la MFPCA développe des actions favorisant le partage d’expertise en matière d’identification, de documentation, de transmission des savoirs et des savoir-faire, et participe à la valorisation des pratiques sociales et des rites du repas gastronomique comme témoignages importants de la diversité culturelle. A l’initiative de la MFPCA et de la chaire UNESCO « sauvegarde et valorisation des patrimoines culturels alimentaires » se sont réunis au siège de l’UNESCO à Paris le 21 mai 2012 les représentants des Etats et des communautés désireux de mettre en valeur les patrimoines et cultures alimentaires à travers la création d’un réseau international. Le Mexique, la Croatie, le Portugal, le Maroc, l’Espagne, la Corée, le Japon, la Grèce, la Turquie, la France, l’Italie ont ainsi posé les bases d’une politique  de mutualisation et d’échange de données et d’expériences concernant le stratégies de sauvegarde et de transmission des éléments du PCI relatifs aux cultures alimentaires. Les premiers échanges sont engagés (liste des experts sollicités pour l’élaboration des dossiers de candidature). </w:t>
              <w:br/>
              <w:t xml:space="preserve">Il s’agit donc à travers la constitution d’un réseau international des patrimoines culturels alimentaires de : </w:t>
              <w:br/>
              <w:t>Créer et encourager les échanges d’informations et de ressources</w:t>
              <w:br/>
              <w:t>Encourager le montage de projets communs contribuant à une large reconnaissance des patrimoines alimentaires</w:t>
              <w:br/>
              <w:t>Valoriser la coopération d’universitaires et d’experts pour la mise en œuvre du réseau et l’élaboration des dossiers</w:t>
              <w:br/>
              <w:t>Créer un site Internet commun</w:t>
              <w:br/>
              <w:t>Organiser un colloque international : « Alimentation et PCI »</w:t>
              <w:br/>
              <w:t>Cette démarche devrait connaitre un redéploiement à la faveur de l'inscription de nouvelles pratiques et expressions culinaires sur la liste représentative du patrimoine culturel immatériel depuis 2009 ( cf.japon, turquie, géorgie, diete méditerranéenne, ...). La MFPCA entend prolonger ces rencontres et échnages à l'occasion des manifestations culturelles qui devraient se tenir à Milan en 2015 pour l'exposition Universelle dont le thème est "nourrir la planète, énergie pour la vie"</w:t>
              <w:br/>
              <w:br/>
              <w:t>4 Le réseau des Cités de la gastronomie, outil de valorisation et de transmission de l’élément et de son contexte</w:t>
              <w:br/>
              <w:t>Le dossier de candidature précise que : « L'Etat engagera une réflexion avec l'ensemble des acteurs concernés, privés comme publics (notamment les collectivités territoriales), afin d'étudier les conditions de création d’un équipement culturel pluridisciplinaire à dimension nationale et internationale qui contribuera à sensibiliser le public à l’histoire, aux fonctions et valeurs de l’élément, ainsi qu’à la vitalité de ses expérimentations en France et dans le monde. Cet équipement culturel pourrait être un espace vivant favorisant par des activités pédagogiques (ateliers, production éditoriale), artistiques et documentaires (expositions, rencontres et discussions), une meilleure connaissance de la pratique culturelle et sociale du repas gastronomique des Français, de ses rites, et plus largement des traditions des repas des communautés partout dans le monde. »</w:t>
              <w:br/>
              <w:t>Dans ce cadre exploratoire, la MFPCA a lancé un « appel à manifestation d'intérêts » en vue de la création du projet. Plusieurs collectivités territoriales ont mené des réflexions d'envergure (études, enquêtes auprès des acteurs associatifs ou professionnels locaux) sur les outils et les moyens de valorisation du repas gastronomique et sa transmission aux générations futures. Le succès de l’appel attestent également de la mobilisation des acteurs publics et privés à assurer la viabilité de l’élement. Le 19 juin 2013 le Réseau des Cités de la Gastronomie a ainsi officiellement lancée par le ministère de la culture et de la communication et le ministère de l'agriculture, de l'agroalimentaire et de la forêt. Cet outil original et fédérateur assurera la coordination des programmes culturels communs aux cités de la agstronomie notamment pour ce qui en constitue le socle partagé des équipements à savoir la mise en valeur de l'élément en direction des communautés. Les villes de Dijon, Lyon, Paris-Rungis et Tours ont ainsi été retenues pour constituer le socle du réseau. Des manifestations de préfiguration des équipements se sont développées qui ont permis de vérifier le fort attachement de la communauté aux repas gastronomique (automne 2013 à Dijon et à Tours, banquets festifs, ...). Le calendrier prévoit des inaugurations de lieux entre 2017 et 2020 ce qui favorise la création de nombreuses manifestations de préfiguration propoces à la promotion du repas gastronomique et à sa transmission auprès del 'ensemble de la communauté.</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C.5.</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w:t>
            </w:r>
          </w:p>
          <w:p>
            <w:pPr>
              <w:pStyle w:val="Info2"/>
              <w:spacing w:before="0" w:after="120"/>
              <w:rPr>
                <w:rFonts w:eastAsia="SimSun;宋体"/>
                <w:lang w:val="fr-FR"/>
              </w:rPr>
            </w:pPr>
            <w:r>
              <w:rPr>
                <w:rFonts w:eastAsia="SimSun;宋体"/>
                <w:lang w:val="fr-FR"/>
              </w:rPr>
              <w:t>Décrivez la participation des communautés, des groupes et des individus à la sauvegarde de l’élément et indiquez s’ils ont la volonté de continuer à le sauvegarder.</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 repas gastronomique des Français est pratiqué par l’ensemble de la population française. Au sein de la communauté nationale, on peut souligner le dynamisme de nombreuses associations à but non lucratif qui participent par leurs actions régulières à la valorisation du repas de fête ainsi qu'à sa transmission en direction des plus jeunes. L'appropriation des projets de cité de la gastronomie par l'ensemble des Français s'est vérifié tout au long du processus d'analyse des dossiers de candidatures et devraient s'amplifier au fur et à mesure des différentes étapes officielles  de leur création. La forte mobilisation des acteurs et praticiens n'a cessé de se vérifier.</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C.6.</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Contexte institutionnel</w:t>
            </w:r>
          </w:p>
          <w:p>
            <w:pPr>
              <w:pStyle w:val="Info2"/>
              <w:rPr/>
            </w:pPr>
            <w:r>
              <w:rPr>
                <w:lang w:val="fr-FR"/>
              </w:rPr>
              <w:t>Informations concernant le contexte institutionnel de l’élément inscrit sur la Liste représentative, y compris :</w:t>
            </w:r>
          </w:p>
          <w:p>
            <w:pPr>
              <w:pStyle w:val="num02tab"/>
              <w:numPr>
                <w:ilvl w:val="0"/>
                <w:numId w:val="14"/>
              </w:numPr>
              <w:suppressAutoHyphens w:val="true"/>
              <w:ind w:hanging="284" w:start="377" w:end="113"/>
              <w:rPr>
                <w:lang w:val="fr-FR"/>
              </w:rPr>
            </w:pPr>
            <w:r>
              <w:rPr>
                <w:lang w:val="fr-FR"/>
              </w:rPr>
              <w:t>le ou les organisme(s) compétent(s) impliqué(s) dans sa gestion et/ou sa sauvegarde ;</w:t>
            </w:r>
          </w:p>
          <w:p>
            <w:pPr>
              <w:pStyle w:val="num02tab"/>
              <w:numPr>
                <w:ilvl w:val="0"/>
                <w:numId w:val="14"/>
              </w:numPr>
              <w:suppressAutoHyphens w:val="true"/>
              <w:spacing w:before="0" w:after="120"/>
              <w:ind w:hanging="284" w:start="377" w:end="113"/>
              <w:rPr>
                <w:lang w:val="fr-FR"/>
              </w:rPr>
            </w:pPr>
            <w:r>
              <w:rPr>
                <w:lang w:val="fr-FR"/>
              </w:rPr>
              <w:t>la ou les organisation(s) de la communauté ou du groupe concernée(s) par l’élément et sa sauvegarde.</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 ministère de l'Agriculture, de l'Agroalimentaire et de la Forêt, et le ministère de l'Agriculture</w:t>
              <w:br/>
              <w:t>La Mission Française du Patrimoine et des Cultures Alimentaires, association loi de 1901, désignée par le dossier de candidature comme « l’organisme spécifique et fédérateur, (qui) assurera en lien avec l’État la veille et le suivi des mesures de sauvegarde » (www.repasgastronomiquedesfrancais.org)</w:t>
              <w:br/>
              <w:t>L'Institut Européen d’Histoire et des Cultures de l’Alimentation (www.iehca.eu) et la Chaire Unesco « sauvegarde et valorisation des patrimoines culturels alimentaires » (www.chaireunesco-alimentation.univ-tours.fr), partenaires privilégiés.</w:t>
              <w:br/>
              <w:t>Le présent formulaire a été rédigé à partir des renseignements fournis par la MFPCA et les inspecteurs de l'Agriculture (ministère de l'Agriculture, de l'Agroalimentaire et de la Forêt) chargés en 2012 d'une mission de suivi des engagements pris dans le cadre de l'inscription du repas gastronomique des Français sur la Liste représentative du patrimoine immatériel de l'humanité.</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C.7.</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 à l’établissement du présent rapport</w:t>
            </w:r>
          </w:p>
          <w:p>
            <w:pPr>
              <w:pStyle w:val="Info2"/>
              <w:keepNext w:val="true"/>
              <w:spacing w:lineRule="exact" w:line="260" w:before="0" w:after="120"/>
              <w:jc w:val="both"/>
              <w:rPr/>
            </w:pPr>
            <w:r>
              <w:rPr>
                <w:lang w:val="fr-FR"/>
              </w:rPr>
              <w:t>Décrivez les mesures qui ont été prises pour assurer la plus large participation possible des communautés, des groupes et, le cas échéant, des individus concernés pendant la préparation du présent rapport pour chaque élément concerné.</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rPr/>
            </w:pPr>
            <w:r>
              <w:rPr>
                <w:lang w:val="fr-FR"/>
              </w:rPr>
              <w:t>Le document relatif à la mise en œuvre des mesures du plan de sauvegarde a été rédigé par les porteurs mêmes du dossier de candidature, les informations ont été recueillies et revues ensuite par le CFPCI et le Ministère de la culture.</w:t>
            </w:r>
          </w:p>
        </w:tc>
      </w:tr>
    </w:tbl>
    <w:p>
      <w:pPr>
        <w:pStyle w:val="Inter1"/>
        <w:spacing w:lineRule="exact" w:line="280" w:before="120" w:after="360"/>
        <w:jc w:val="center"/>
        <w:rPr>
          <w:lang w:val="fr-FR"/>
        </w:rPr>
      </w:pPr>
      <w:r>
        <w:rPr>
          <w:lang w:val="fr-FR"/>
        </w:rPr>
      </w:r>
    </w:p>
    <w:tbl>
      <w:tblPr>
        <w:tblW w:w="9858" w:type="dxa"/>
        <w:jc w:val="start"/>
        <w:tblInd w:w="-164" w:type="dxa"/>
        <w:tblLayout w:type="fixed"/>
        <w:tblCellMar>
          <w:top w:w="0" w:type="dxa"/>
          <w:start w:w="0" w:type="dxa"/>
          <w:bottom w:w="0" w:type="dxa"/>
          <w:end w:w="0" w:type="dxa"/>
        </w:tblCellMar>
      </w:tblPr>
      <w:tblGrid>
        <w:gridCol w:w="780"/>
        <w:gridCol w:w="9078"/>
      </w:tblGrid>
      <w:tr>
        <w:trPr/>
        <w:tc>
          <w:tcPr>
            <w:tcW w:w="780" w:type="dxa"/>
            <w:tcBorders>
              <w:top w:val="single" w:sz="4" w:space="0" w:color="000000"/>
              <w:start w:val="single" w:sz="4" w:space="0" w:color="000000"/>
              <w:bottom w:val="single" w:sz="4" w:space="0" w:color="000000"/>
            </w:tcBorders>
            <w:shd w:fill="CCCCCC" w:val="clear"/>
          </w:tcPr>
          <w:p>
            <w:pPr>
              <w:pStyle w:val="Grille02"/>
              <w:snapToGrid w:val="false"/>
              <w:spacing w:before="120" w:after="120"/>
              <w:jc w:val="end"/>
              <w:rPr/>
            </w:pPr>
            <w:r>
              <w:rPr/>
              <w:t>C.</w:t>
            </w:r>
          </w:p>
        </w:tc>
        <w:tc>
          <w:tcPr>
            <w:tcW w:w="9078" w:type="dxa"/>
            <w:tcBorders>
              <w:top w:val="single" w:sz="4" w:space="0" w:color="000000"/>
              <w:bottom w:val="single" w:sz="4" w:space="0" w:color="000000"/>
              <w:end w:val="single" w:sz="4" w:space="0" w:color="000000"/>
            </w:tcBorders>
            <w:shd w:fill="CCCCCC" w:val="clear"/>
          </w:tcPr>
          <w:p>
            <w:pPr>
              <w:pStyle w:val="Grille01"/>
              <w:snapToGrid w:val="false"/>
              <w:spacing w:before="120" w:after="120"/>
              <w:rPr>
                <w:rFonts w:eastAsia="SimSun;宋体" w:cs="Arial"/>
                <w:bCs/>
                <w:szCs w:val="22"/>
                <w:lang w:val="fr-FR"/>
              </w:rPr>
            </w:pPr>
            <w:r>
              <w:rPr>
                <w:rFonts w:eastAsia="SimSun;宋体" w:cs="Arial"/>
                <w:bCs/>
                <w:szCs w:val="22"/>
                <w:lang w:val="fr-FR"/>
              </w:rPr>
              <w:t>Statut des éléments inscrits sur la Liste représentative</w:t>
            </w:r>
          </w:p>
          <w:p>
            <w:pPr>
              <w:pStyle w:val="Info2"/>
              <w:rPr/>
            </w:pPr>
            <w:r>
              <w:rPr>
                <w:lang w:val="fr-FR"/>
              </w:rPr>
              <w:t xml:space="preserve">Veuillez fournir l’ensemble des informations demandées ci-après pour chacun des éléments du patrimoine culturel immatériel présents sur le territoire de l’État qui ont été inscrits sur la Liste représentative. Pour décrire l’état </w:t>
            </w:r>
            <w:r>
              <w:rPr>
                <w:b/>
                <w:bCs/>
                <w:lang w:val="fr-FR"/>
              </w:rPr>
              <w:t>actuel</w:t>
            </w:r>
            <w:r>
              <w:rPr>
                <w:lang w:val="fr-FR"/>
              </w:rPr>
              <w:t xml:space="preserve"> de l’élément, vous prendrez pour base le dossier de proposition d’inscription et ne rendez compte que des changements pertinents survenus depuis la date de l’inscription sur la Liste ou depuis le dernier rapport établi. Les dossiers de proposition d’inscription et les précédents rapports peuvent être consultés sur le Web (www.unesco.org/culture/ich) ou, sur demande, au Secrétariat.</w:t>
            </w:r>
          </w:p>
          <w:p>
            <w:pPr>
              <w:pStyle w:val="Info2"/>
              <w:keepNext w:val="true"/>
              <w:spacing w:lineRule="exact" w:line="260" w:before="0" w:after="120"/>
              <w:jc w:val="both"/>
              <w:rPr/>
            </w:pPr>
            <w:r>
              <w:rPr>
                <w:lang w:val="fr-FR"/>
              </w:rPr>
              <w:t>L’État partie s’efforce d’assurer la plus large participation possible des communautés, des groupes et, le cas échéant, des individus concernés au cours du processus de préparation de chaque rapport et il lui est demandé au point C.7 ci-après de décrire de quelle manière il y est parvenu.</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8" w:type="dxa"/>
            <w:tcBorders>
              <w:top w:val="single" w:sz="4" w:space="0" w:color="000000"/>
              <w:bottom w:val="single" w:sz="4" w:space="0" w:color="000000"/>
              <w:end w:val="single" w:sz="4" w:space="0" w:color="000000"/>
            </w:tcBorders>
          </w:tcPr>
          <w:p>
            <w:pPr>
              <w:pStyle w:val="Grille02"/>
              <w:snapToGrid w:val="false"/>
              <w:spacing w:before="120" w:after="120"/>
              <w:ind w:start="113" w:end="113"/>
              <w:rPr>
                <w:lang w:val="fr-FR"/>
              </w:rPr>
            </w:pPr>
            <w:r>
              <w:rPr>
                <w:lang w:val="fr-FR"/>
              </w:rPr>
              <w:t xml:space="preserve">Nom de l’élément : </w:t>
            </w:r>
            <w:r>
              <w:rPr>
                <w:b w:val="false"/>
                <w:bCs w:val="false"/>
                <w:lang w:val="fr-FR"/>
              </w:rPr>
              <w:t>La tradition du tracé dans la charpente française</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8" w:type="dxa"/>
            <w:tcBorders>
              <w:top w:val="single" w:sz="4" w:space="0" w:color="000000"/>
              <w:bottom w:val="single" w:sz="4" w:space="0" w:color="000000"/>
              <w:end w:val="single" w:sz="4" w:space="0" w:color="000000"/>
            </w:tcBorders>
          </w:tcPr>
          <w:p>
            <w:pPr>
              <w:pStyle w:val="Grille02"/>
              <w:snapToGrid w:val="false"/>
              <w:spacing w:before="120" w:after="120"/>
              <w:ind w:start="113" w:end="113"/>
              <w:rPr/>
            </w:pPr>
            <w:r>
              <w:rPr/>
              <w:t xml:space="preserve">Inscrit en : </w:t>
            </w:r>
            <w:r>
              <w:rPr>
                <w:b w:val="false"/>
              </w:rPr>
              <w:t>2009</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C.1.</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Fonctions sociales et culturelles</w:t>
            </w:r>
          </w:p>
          <w:p>
            <w:pPr>
              <w:pStyle w:val="Info2"/>
              <w:keepNext w:val="true"/>
              <w:spacing w:lineRule="exact" w:line="260" w:before="0" w:after="120"/>
              <w:jc w:val="both"/>
              <w:rPr/>
            </w:pPr>
            <w:r>
              <w:rPr>
                <w:iCs w:val="false"/>
                <w:lang w:val="fr-FR"/>
              </w:rPr>
              <w:t>Expliquez les fonctions et les significations sociales et culturelles de l’élément aujourd’hui, dans le groupe de population d’où il est originaire et pour ce groupe, les caractéristiques de ses gardiens et de ses praticiens et décrivez, entre autres, toute catégorie de personnes exerçant un rôle ou des responsabilités spécifiques vis-à-vis de l’élément. Il faut mentionner tout changement pertinent susceptible d’avoir des répercussions sur le critère d’inscription R.1 (« </w:t>
            </w:r>
            <w:r>
              <w:rPr>
                <w:lang w:val="fr-FR"/>
              </w:rPr>
              <w:t>L’élément est constitutif du patrimoine culturel immatériel tel que défini à l’article 2 de la Convention »).</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 tracé de charpente, dit Trait de charpente par les praticiens, correspond à la gamme des procédés théoriques et pratiques qui permettent aux charpentiers d'obtenir l'image exacte d'un ouvrage architectural, aussi complexe soit-il, qu'ils ont à réaliser. Le trait par la démarche progressive à laquelle le praticien doit satisfaire pour acquérir la maîtrise constitue une véritable mise à l'épreuve et oblige à une discipline très stricte de rigueur technique et intellectuelle.</w:t>
              <w:br/>
              <w:br/>
              <w:t xml:space="preserve">Le trait de charpente à la française est reconnu internationalement comme pratique d'excellence incontestée. En témoignent dans le monde entier, les éléments d'architecture, principalement du 19e et début 20e siècles, qui furent bâtis avec le concours de charpentiers français. Aujourd'hui encore les charpentiers français trouvent facilement du travail dans les pays étrangers (USA, Scandinavie, Grande-Bretagne), du fait de la réputation de leur technique de tracé. </w:t>
              <w:br/>
              <w:t>Le trait participe culturellement et techniquement du génie constructif de ce pays.</w:t>
              <w:br/>
              <w:t>C'est d'autant plus frappant de constater que par le passé certains charpentiers ont pu pratiquer le trait en étant, à la limite, illettrés. La haute compétence conférée par la maîtrise du trait et le côté initiatique de son apprentissage progressif expliquent que sa valeur symbolique soit étroitement associée au système de valeur et aux rituels des compagnons du Tour de France. On peut toutefois pratiquer l'art du trait chez les compagnons, ou au contraire, sans aucun rapport avec eux, et d'une façon générale, dans les entreprises et dans la pratique quotidienne du travail du bâtiment. Les maîtres de trait sont au minimum, et de façon très informelle, les professionnels qui ont acquis tout niveau supérieur à celui de la personne enseignée. A haut niveau, le trait est enseigné par des compagnons très expérimentés et par des professeurs de l'enseignement professionnel. Le trait est peu connu du grand public, c'est un art hautement exigeant et intime dans son mode d'acquisition et de pratique. La partie la plus spectaculaire se présente sous forme de maquettes en bois à échelle réduite, appelées communément chefs d'oeuvre, lorsqu'il permettent de marquer le passage initiatique dans le compagnonnage, ou simplement travail de progression s'il s'agit de l'un des nombreux exercices de trait.</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C.2.</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Analyse de la viabilité de l’élément et risques auxquels il est actuellement exposé</w:t>
            </w:r>
          </w:p>
          <w:p>
            <w:pPr>
              <w:pStyle w:val="Info2"/>
              <w:keepNext w:val="true"/>
              <w:spacing w:lineRule="exact" w:line="260" w:before="0" w:after="120"/>
              <w:jc w:val="both"/>
              <w:rPr/>
            </w:pPr>
            <w:r>
              <w:rPr>
                <w:bCs/>
                <w:iCs w:val="false"/>
                <w:lang w:val="fr-FR"/>
              </w:rPr>
              <w:t>Décrivez le degré de viabilité actuelle de l’élément, en particulier la fréquence et l’étendue de sa pratique, la force des modes de transmission traditionnels, la composition démographique des praticiens et des publics et sa durabilité. Veuillez aussi identifier et décrire les facteurs qui, le cas échéant, constituent une menace pour la pérennité de la transmission et de la représentation de l’élément et indiquez le degré de gravité et de proximité de tels facteurs.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120"/>
              <w:ind w:start="113" w:end="113"/>
              <w:jc w:val="both"/>
              <w:rPr/>
            </w:pPr>
            <w:r>
              <w:rPr>
                <w:lang w:val="fr-FR"/>
              </w:rPr>
              <w:t>Le trait est un art très vivant en France. Il est toujours pratiqué avec enthousiasme par de très jeunes apprentis  (moins de vingt ans), même issus de milieux sociaux défavorisés. Il se pratique comme une sorte de sport intellectuel et graphique, pouvant même entraîner parfois une forme d'addiction. « Ce n'est pas un trait qui va m'arrêter » dit Rémi Masset, charpentier de 21 ans issu des banlieues. Il s'agit d'un défi permanent que se lance l'apprenti à lui-même. La partie graphique précède toujours la réalisation concrète de l'ouvrage en bois. Il existe des formes spectaculaires de mise en œuvre du trait lors de concours internationaux tels les Olympiades des métiers, dans lesquels la pratique française du métier a été reconnue. De façon plus courante, le trait s'enseigne et est sanctionné grâce aux programmes et aux référentiels de l'éducation nationale. Il s'enseigne  en CAP, en BP charpente, et dans une nouvelle mesure dans le Bac professionnel, donc la la courte durée d'enseignement fait courir un risque à terme sur la viabilité de l'enseignement du trait. La pratique du trait de charpente par conception assistée par ordinateur, l'introduction de machines à commande numériques de type K2 et K3, très coûteuses et réductrices des compétences des ouvriers, font courir à moyenne échéance un risque de disparition de l'élément (risque à 20 ans).</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C.3.</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Contribution aux buts de la Liste</w:t>
            </w:r>
          </w:p>
          <w:p>
            <w:pPr>
              <w:pStyle w:val="Info2"/>
              <w:keepNext w:val="true"/>
              <w:spacing w:lineRule="exact" w:line="260" w:before="0" w:after="120"/>
              <w:jc w:val="both"/>
              <w:rPr/>
            </w:pPr>
            <w:r>
              <w:rPr>
                <w:lang w:val="fr-FR"/>
              </w:rPr>
              <w:t>Expliquez de quelle manière l’inscription de l’élément sur la Liste a contribué à assurer la visibilité du patrimoine culturel matériel et à sensibiliser les populations au niveau local, national et international, à son importance, mais aussi à promouvoir le respect de la diversité culturelle, de la créativité humaine et du respect mutuel auprès de communautés, de groupes et d’individus.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120"/>
              <w:ind w:start="113" w:end="113"/>
              <w:jc w:val="both"/>
              <w:rPr/>
            </w:pPr>
            <w:r>
              <w:rPr>
                <w:lang w:val="fr-FR"/>
              </w:rPr>
              <w:t>L'inscription de l'élément sur la liste représentative a apporté chez l'ensemble des professionnels, y compris en milieu rural, un signe encourageant, unanimement salué. Le grand public n'en a en revanche guère entendu parler, du fait du caractère éminemment technique mais aussi confidentiel (savoir initiatique et symbolique des compagnons). Des écoles professionnelles (Ceref BTP, 27), des musées techniques (Romanèche-Thorins, 71) ont communiqué autour de l'inscription lors de salons professionnels ou en direction de leur public habituel. L'inscription contribue par ailleurs clairement au maintien et au développement de la discipline dans le programmes des l'éducation nationale.</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C.4.</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Efforts pour promouvoir ou renforcer l’élément</w:t>
            </w:r>
          </w:p>
          <w:p>
            <w:pPr>
              <w:pStyle w:val="Info2"/>
              <w:spacing w:before="0" w:after="120"/>
              <w:rPr>
                <w:lang w:val="fr-FR"/>
              </w:rPr>
            </w:pPr>
            <w:r>
              <w:rPr>
                <w:lang w:val="fr-FR"/>
              </w:rPr>
              <w:t>Décrivez les mesures qui ont été prises aux fins de la promotion et du renforcement de l’élément, en donnant le détail de toutes celles qui se sont révélées nécessaires en conséquence de son inscription.</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Une action de valorisation du trait a été mise en œuvre en 2013, pour  le 10e anniversaire de la ratification de la convention du PCI . Différents acteurs pour qui le trait joue un rôle important ont participé à l'organisation des manifestations grand public : Fédération Compagnonnique, Union Compagnonnique, Association ouvrière des compagnons du devoir, enseignement professionnel, musées, etc. Par ailleurs des chantiers internationaux dans le cadre du projet Charpentiers sans frontières promeuvent le trait et sa diffusion auprès des partenaires étrangers (Suède, Norvège, Royaume Uni). Un chantier international s'est tenu au château de Gaillon (Eure) fin mai 2013. Dans cet édifice prestigieux appartenant à l'État français s'est pratiqué un spectaculaire projet de tracé de charpente courbe en trois dimensions, sous la houlette de J.N. Gascher, professeur de trait au lycée professionnel d'Evreux. Sous sa conduite, ses élèves de bac pro constructeurs bois et 30 charpentiers français, européens et américains se sont initiés à ce tracé complexe et sa mise en pratique pour la restauration de la charpente de la Tour de la Sirène. </w:t>
              <w:br/>
              <w:t xml:space="preserve">En 2014, sera réalisé dans le cadre du collectif « charpentiers sans frontières » porté par la DRAC Haute Normandie le tracé et la taille de deux mâts de bateau en bois pour deux « cotres-pilotes » (pilot-cutters) classé monument historique et basés à Le Havre et Southampton.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C.5.</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w:t>
            </w:r>
          </w:p>
          <w:p>
            <w:pPr>
              <w:pStyle w:val="Info2"/>
              <w:keepNext w:val="true"/>
              <w:spacing w:lineRule="exact" w:line="260" w:before="0" w:after="120"/>
              <w:jc w:val="both"/>
              <w:rPr/>
            </w:pPr>
            <w:r>
              <w:rPr>
                <w:rFonts w:eastAsia="SimSun;宋体"/>
                <w:lang w:val="fr-FR"/>
              </w:rPr>
              <w:t>Décrivez la participation des communautés, des groupes et des individus à la sauvegarde de l’élément et indiquez s’ils ont la volonté de continuer à le sauvegarder.</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La communauté des professionnels, surprise de l'intérêt porté par l'UNESCO et les pouvoirs publics à l'élément, se déclarent d'autant plus motivés pour contribuer à participer à une diffusion active de l'élément. Les manifestations s'organisent selon le principe du bouche à oreille. Il n'existe pas de comité formalisé autour de la valorisation de l'élément. Le trait se pratique et se transmet comme la prose de M. Jourdain, très spontanément, et sans la nécessité d'un cadre institutionnalisé.</w:t>
              <w:br/>
              <w:t xml:space="preserve">Signalons, la constitution d'un groupe de travail au sein de la corporation des Compagnons charpentiers du Devoir (AOCDTF) sur différents axes de travail à développer dans l'avenir du métier. L'axe « mémoires » porté par Stéphane Goubet compte privilégier dans le rapport au métier la transmission du Trait de charpente. </w:t>
              <w:br/>
              <w:t>Les trois sociétés de compagnonnage ont déclaré solidairement adhérer (au titre de leur corporation des charpentiers) à l'association des éléments inscrits au PCI en soutenant l'adhésion de François Calame, en tant que porte-parole de la promotion du trait de charpente.</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C.6.</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Contexte institutionnel</w:t>
            </w:r>
          </w:p>
          <w:p>
            <w:pPr>
              <w:pStyle w:val="Info2"/>
              <w:rPr>
                <w:lang w:val="fr-FR"/>
              </w:rPr>
            </w:pPr>
            <w:r>
              <w:rPr>
                <w:lang w:val="fr-FR"/>
              </w:rPr>
              <w:t>Informations concernant le contexte institutionnel de l’élément inscrit sur la Liste représentative, y compris :</w:t>
            </w:r>
          </w:p>
          <w:p>
            <w:pPr>
              <w:pStyle w:val="num02tab"/>
              <w:numPr>
                <w:ilvl w:val="0"/>
                <w:numId w:val="12"/>
              </w:numPr>
              <w:suppressAutoHyphens w:val="true"/>
              <w:ind w:hanging="360" w:start="377" w:end="113"/>
              <w:rPr>
                <w:lang w:val="fr-FR"/>
              </w:rPr>
            </w:pPr>
            <w:r>
              <w:rPr>
                <w:lang w:val="fr-FR"/>
              </w:rPr>
              <w:t>le ou les organisme(s) compétent(s) impliqué(s) dans sa gestion et/ou sa sauvegarde ;</w:t>
            </w:r>
          </w:p>
          <w:p>
            <w:pPr>
              <w:pStyle w:val="num02tab"/>
              <w:numPr>
                <w:ilvl w:val="0"/>
                <w:numId w:val="12"/>
              </w:numPr>
              <w:suppressAutoHyphens w:val="true"/>
              <w:spacing w:before="0" w:after="120"/>
              <w:ind w:hanging="360" w:start="377" w:end="113"/>
              <w:rPr>
                <w:lang w:val="fr-FR"/>
              </w:rPr>
            </w:pPr>
            <w:r>
              <w:rPr>
                <w:lang w:val="fr-FR"/>
              </w:rPr>
              <w:t>la ou les organisation(s) de la communauté ou du groupe concernée(s) par l’élément et sa sauvegarde.</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 trait et sa reconnaissance sont pris en compte par l'éducation nationale, par le biais des référentiels de formation (assez peu détaillés) révisés régulièrement par le comité de formation technique, à la direction des programmes (constitué de chefs d'entreprise, de professeurs et d'inspecteurs de l'éducation nationale). Au sein des sociétés compagnonniques, la corporation des charpentiers est souveraine pour définir les programmes de pratiques et d'enseignements du trait, et la nature des travaux d'adoption et de réception des itinérants. Mentionnons les comité du concours du Meilleur Ouvrier de France et Meilleur Apprenti de France, ainsi que celui des Olympiades des Métiers. Signalons enfin qu'au ministère de la culture et de la communication, une publication électronique « Charpentiers d'Europe et d'ailleurs » présente différents éléments sur le trait et sa pratique.</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C.7.</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 à l’établissement du présent rapport</w:t>
            </w:r>
          </w:p>
          <w:p>
            <w:pPr>
              <w:pStyle w:val="Info2"/>
              <w:keepNext w:val="true"/>
              <w:spacing w:lineRule="exact" w:line="260" w:before="0" w:after="120"/>
              <w:jc w:val="both"/>
              <w:rPr/>
            </w:pPr>
            <w:r>
              <w:rPr>
                <w:lang w:val="fr-FR"/>
              </w:rPr>
              <w:t>Décrivez les mesures qui ont été prises pour assurer la plus large participation possible des communautés, des groupes et, le cas échéant, des individus concernés pendant la préparation du présent rapport pour chaque élément concerné.</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 document relatif à la mise en œuvre des mesures du plan de sauvegarde a été rédigé par les porteurs mêmes du dossier de candidature, les informations ont été recueillies et revues ensuite par le CFPCI et le Ministère de la culture.</w:t>
            </w:r>
          </w:p>
        </w:tc>
      </w:tr>
      <w:tr>
        <w:trPr/>
        <w:tc>
          <w:tcPr>
            <w:tcW w:w="780" w:type="dxa"/>
            <w:tcBorders>
              <w:top w:val="single" w:sz="4" w:space="0" w:color="000000"/>
              <w:start w:val="single" w:sz="4" w:space="0" w:color="000000"/>
              <w:bottom w:val="single" w:sz="4" w:space="0" w:color="000000"/>
            </w:tcBorders>
            <w:shd w:fill="CCCCCC" w:val="clear"/>
          </w:tcPr>
          <w:p>
            <w:pPr>
              <w:pStyle w:val="Grille02"/>
              <w:snapToGrid w:val="false"/>
              <w:spacing w:before="120" w:after="120"/>
              <w:jc w:val="end"/>
              <w:rPr/>
            </w:pPr>
            <w:r>
              <w:rPr/>
              <w:t>C.</w:t>
            </w:r>
          </w:p>
        </w:tc>
        <w:tc>
          <w:tcPr>
            <w:tcW w:w="9078" w:type="dxa"/>
            <w:tcBorders>
              <w:top w:val="single" w:sz="4" w:space="0" w:color="000000"/>
              <w:bottom w:val="single" w:sz="4" w:space="0" w:color="000000"/>
              <w:end w:val="single" w:sz="4" w:space="0" w:color="000000"/>
            </w:tcBorders>
            <w:shd w:fill="CCCCCC" w:val="clear"/>
          </w:tcPr>
          <w:p>
            <w:pPr>
              <w:pStyle w:val="Grille01"/>
              <w:snapToGrid w:val="false"/>
              <w:spacing w:before="120" w:after="120"/>
              <w:rPr>
                <w:rFonts w:eastAsia="SimSun;宋体" w:cs="Arial"/>
                <w:bCs/>
                <w:szCs w:val="22"/>
                <w:lang w:val="fr-FR"/>
              </w:rPr>
            </w:pPr>
            <w:r>
              <w:rPr>
                <w:rFonts w:eastAsia="SimSun;宋体" w:cs="Arial"/>
                <w:bCs/>
                <w:szCs w:val="22"/>
                <w:lang w:val="fr-FR"/>
              </w:rPr>
              <w:t>Statut des éléments inscrits sur la Liste représentative</w:t>
            </w:r>
          </w:p>
          <w:p>
            <w:pPr>
              <w:pStyle w:val="Info2"/>
              <w:rPr/>
            </w:pPr>
            <w:r>
              <w:rPr>
                <w:lang w:val="fr-FR"/>
              </w:rPr>
              <w:t xml:space="preserve">Veuillez fournir l’ensemble des informations demandées ci-après pour chacun des éléments du patrimoine culturel immatériel présents sur le territoire de l’État qui ont été inscrits sur la Liste représentative. Pour décrire l’état </w:t>
            </w:r>
            <w:r>
              <w:rPr>
                <w:b/>
                <w:bCs/>
                <w:lang w:val="fr-FR"/>
              </w:rPr>
              <w:t>actuel</w:t>
            </w:r>
            <w:r>
              <w:rPr>
                <w:lang w:val="fr-FR"/>
              </w:rPr>
              <w:t xml:space="preserve"> de l’élément, vous prendrez pour base le dossier de proposition d’inscription et ne rendez compte que des changements pertinents survenus depuis la date de l’inscription sur la Liste ou depuis le dernier rapport établi. Les dossiers de proposition d’inscription et les précédents rapports peuvent être consultés sur le Web (www.unesco.org/culture/ich) ou, sur demande, au Secrétariat.</w:t>
            </w:r>
          </w:p>
          <w:p>
            <w:pPr>
              <w:pStyle w:val="Info2"/>
              <w:keepNext w:val="true"/>
              <w:spacing w:lineRule="exact" w:line="260" w:before="0" w:after="120"/>
              <w:jc w:val="both"/>
              <w:rPr/>
            </w:pPr>
            <w:r>
              <w:rPr>
                <w:lang w:val="fr-FR"/>
              </w:rPr>
              <w:t>L’État partie s’efforce d’assurer la plus large participation possible des communautés, des groupes et, le cas échéant, des individus concernés au cours du processus de préparation de chaque rapport et il lui est demandé au point C.7 ci-après de décrire de quelle manière il y est parvenu.</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8" w:type="dxa"/>
            <w:tcBorders>
              <w:top w:val="single" w:sz="4" w:space="0" w:color="000000"/>
              <w:bottom w:val="single" w:sz="4" w:space="0" w:color="000000"/>
              <w:end w:val="single" w:sz="4" w:space="0" w:color="000000"/>
            </w:tcBorders>
          </w:tcPr>
          <w:p>
            <w:pPr>
              <w:pStyle w:val="Grille02"/>
              <w:snapToGrid w:val="false"/>
              <w:spacing w:before="120" w:after="120"/>
              <w:ind w:start="113" w:end="113"/>
              <w:rPr>
                <w:lang w:val="fr-FR"/>
              </w:rPr>
            </w:pPr>
            <w:r>
              <w:rPr>
                <w:lang w:val="fr-FR"/>
              </w:rPr>
              <w:t xml:space="preserve">Nom de l’élément : </w:t>
            </w:r>
            <w:r>
              <w:rPr>
                <w:b w:val="false"/>
                <w:bCs w:val="false"/>
                <w:lang w:val="fr-FR"/>
              </w:rPr>
              <w:t>Le Maloya</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8" w:type="dxa"/>
            <w:tcBorders>
              <w:top w:val="single" w:sz="4" w:space="0" w:color="000000"/>
              <w:bottom w:val="single" w:sz="4" w:space="0" w:color="000000"/>
              <w:end w:val="single" w:sz="4" w:space="0" w:color="000000"/>
            </w:tcBorders>
          </w:tcPr>
          <w:p>
            <w:pPr>
              <w:pStyle w:val="Grille02"/>
              <w:snapToGrid w:val="false"/>
              <w:spacing w:before="120" w:after="120"/>
              <w:ind w:start="113" w:end="113"/>
              <w:rPr/>
            </w:pPr>
            <w:r>
              <w:rPr/>
              <w:t xml:space="preserve">Inscrit en : </w:t>
            </w:r>
            <w:r>
              <w:rPr>
                <w:b w:val="false"/>
              </w:rPr>
              <w:t>2009</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C.1.</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Fonctions sociales et culturelles</w:t>
            </w:r>
          </w:p>
          <w:p>
            <w:pPr>
              <w:pStyle w:val="Info2"/>
              <w:keepNext w:val="true"/>
              <w:spacing w:lineRule="exact" w:line="260" w:before="0" w:after="120"/>
              <w:jc w:val="both"/>
              <w:rPr/>
            </w:pPr>
            <w:r>
              <w:rPr>
                <w:iCs w:val="false"/>
                <w:lang w:val="fr-FR"/>
              </w:rPr>
              <w:t>Expliquez les fonctions et les significations sociales et culturelles de l’élément aujourd’hui, dans le groupe de population d’où il est originaire et pour ce groupe, les caractéristiques de ses gardiens et de ses praticiens et décrivez, entre autres, toute catégorie de personnes exerçant un rôle ou des responsabilités spécifiques vis-à-vis de l’élément. Il faut mentionner tout changement pertinent susceptible d’avoir des répercussions sur le critère d’inscription R.1 (« </w:t>
            </w:r>
            <w:r>
              <w:rPr>
                <w:lang w:val="fr-FR"/>
              </w:rPr>
              <w:t>L’élément est constitutif du patrimoine culturel immatériel tel que défini à l’article 2 de la Convention »).</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Le maloya désigne à la fois un chant, une musique et une danse, propre à l’île de La Réunion, qui est d’origine est-africaine et malgache. C’est une musique de percussion apportée par les esclaves puis les engagés africains, malgaches et indiens. Elle est décrite et représentée dans les récits des voyageurs ou les lithographies du 18è et 19è siècles sous le terme « tchéga ». </w:t>
              <w:br/>
              <w:br/>
              <w:t>Le maloya est un exemple des processus de créolisation culturelle qui se sont opérés dans l’espace des plantations sucrières. Il est issu de la fusion des cultures de l’Est Africain (Mozambique, Tanzanie, Zanzibar, Iles des Comores…) de Madagascar (essentiellement les ethnies côtières), du Tamil Nadu Indien et de la musique française (valse, chansonnette, contre-danse…).</w:t>
              <w:br/>
              <w:br/>
              <w:t>Cette créolisation, ce mélange des cultures, donnera un style musical créole qui a pour toile de fond la vie dans les arrières-cours des grands domaines sucriers et les bidonvilles de l’île.</w:t>
              <w:br/>
              <w:br/>
              <w:t>Le Maloya est associé à différents moments de la vie créole, moment de fêtes familiales, de deuil, culte des ancêtres, réunions politiques… À chacun de ces moments correspond une façon de jouer le maloya, de le chanter en créole ou en dialectes afro-malgache et de le danser.</w:t>
              <w:br/>
              <w:br/>
              <w:t>Selon l’historien Prosper Eve, « Le maloya est l'expression profane d'un rite sacré et confidentiel : le culte des ancêtres ou kabaré que les esclaves ont reconstruit presque en secret. Pour ces hommes, déracinés, désocialisés, ce rite leur a permis de garder un lien avec la terre perdue en restant en communion avec l'esprit de leurs ancêtres ». Ainsi dissimulé de la sphère publique, le souvenir de l’origine culturelle s’est transmis grâce au culte des ancêtres jusqu’à nos jours.</w:t>
              <w:br/>
              <w:br/>
              <w:t>Les rapports entre le maloya et l’institution de l’esclavage et son abolition qui a lieu en 1848 sont inconnus. Aucune source documentaire n’en fait allusion. Les archives privées et surtout les archives publiques sont très parcimonieuses en documents relatifs à la question de l’esclavage. On a ainsi l’impression que l’administration de l’époque et la population dominante ont fait l’impasse sur l’existence des esclaves qui représentaient entre 80 % et 60 % de la population totale de l’île aux 18e et au 19e siècle. S’il n’y avait pas les recensements d’esclaves, on pourrait même se poser la question de savoir si l’esclavage a existé à La Réunion. On se trouve ainsi devant un vide historique : « une histoire du silence » disait Hubert GERBEAU qui fut l’un des premiers universitaires à mettre en exergue ce paradoxe de l’histoire réunionnaise.</w:t>
              <w:br/>
              <w:br/>
              <w:t>À ce titre, il est intéressant de remarquer que les premières iconographies concernant le maloya apparaissent après 1848, date de l’abolition de l’esclavage. Les nouveaux citoyens affranchis y sont souvent représentés dans des postures caricaturales où les corps apparaissent outrageusement déhanchés et les visages grimaçants déformés peut-être par l’effet de la transe. Le terme « maloya » ne figure pas dans le titre de ces dessins et lithographies du 19e siècle. Les auteurs mentionnent les titres suivants : « Danse des Noirs sur la place du gouvernement le 20 décembre 1848 » ; « Danse des Noirs, le Séga au bord de la mer » ; « le Shéga, danse des Noirs le dimanche au bord de la mer à Saint-Denis » ; « Danse des cafres » ; « Un joueur de Bobre » ; « Danse des Noirs au son dû Bobre » ; «  Danse des Noirs, au son du Bobre, du cavir et des cascavelles ». Les participants à ces danses des Noirs y sont souvent représentés de dos et dans la pénombre à une bonne distance du dessinateur, comme si ce dernier ne pouvait pas croquer de près cette foule ou ces groupes de Noirs sans risque. Après 1848, certain rapports de police font état de confiscation d’instruments de musique (tambours essentiellement) « pour mettre fin au tapage des Noirs » et de mise à la geôle d’individus ivre ayant consommé de l’arack (alcool de canne à sucre).</w:t>
              <w:br/>
              <w:br/>
              <w:t xml:space="preserve">Par ailleurs, la musique des Noirs de la colonie est attestée depuis le début du peuplement de l’île au 17ème siècle à travers des récits de voyageurs ou dans les livres de bord de capitaines de bateaux qui font escale dans l’île. </w:t>
              <w:br/>
              <w:br/>
              <w:t xml:space="preserve">Jean-Baptiste Renoyable de Lescouble, un colon installé dans le quartier de Sainte-Suzanne situé dans l’est de l’île, mentionne dans son journal de 1832 l’existence de « couplets maloya ». </w:t>
              <w:br/>
              <w:br/>
              <w:t>Le mot « maloya » est cité en public pour la première fois vers 1930 dans la pièce de théâtre « Zistoires la caze » du folkloriste réunionnais Georges Fourcade. Il y décrit l’utilisation du kayamb (un hochet en forme de radeau), du bobre (un arc musical) et du timba (xylophone) pour l’exécution d’un chant maloya, héritage des ancêtres mozambicains.</w:t>
              <w:br/>
              <w:br/>
              <w:t>Sous leurs formes diverse et variées, les musiques noires traverseront le temps, se mélangeront, se compléteront pour se créoliser et former le socle du maloya contemporain.</w:t>
              <w:br/>
              <w:br/>
              <w:t xml:space="preserve">À la fois une musique profane et sacrée, le maloya est une musique monodique qui se développe généralement dans le mode mineur. La mélodie possède un mouvement conjoint. Les deux pôles qui se dégagent du chant sont les degrés toniques et dominants de l’échelle musicale utilisée. Dans sa forme traditionnelle (maloya kabaré), le chant du maloya est exécuté en alternance entre soliste et chœur. Il est accompagné par un ensemble de tambours (rouler), d’idiophones (piker, sati) et de hochets plats en forme de radeau (kayamb). </w:t>
              <w:br/>
              <w:br/>
              <w:t>À ces instruments, peuvent s’ajouter, selon les formes et les contextes d’exécution, un arc musical (bob), d’autres percussions d’introduction récente comme les djembés d’Afrique de l’Ouest accompagnées du balafon et du kamélé n’goni ou les congas d’Amérique latine et, dans le cas du maloya électrique, des instruments modernes (guitares, synthés, basse, batterie, etc.). Les textes du maloya sont le plus souvent composés en créole, bien que l’on utilise parfois une forme de malgache créolisé.</w:t>
              <w:br/>
              <w:br/>
              <w:t>Musique marginalisée pendant la période esclavagiste et coloniale, dénigrée au début de la départementalisation, le maloya est décrit dans la littérature au fil des époques comme une musique primitive et tapageuse aux postures lascives pour adeptes de sorcellerie, de débauchés et ivrognes en tout genres.</w:t>
              <w:br/>
              <w:br/>
              <w:t>En 1946, La Réunion vit un tournant de son histoire en devenant un Département d’Outre-Mer. Au fil des ans, cette départementalisation est cependant perçue comme un retour à l’esclavage par le Parti Communiste Réunionnais (PCR) qui prône l’autonomie plutôt qu’une assimilation à « l’État français néo-colonial  et son rouleau compresseur occidental ».</w:t>
              <w:br/>
              <w:br/>
              <w:t>Lors des meetings ou fêtes organisées par le PCR, se produisent dans l’espace public les premiers maloyers comme Firmin Viry. L’évocation publique de l’esclavage est inédite dans une société qui reste à l’époque dans une posture de quasi-négation de l’histoire servile de l’île. Très souvent, ces meetings sont prétextes à des altercations musclées, aux amendes voire à l’emprisonnement, comme ce fut le cas pour Firmin Viry en 1963. Télévision et radio d’État censurent toute diffusion du maloya jusqu’en 1981, date à laquelle apparaissent les radios privées et indépendantes qui permettront l’essor du maloya.</w:t>
              <w:br/>
              <w:br/>
              <w:t>Le maloya contemporain est à la croisée des chemins : à cheval entre une tradition en perpétuel changement (voire reconstituée) et une recherche d’ouverture sur le monde. Les musiciens actuels se basent sur l’héritage des Maîtres du Maloya pour explorer de nouvelles voies et « faire vivre cette pratique artistique et culturelle avec son temps » sans pour autant se couper des sources originelles du maloya.</w:t>
              <w:br/>
              <w:br/>
              <w:t>Appelées maloya, kabaré, séga-maloya ou encore séga kaf à La Réunion, des musiques cousines existent dans tout le bassin sud-ouest de l’océan Indien. Cependant, la corrélation entre musique profane et musique sacrée semble être davantage marquée à La Réunion alors que ce trait culturel semble avoir disparu dans les autres îles.</w:t>
              <w:br/>
              <w:br/>
              <w:t xml:space="preserve">La Réunion a connu plusieurs vagues de peuplement en provenance de l’Afrique de l’est pendant la période de l’esclavage et de la traite négrière jusqu’en 1848, puis celle de l’engagisme qui a pris fin en 1936 avec l’arrivée des derniers travailleurs Rodriguais. Les hommes et les femmes qui débarquent à La Réunion sont essentiellement des Mozambicains (« Makwa », « Yambane », «  Makondé », « Kelimane », « Yao »…) mais aussi des « Zambèz », « Zanzibar », « Somalien », « Bibi »… </w:t>
              <w:br/>
              <w:br/>
              <w:t>Peu de traces matérielles et immatérielles provenant des ancêtres africains ont été conservées. Les servis (cérémonies post mortuaires) comme le servis kaf, makwalé ou misoul ; le kayamb, hochet musical dont la provenance de Tanzanie est attestée, font partie de l’héritage africain du Maloya. D’après les gramoun (anciens), il a existé un petit tambour appelé tambour makwa qui autrefois jouait un rythme différent de celui du roulèr (gros tambour de basse). Quelques bribes de chansons évoquent la terre africaine et seul le rythme binaire, que les maloyers qualifient de makwalé, qui s’apparente au rythme de la parade d’approche des anciens moringueurs, demeure présent.</w:t>
              <w:br/>
              <w:br/>
              <w:t>À La Réunion, la très grande majorité des pratiquants du culte des ancêtres se revendique d'ascendance malgache. Madagascar a payé le plus lourd tribut à l'esclavage à La Réunion avec plusieurs dizaines de milliers d'esclaves introduits durant la période et plus tard de nombreux engagés et immigrants volontaires. Le vocable malgache maloy'aho que l'on peut traduire par « dire ce que l'on a sur le cœur » serait une des pistes plausibles concernant l'origine du mot maloya.</w:t>
              <w:br/>
              <w:br/>
              <w:t>L'apport indien fut d'une grande importance pour la survivance du maloya. Au lendemain de l'abolition de l'esclavage, plus de 130 000 engagés indiens, venant de différentes régions d'Inde comme le Tamil Nadu, le Golfe du Bengale, la côte de Malabar ou encore la côte du Coromandel, passeront par les camps d'ouvriers agricoles des grandes propriétés sucrières de l'île.</w:t>
              <w:br/>
              <w:br/>
              <w:t>Fortement métissés dès la première génération avec les Noirs et les petits Blancs, ils ont le droit d'exercer leurs cultes ancestraux et ont attiré dans leur sphère spirituelle de nombreuses personnes ayant perdu le fil de leurs lignées africaine, malgache ou européenne.</w:t>
              <w:br/>
              <w:br/>
              <w:t>La manière de chanter en créole le maloya kabaré et la déclamation du pléré (pleuré) est très indien. D'ailleurs, le mot maloya pourrait également être une déformation de «malayalam» ou «malaya», qui désigne une langue du sous-continent indien.</w:t>
              <w:br/>
              <w:br/>
              <w:t>Alors qu'autrefois dans la plupart des familles les tambours des uns et des autres ne se mélangeaient pas malgré le métissage des individus, aujourd'hui ils se croisent  sur scène dans le maloya scénique et profane.</w:t>
              <w:br/>
              <w:br/>
              <w:t>Le culte hindou d’obédience tamoule pratiqué à la Réunion a beaucoup contribué à la survivance des cultes africains et malgaches, notamment dans la manière d'exécuter et de mettre en œuvre les rituels.</w:t>
              <w:br/>
              <w:br/>
              <w:t xml:space="preserve">Avec les colons français sont arrivées les danses, chansons de marins, chansons à boire, chansons de cabaret, romances du 18è  et du 19è  siècle. C'est probablement au détour des varangues des maisons des Gros Blancs que ces airs sont entendus par les esclaves qui les ont reproduits soit pour s’en moquer, soit parce qu'ils jugeaient ces airs assez bien pour les imbriquer dans leurs propres compositions. C'est dans le Sud de l'île de La Réunion (Saint-Pierre et Saint-Louis) que les textes chantés du maloya « traditionnel » empruntent le plus aux romances françaises du 18è et du 19è siècle. </w:t>
              <w:br/>
              <w:t xml:space="preserve">  </w:t>
              <w:br/>
              <w:t>A l’origine, le maloya est pratiqué dans un cadre rituel, appelé servis malgas, servis kabaré ou servis zansèt. Il s’agit de cérémonies où des animaux sont sacrifiés et donnés en offrande aux ancêtres malgaches ou africains que l’on honore. Les chants servent à initier la communication avec les ancêtres et à entretenir la transe de possession de certains participants. Le but du maloya, joué une nuit entière, est de faire danser les Ancêtres par le corps d’initiés alors possédés. Comme l’explique Gramoun Bébé dans l’interview qui clôt le premier disque consacré au maloya rituel, les esprits ont le pouvoir d’accorder ou non, la « grâce » à leurs descendants et « d’éclairer leur chemin ». Afin de les contenter il faut leur offrir de la nourriture mais aussi chanter avec le fond du cœur. C’est le fonnker ou le pléré (pleurer) à la tonalité mineure qu’une informatrice expliquait ainsi : « leur âme est loin. Ils viennent seulement si tu chantes le bon chant, celui qui fait mal. Si tu chantes un fonnker là où ça fait mal, il entend que tu l’appelles avec le cœur (…). Si tu pleures, alors il arrive pour faire du bien. (Gramoun Bébé, le Maloya Kabaré, 2005, CD, PRMA / Takamba, 0409).</w:t>
              <w:br/>
              <w:br/>
              <w:t>Le servis zansèt permet aux membres d’une famille de témoigner reconnaissance et gratitude envers leurs Ancêtres pour les vœux réalisés au cours de l’année écoulée, et de recevoir leur protection et bénédiction pour l’année à venir. D’après Yu-Sion LIVE, sociologue réunionnais, le servis « est lui-même, une synthèse des pratiques héritées non seulement de Madagascar ou de l’Afrique, mais aussi emprunté aux rites hindous, chrétiens, arabes ou autres. Le culte réunionnais est pratiqué par les Cafres issus de plusieurs catégorie sociales, allant des couches défavorisées jusqu’aux classes moyennes. Néanmoins, il demeure, pour l’essentiel, une pratique des milieux populaires cafres qui s’identifient comme les descendants d’Africains, de Malgaches, de Tamouls ou de Comoriens. »</w:t>
              <w:br/>
              <w:br/>
              <w:t xml:space="preserve">Historiquement pratiqués dans le cercle familial et de voisinage, certains servis deviennent de plus en plus publics ou semi-publics. Chaque famille, traditionnellement attachée à un quartier, a pu créer une forme rituelle qui lui est partiellement propre, avant de la transmettre aux jeunes générations, accompagnée de ses chants et mélodies mais aussi de contes et de devinettes. </w:t>
              <w:br/>
              <w:br/>
              <w:t>Dans sa dimension sacrée, le maloya lié aux différents cultes aux ancêtres se pratique, bien entendu, dans des conditions spécifiques de préparation et de performance, et sa transmission se fait selon des règles particulières. Ce ne sont d'ailleurs pas les mêmes chants qui sont énoncés selon que l'on est dans l'espace sacré ou dans l'espace profane. Cependant, on observe que la frontière entre pratiques sacrées et profanes peut devenir floue et que les mêmes maloyers pratiquent le maloya dans les deux sphères.</w:t>
              <w:br/>
              <w:br/>
              <w:t xml:space="preserve">Le charismatique leader de Lindigo, Olivier Araste, un officiant réputé au sein des servis malgas, la troupe Groove Lélé ou l’approche mystique du maloya de Christine Salem et de Salem Tradisyon, poussent les artistes et parfois le public aux frontières de la transe. La distinction entre les dimensions sacrées et profanes du maloya devient alors poreuse. </w:t>
              <w:br/>
              <w:br/>
              <w:t>Cette porosité qui brouille la frontière du sacré au profit du monde profane peut laisser croire que le maloya rituel est connu et reconnu par l’ensemble des réunionnais, au même titre que le sont les autres pratiques religieuses qui s’inscrivent dans l’espace public et se donnent à voire aux yeux de tous. Or, il n’en est rien. Considéré par le sens commun comme une croyance d’un monde révolu - en raison des sacrifices d’animaux, des transes, des possessions, de l’usage du sang sacrificiel, des libations... - les servis surprennent, étonnent, fascinent et dérangent parfois, car souvent associés à de la sorcellerie ou de l’exorcisme. Pourtant, les transes de possession sont des moyens privilégiés pour entrer en contact avec les forces invisibles (Y.S. LIVE).</w:t>
              <w:br/>
              <w:br/>
              <w:t>Cependant, grâce aux associations Miaro et Zangoun, les cultes aux ancêtres (servis kabaré, servis makwalé, servis Kaf, servis zansèt…) dans lesquels le maloya joue un rôle important font aujourd’hui l'objet d'un travail de connaissance, d'analyse et de valorisation afin d’être de plus en plus visibles et médiatisés de façon positive.</w:t>
              <w:br/>
              <w:br/>
              <w:t>La Réunion a été, dès l’origine de son peuplement, une terre de métissage, un lieu de rencontre de différentes civilisations. En un peu plus de trois siècles d’histoire, les divers apports ont fait de l’île un carrefour des croyances entre les mondes africain, arabe, asiatique et occidental. De ce fait, le culte aux ancêtres pratiqué à La Réunion émane d’une synthèse d’éléments hétérogènes qui sont aujourd’hui sans cesse ré-</w:t>
              <w:br/>
              <w:t>interprétés, ré-inventés, reconstruits. Des variantes ou des disparités peuvent être observées d’une cérémonie à l’autre, d’une famille à l’autre. Cette labilité dans la pratique spirituelle confère au maloya rituel un caractère changeant, propre aux transes de possession de par le monde. Ce devenir multiple permanent d’une spiritualité, nourrie d’éléments d’altérité, est fondamental pour la construction de l’identité réunionnaise.</w:t>
              <w:br/>
              <w:br/>
              <w:t>Il existe deux aires culturelles dominantes dans le maloya rituel réunionnais : l’une couvre la région Nord-Est (côte au vent) l’autre la région Sud-Ouest (côte sous le vent).</w:t>
              <w:br/>
              <w:br/>
              <w:t>Dans la région Nord-Est, on pratique un maloya très empreint de spiritualité, lié au culte des ancêtres africains et malgaches. Dans cette partie de l’île, le maloya, qu'il soit ternaire ou binaire, est dominé par des chants en langues africaines et malgaches. On parle alors de servis malgas. Les rituels animistes sont importants dans cette région de l’île où les thèmes chantés sont essentiellement des chants d'invocation des esprits.</w:t>
              <w:br/>
              <w:br/>
              <w:t>Les maîtres reconnus du maloya dans l'Est sont Lo Rwa Kaf, Etienne Bob, Granmoun Lélé et la famille Ramouche. Le maloya chanté en créole est plus «piké» que dans le Sud. Les textes chantés en mode respontial dominent et caractérisent le maloya solèy lévan.</w:t>
              <w:br/>
              <w:br/>
              <w:t>Dans la région Sud-Ouest, les praticiens du maloya, bien que pratiquant le culte des ancêtres comme leurs homologues de l'Est, s'expriment essentiellement en créole. On parle alors de servis kabaré.</w:t>
              <w:br/>
              <w:br/>
              <w:t>Dans le Sud-Ouest de l'île, berceau de la contestation sociale et culturelle dans les années 1970, beaucoup de chants parlent du quotidien des travailleurs et de la lutte  pour avoir de meilleures conditions de vie.</w:t>
              <w:br/>
              <w:br/>
              <w:t>C'est dans la région de Saint-Louis et de Saint-Pierre que sont nés et ont vécu les grands maîtres du maloya connus de tous : Batis Kabaré, Gramoun Baba, Gramoun Bébé Manent, Gramoun Sello, Henri Lagarrigue, Firmin Viry, Simon «Dada» Lagarrigue...</w:t>
              <w:br/>
              <w:br/>
              <w:t>Le maloya sudiste est plein de paroles à double sens, de foutan (provocation) qui peuvent laisser l'auditeur perplexe s'il ne maîtrise pas les codes du maloya kabaré. Le maloya solèy kousan est essentiellement ternaire, il est traditionnellement précédé de la complainte qu'on appelle pléré (souvent qualifié de blues par les observateurs) ou d'une romance kabaré ou très rarement de quelques mots en langues africaines et malgaches.</w:t>
              <w:br/>
              <w:br/>
              <w:t>Bien que différents dans leur façon de pratiquer le culte des ancêtres, il existe des similitudes entre les différents servis : Dans l’est, on parle de Vélas (qui désigne les présentations en malgache) pour désigner les offrandes faites aux ancêtres, alors que dans le sud, on parle de Sin Bé ou de Tyinm Bé. Certains praticiens utilisent le terme padèl qui est d’origine tamoule.</w:t>
              <w:br/>
              <w:br/>
              <w:t>Certains vieux chanteurs de maloya Kabaré du sud connaissent le terme Vélas pour parler de servis malgas. On dit alors :</w:t>
              <w:br/>
              <w:br/>
              <w:t>« Vélas la, po kisa sa, sa ? (ces offrandes là sont pour qui ?)</w:t>
              <w:br/>
              <w:t>- Wo maligasé ! » (elles sont pour les ancêtres malgaches !)</w:t>
              <w:br/>
              <w:br/>
              <w:t>Pour les vieux pratiquants de l’est, Vélas est synonyme de servis malgas alors que dans le sud le terme Sin Bé ou Tyinm Bé est utilisé pour désigner un servis kaf ou malgas.</w:t>
              <w:br/>
              <w:br/>
              <w:t>L’encensoir est utilisé par l’ensemble des praticiens des servis. Dans l’est, on l’appelle tourkal (terme tamoul) alors que dans le sud de l’île on le désigne par le terme créole plato d’fé (plateau de feu) ou vane doné.</w:t>
              <w:br/>
              <w:br/>
              <w:t xml:space="preserve">Jusque dans les années 1960, le maloya fut aussi pratiqué dans le cadre de soirées festives (bals maloya) où l’on dansait et où l’on improvisait des chants de critique et de commentaire social. Le maloya était alors un élément de régulation sociale au sein des communautés de travailleurs des plantations sucrières. </w:t>
              <w:br/>
              <w:br/>
              <w:t xml:space="preserve">Depuis les années 1970 et 1980, le maloya est devenu un vecteur important de revendication politique, culturelle et de construction identitaire. Dans sa forme néo-traditionnelle ou à travers des adaptations plus modernes (fusion avec le reggae, le jazz, le rock, la musique folk, le rap…), il fait l’objet de nombreuses productions discographiques. </w:t>
              <w:br/>
              <w:br/>
              <w:t xml:space="preserve">Il est aujourd’hui le symbole même de l’identité culturelle réunionnaise, et ce de manière intergénérationnelle. Aucune manifestation festive ou culturelle de quartier, de village ou à un niveau plus large ne se déroule sans une présence du maloya. </w:t>
              <w:br/>
              <w:br/>
              <w:t>Le point d’orgue de la visibilité du maloya se situe, dans toute l’île et dans la diaspora, lors des manifestations du 20 décembre, date anniversaire de l’abolition de l’esclavage à La Réunion. Durant toute la nuit, les troupes se succèdent, soit sur les podiums dressés par les collectivités publiques, soit dans les kabar organisés de manière plus ou moins improvisée dans les cours ou d’autres espaces privés.</w:t>
              <w:br/>
              <w:br/>
              <w:t xml:space="preserve">Alliant musique, danse et chant, le maloya représente bien plus qu’un simple divertissement ou qu’une tradition musicale pour les réunionnais : musique rituelle des servis malgas, kabaré  ou zansèt, elle induit et provoque la transe de possession et son chant permet de communiquer avec les ancêtres ; musique festive des bals maloya, c’est une musique à danser mais également un chant exutoire qui autorise l’espace d’un temps les critiques et commentaires improvisés d’une société fortement hiérarchisée dans laquelle chacun devait garder sa place. </w:t>
              <w:br/>
              <w:br/>
              <w:t>Bref, le maloya est un « fait musical total » au sens où l’entend Mauss, fondateur de l’anthropologie sociale, qui permet d’appréhender la société réunionnaise depuis ses fondements en tant que société de plantation. L’abolition de l’esclavage et le changement de statut en colonie puis département ont permis une restructuration des systèmes sociaux, politiques et culturels.</w:t>
              <w:br/>
              <w:br/>
              <w:t xml:space="preserve">À la fin des années 1970, le maloya occupe deux champs interdépendants : d’un côté, celui de la mémoire ; de l’autre, le maloya en tant que genre musical sort de son cadre « ethno-culturel » et devient une référence à l’échelle de la société réunionnaise. Ces deux champs interdépendants, se nourrissant et se légitimant mutuellement, servent de base à l’intégration définitive du maloya à la musicalité réunionnaise officielle. Les défenseurs et utilisateurs du maloya réclament une communauté basée sur une société juste et égalitaire. Ils appellent les individus à l’action, à la solidarité dans un projet social commun. </w:t>
              <w:br/>
              <w:br/>
              <w:t>Le maloya, « musique des esclaves et des engagés » accède ainsi au statut de fond culturel de tous les réunionnais. On remarque alors une tendance à chercher une légitimité qui semble devoir passer par l’unicité. Trouver une musique qui deviendra une référence ultime pouvant servir de drapeau identitaire et représenter la société réunionnaise.</w:t>
              <w:br/>
              <w:br/>
              <w:t xml:space="preserve">Aujourd’hui, c’est en tant que patrimoine culturel immatériel en devenir que le maloya, en se laissant pénétrer par d’autres espaces stylistiques et en créant un embranchement polymorphe, assure sa légitimité et se constitue en véritable tradition. Le maloya possède aujourd’hui un potentiel de traits musicaux et textuels qui servent à « réunionniser » des musiques exogènes telles que le rap, le folk, le blues, le rock, le jazz, l’afro-beat, la samba, le slam ou la poésie. Ainsi, le reggae, genre musical présent à La Réunion depuis les années 1980, et son incorporation au maloya, donne lieu à la création du malogué, genre musical réunionnais à part entière. </w:t>
              <w:br/>
              <w:br/>
              <w:t>Le maloya porte en lui les traces constitutives de l’espace et de l’imaginaire créoles réunionnais. Il est aujourd’hui un des référents d’une identité réunionnaise qui demeure multiple. Le maloya est présent dans l’ensemble de l’île et fait l’objet, depuis son inscription sur la liste représentative du patrimoine culturel immatériel de l’UNESCO, d’une reconnaissance et d’une revalorisation officielles. L’une de ses fonctions est d’assurer une continuité en s’inscrivant dans une contemporanéité qui offre des espaces de significations pluriels.</w:t>
              <w:br/>
              <w:br/>
              <w:t>Plusieurs catégories de personnes assurent le rôle et ont la responsabilité de transmettre et de valoriser le maloya :</w:t>
              <w:br/>
              <w:br/>
              <w:t>Les familles qui pratiquent les servis ou qui organisent des bal maloya. En effet, les groupes de maloya sont généralement issus de rassemblements familiaux ou d'amis provenant d'un même quartier ou d'une même ville. Ils peuvent parfois être constitués d'artistes individuels accompagnés par des musiciens choisis au fil de rencontres dans les kabar, les servis kabaré et autres festivités où le maloya à droit de cité. C’est le cas pour le groupe « Groove Lélé » constitué à la mort de Gramoun Lélé par ses fils et filles ainsi que des proches de sa famille ; ou encore le groupe Lindigo qui rassemble les frères et sœurs, les cousins et les cousines du charismatique Jeune leader Olivier Araste.</w:t>
              <w:br/>
              <w:br/>
              <w:t>Les militants culturels qui œuvrent au sein d’associations loi 1901, telles que Miaro, Capitaine Dimitile, Cimendef, Fonkal, Miaraka, Ker Maloya, etc... Elles militent pour une meilleure reconnaissance de l’héritage de la part africaine et malgache et de leurs apports matériel et immatériel  à la société et la culture réunionnaise.</w:t>
              <w:br/>
              <w:br/>
              <w:t>Les groupes de musiciens amateurs qui pratiquent le maloya. Faute de locaux de répétition adaptés à la pratique musicale, ils répètent dans les cases de quartier ou bien dans la cour d’une maison. À un certain niveau de notoriété au sein du quartier, ils deviennent des exemples voire des modèles pour les plus jeunes qui assistent à leurs répétitions. Certains interviennent en milieu scolaire au sein des classes à projet artistique et culturel.</w:t>
              <w:br/>
              <w:br/>
              <w:t>Les artistes reconnus qui souvent continuent d’entretenir des liens privilégiés avec leur quartier d’origine. Ils sont régulièrement sollicités pour participer à des master class organisées par le département de musique réunionnaise du Conservatoire à Rayonnement Régional (CRR) ou le Pôle Régional des Musiques Actuelles (PRMA).</w:t>
              <w:br/>
              <w:br/>
              <w:t>Les enseignants du département de musique réunionnaise du Conservatoire à Rayonnement Régional (CRR), ceux des classes de percussions traditionnelles qui enseignent au sein des écoles de musique et de danse municipales ou intercommunales.</w:t>
              <w:br/>
              <w:br/>
              <w:t>Les institutionnels tels que :</w:t>
              <w:br/>
              <w:br/>
              <w:t>La Région Réunion, le Département de La Réunion, les 4 intercommunalités  ainsi que les 24 communes de l’île à travers les politiques culturelles qu’ils réalisent sur leur territoire respectif.</w:t>
              <w:br/>
              <w:br/>
              <w:t>Le Pôle Régional des Musiques Actuelles (PRMA).</w:t>
              <w:br/>
              <w:br/>
              <w:t>Le Conservatoire à Rayonnement Régional (CRR) et son département de musique réunionnaise.</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C.2.</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pPr>
            <w:r>
              <w:rPr>
                <w:lang w:val="fr-FR"/>
              </w:rPr>
              <w:t>Analyse de la viabilité de l’élément et risques auxquels il est actuellement exposé</w:t>
            </w:r>
          </w:p>
          <w:p>
            <w:pPr>
              <w:pStyle w:val="Info2"/>
              <w:spacing w:before="0" w:after="120"/>
              <w:rPr>
                <w:bCs/>
                <w:iCs w:val="false"/>
                <w:lang w:val="fr-FR"/>
              </w:rPr>
            </w:pPr>
            <w:r>
              <w:rPr>
                <w:bCs/>
                <w:iCs w:val="false"/>
                <w:lang w:val="fr-FR"/>
              </w:rPr>
              <w:t>Décrivez le degré de viabilité actuelle de l’élément, en particulier la fréquence et l’étendue de sa pratique, la force des modes de transmission traditionnels, la composition démographique des praticiens et des publics et sa durabilité. Veuillez aussi identifier et décrire les facteurs qui, le cas échéant, constituent une menace pour la pérennité de la transmission et de la représentation de l’élément et indiquez le degré de gravité et de proximité de tels facteurs.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La revitalisation dont le maloya fait l’objet depuis les années 1980 lui assure aujourd'hui une visibilité à l'échelle régionale et internationale. Le maloya compte de nombreux pratiquants qui contribuent à entretenir sa variété stylistique. </w:t>
              <w:br/>
              <w:br/>
              <w:t>Depuis l’inscription du maloya sur la liste représentative du patrimoine culturel immatériel de l’Unesco, le PRMA observe que les groupes et les artistes les plus talentueux se produisent régulièrement sur l’île et se produisent davantage dans les pays de la zone océan Indien ainsi qu’en France métropolitaine et ailleurs dans le monde.</w:t>
              <w:br/>
              <w:br/>
              <w:t>Ainsi, en 2011-2012, le groupe Lindigo a effectué une tournée internationale qui l’a emmené au Japon, aux USA et au Brésil et devrait s’achever prochainement en Grèce.</w:t>
              <w:br/>
              <w:br/>
              <w:t>Il existe à La Réunion plusieurs facteurs d’instruments de musique traditionnelle, tel que Jean-Luc Robert, qui vivent de leur métier. Ils produisent des instruments de musique propres à l’instrumentarium du maloya destinés essentiellement aux praticiens réunionnais. Mais ils exportent également leur production vers les communautés réunionnaises de métropole, du Québec et d’ailleurs.</w:t>
              <w:br/>
              <w:br/>
              <w:t>Les facteurs d’instruments de musique traditionnelle du maloya interviennent également dans les écoles, les collèges et les lycées, les centres aérés ou bien dans les médiathèques lors des nombreuses programmations culturelles du 20 décembre. Ils initient et transmettent aux publics leurs savoir-faire et pratiques techniques de fabrication.</w:t>
              <w:br/>
              <w:br/>
              <w:t>Face à la pénurie de tiges de fleurs de canne à sucre, matière première essentielle pour la fabrication du kayamb, certains facteurs d’instruments de musique expérimentent et innovent en utilisant des matériaux en matières synthétiques et plastiques, plus durables et aux mêmes propriétés sonores. Ils trouvent des solutions techniques qui permettent de tendre les peaux des tambours traditionnels sans avoir à les chauffer à une flamme vive.</w:t>
              <w:br/>
              <w:br/>
              <w:t>En ce sens, le maloya occupe une place privilégiée dans le champ musical et culturel réunionnais.</w:t>
              <w:br/>
              <w:br/>
              <w:t>Cependant, les mutations sociales et culturelles qu'à connues La Réunion depuis ces</w:t>
              <w:br/>
              <w:t xml:space="preserve">trente dernières années (déclin de la société de plantation, émergence d'une classe moyenne etc.) ont contribué à fragiliser les bases historiques et le courant spirituel de cette musique. Les grandes figures des «familles du maloya» ont presque toutes disparu. </w:t>
              <w:br/>
              <w:br/>
              <w:t>Concernant la transmission du maloya, il faut souligner le fait que peu d’écoles de musique municipale ou privées l’enseignent. Lorsqu’ils le font, ces lieux d’enseignement formel peinent à pouvoir transmettre une musique, un chant et une danse qui traditionnellement était transmis au sein  de la sphère familiale par voir et par faire ainsi que par imprégnation des plus jeunes au contact des anciens.</w:t>
              <w:br/>
              <w:br/>
              <w:t>Ainsi, le responsable du département des musiques réunionnaises du CRR, souligne que paradoxalement, l’enseignement des percussions traditionnelles de l’ouest africain, des percussions afro-cubaines ou indiennes posent moins de problème que d’enseigner les percussions traditionnelles du maloya. En effet, les premières ont fait l’objet depuis plusieurs décennies de la création de cursus de formations formelles et sont codifiées par leurs praticiens alors que, « pour le maloya, tout reste à expérimenter, à imaginer et à créer dans cet objectif ».</w:t>
              <w:br/>
              <w:br/>
              <w:t>Au contact du courant musical de la « world music », les jeunes générations qui s’investissent dans le maloya le remanient parfois de façons surprenantes. Le maloya prend alors des accents variés aux couleurs du blues, du rock, du folk, du jazz, du reggae, du raga muffin, de la pop, de l’électro ou encore de l’afro-beat et du dub.</w:t>
              <w:br/>
              <w:br/>
              <w:t>Ces emprunts, ajouts et nouveaux accents musicaux sont globalement perçus comme positifs par les jeunes générations toujours à l’affût de nouveaux courants d’expressions artistiques. Cependant, les joueurs de « maloya traditionnel » comme Firmin Viry ou d’autres figures emblématiques du maloya qui jouent uniquement avec des instruments de musique de l’instrumentarium ancien et attesté (roulèr, bob, pikèr, kayam, mais aussi sati et triangle), sont totalement opposés à l’emploi du terme « maloya » pour qualifier ces nouvelles créations musicales que l’on désigne aujourd’hui par le terme générique de « maloya électrique ».</w:t>
              <w:br/>
              <w:br/>
              <w:t>A l’opposé de cette aspiration à se frotter à des musiques exogènes, certains artistes qui pratiquent les cérémonies religieuses des cultes aux ancêtres et aux esprits de la nature, se lancent dans la quête d’un retour aux sources du maloya. Ils opèrent alors une « remalgachisation » du maloya, forme musicale proprement réunionnaise et créole. Les textes sont alors chantés en langues Sakalave, Antandroy, Betsileo… et les artistes introduisent l’accordéon diatonique et l’harmonica, deux instruments très présents à Madagascar.</w:t>
              <w:br/>
              <w:br/>
              <w:t>À cet égard, le risque auquel le maloya est confronté est celui de perdre l’expression de ses formes les plus anciennes. Comme toute pratique artistique et culturelle  contemporaine issue d’une tradition attestée par une réelle profondeur historique et un ancrage géographique particuliers, le maloya est caractérisé à la fois par la perte et l’invention, en d’autres termes par le changement, celui que les communautés et leurs praticiens choisissent plus ou moins consciemment de faire pour des raisons esthétiques et idéologiques qui leur appartiennent.</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C.3.</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Contribution aux buts de la Liste</w:t>
            </w:r>
          </w:p>
          <w:p>
            <w:pPr>
              <w:pStyle w:val="Info2"/>
              <w:keepNext w:val="true"/>
              <w:spacing w:lineRule="exact" w:line="260" w:before="0" w:after="120"/>
              <w:jc w:val="both"/>
              <w:rPr/>
            </w:pPr>
            <w:r>
              <w:rPr>
                <w:lang w:val="fr-FR"/>
              </w:rPr>
              <w:t>Expliquez de quelle manière l’inscription de l’élément sur la Liste a contribué à assurer la visibilité du patrimoine culturel matériel et à sensibiliser les populations au niveau local, national et international, à son importance, mais aussi à promouvoir le respect de la diversité culturelle, de la créativité humaine et du respect mutuel auprès de communautés, de groupes et d’individus.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Le maloya est un élément particulièrement exemplaire du patrimoine culturel immatériel de toute une société. </w:t>
              <w:br/>
              <w:br/>
              <w:t xml:space="preserve">Présent depuis les origines du peuplement, il a su résister au système esclavagiste et au colonialisme pour devenir l'expression intergénérationnelle et intraculturelle de toute une population dont les ancêtres, venus de six mondes différents : Chine, Inde dravidienne, monde musulman, France, Afrique de l'Est, îles de l'Océan Indien (Comores, Madagascar), ont créé une civilisation singulière au sein de laquelle le vivre ensemble demeure bien ancré malgré le poids de l’histoire. </w:t>
              <w:br/>
              <w:br/>
              <w:t>Il a été un élément de résistance à la volonté d'assimilation culturelle et un espace de création artistique et linguistique. À travers le maloya, ce sont plusieurs savoirs, savoir-faire et pratiques qui se rencontrent dans un espace social et culturel : artisanat des instruments de musique, arts du spectacle (danse mais aussi le moring qui est une danse de combat qui se pratique au rythme du maloya), rites aux ancêtres, chants, création littéraire, danse, développement et enrichissement de la langue créole. De nombreuses formations transmettent aujourd'hui ces savoirs et ces savoir-faire en se fondant sur le maloya.</w:t>
              <w:br/>
              <w:br/>
              <w:t>Par ailleurs, les pratiques sacrées et profanes du maloya s’influencent aujourd’hui dans un respect mutuel et donne lieu à des formes nouvelles de créations artistiques. C’est le cas pour Florence Boyer, danseuse et chorégraphe réunionnaise qui travaille au sein de l’association et de la compagnie Artmayage, dont les créations en danse contemporaines, récemment produites au festival d’Avignon, se nourrissent de son travail d’anthropologue sur la danse traditionnelle du maloya.</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C.4.</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Efforts pour promouvoir ou renforcer l’élément</w:t>
            </w:r>
          </w:p>
          <w:p>
            <w:pPr>
              <w:pStyle w:val="Info2"/>
              <w:keepNext w:val="true"/>
              <w:spacing w:lineRule="exact" w:line="260" w:before="0" w:after="120"/>
              <w:jc w:val="both"/>
              <w:rPr/>
            </w:pPr>
            <w:r>
              <w:rPr>
                <w:lang w:val="fr-FR"/>
              </w:rPr>
              <w:t>Décrivez les mesures qui ont été prises aux fins de la promotion et du renforcement de l’élément, en donnant le détail de toutes celles qui se sont révélées nécessaires en conséquence de son inscription.</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Depuis plusieurs années, la Région Réunion accompagne et soutient à divers titres le maloya.</w:t>
              <w:br/>
              <w:br/>
              <w:t>Des recherches universitaires ont été menées dans des domaines aussi variés que l'histoire, l'anthropologie, la linguistique, la littérature, la musicologie et l'ethnomusicologie. La collectivité accompagne financièrement des séminaires et des colloques internationaux qui traitent de l’histoire du peuplement et des changements culturels et sociaux de la société réunionnaise.</w:t>
              <w:br/>
              <w:br/>
              <w:t xml:space="preserve">Depuis 1987, année d'ouverture du Conservatoire National de Région à La Réunion, l’enseignement du maloya est pratiqué au Conservatoire à Rayonnement Régional. </w:t>
              <w:br/>
              <w:br/>
              <w:t xml:space="preserve">En 2008, le département des musiques réunionnaises est créé. L’instrumentarium du maloya, ses formes chantées et dansées y sont enseignées dans les quatre antennes géographiques de l’île. Ce cursus atypique au sein d’un CRR est aujourd’hui suivi par une soixantaine d’élèves. Par ailleurs, depuis cette date, tous les élèves du CRR doivent à un moment de leur cursus, suivre pendant une année une classe d’initiation à la musique traditionnelle réunionnaise afin de se familiariser avec le maloya. </w:t>
              <w:br/>
              <w:br/>
              <w:t>Le cursus diplômant du département des musiques réunionnaises met l’accent sur la pratique instrumentale, vocale et corporelle collective. Il s’appuie sur des enseignants réunionnais diplômés d’état, formés initialement à l’école de lakour ou par le biais d’une pratique de musicien assidu des servis kabaré. Des artistes et maloyers confirmés interviennent régulièrement dans ce cursus afin de transmettre aux élèves leur pratique artistique.</w:t>
              <w:br/>
              <w:br/>
              <w:t>Par ailleurs, la Région Réunion accompagne financièrement dans leurs projets les associations qui pratiquent, transmettent et valorisent le maloya et le moring. Chaque année, au début du mois de décembre, l’association Miaro qui œuvre pour la reconnaissance de l’héritage culturel des ancêtres africains et malgaches au sein de la culture réunionnaise, organise, sur les lieux d’un ancien camp de Marrons situé au Dimitile dans les Hauts du sud-ouest de l’île, une manifestation culturelle et cultuelle en honneur des ancêtres. Miaro est ainsi à l’origine de la création de Zangoun (rassemblement) une association loi 1901 qui, pour la première fois, rassemble les officiants et les représentants des cultes aux ancêtres afin de mieux faire connaître et valoriser ses pratiques religieuses de traditions africaines, malgaches et asiatiques.</w:t>
              <w:br/>
              <w:br/>
              <w:t>Aujourd’hui, le site du Dimitile situé sur le territoire de la commune de l’Entre-Deux ne bénéficie pas d’une protection au titre des Monuments Historiques ou bien au titre d’une AVAP (Aire de valorisation de l’Architecture et du Patrimoine). Cependant, la commune de l’Entre-Deux a mandaté l’association Capitaine Dimitile pour entretenir le site sur lequel est implanté un petit local qui abrite une exposition sur l’histoire de ce lieu de marronnage.</w:t>
              <w:br/>
              <w:br/>
              <w:t>Sous l'impulsion de la Région Réunion et en partenariat avec le Rectorat, un certain nombre d'activités pédagogiques existent autour du maloya dans les établissements scolaires, soit par le biais d’activités d'éveil, soit à travers les classes à projet artistique et culturel.</w:t>
              <w:br/>
              <w:br/>
              <w:t>Concernant la création artistique, la collectivité régionale a mis en place plusieurs cadres d'intervention pour permettre aux artistes d'exporter le maloya à travers le monde ; elle s'attache à soutenir des manifestations et actions pluridisciplinaires (travaux de recherche, productions discographiques, photographiques ou audiovisuelles); enfin, elle accompagne les artistes dans l'acquisition ou le renouvellement de leurs instruments de musique, prouvant ainsi l’attachement des artistes à maintenir ces instruments de musique traditionnelle dans la pratique de leur art.</w:t>
              <w:br/>
              <w:br/>
              <w:t>Ainsi, de 2010 à septembre 2012, la Région Réunion a accompagné financièrement une cinquantaine de groupes de maloya et d’artistes pour un montant total de 1 489 859 euros (cf. en annexe les tableaux et graphiques de données statistiques).</w:t>
              <w:br/>
              <w:br/>
              <w:t>S'agissant de la sauvegarde du patrimoine culturel, l'Etat et la Région Réunion ont crée le Pôle Régional des Musiques Actuelles de La Réunion (PRMA). C'est un outil de développement et de structuration de la musique réunionnaise en général et du maloya en particulier.</w:t>
              <w:br/>
              <w:br/>
              <w:t xml:space="preserve">Depuis 1997, entre autres missions de développement, le PRMA réalise un travail sur le patrimoine musical de La Réunion et celui des autres îles du sud-ouest de l'Océan Indien est. </w:t>
              <w:br/>
              <w:br/>
              <w:t xml:space="preserve">Outre les collectages de terrain effectués par des ethnomusicologues, permettant notamment de juger de la vitalité des pratiques traditionnelles sur les différentes îles de la zone, le PRMA a voulu, dès son ouverture, restituer au grand public les œuvres d'artistes disparus ou oubliés des circuits commerciaux, mais ayant pourtant marqué l'histoire de la musique réunionnaise. </w:t>
              <w:br/>
              <w:br/>
              <w:t xml:space="preserve">C'est ainsi, par souci de conservation et de valorisation, qu'à été créé le label discographique Takamba, consacré spécifiquement à ce patrimoine musical. Les albums de ce label sont destinés à conserver une mémoire de l'histoire sonore ; chacun d'eux est agrémenté d'un livret très complet, donnant un maximum d'informations (paroles et traductions, biographie, contexte social, historique et stylistique, instrumentation) et d'illustrations (photos d'archives, pochettes de disque, partitions) aux personnes qui s'y intéressent. </w:t>
              <w:br/>
              <w:br/>
              <w:t xml:space="preserve">Lorsqu'il est question de restituer des enregistrements vinyles (78, 45 et 33 tours) ou issus de bandes anciennes, pour permettre aux auditeurs de découvrir ou réentendre des sources originales (devenues introuvables ou inaudibles), ceux-ci subissent une restauration, dans le but d'éliminer les craquements liés à l'usure, en veillant à ne pas dénaturer ces musiques d'époque. </w:t>
              <w:br/>
              <w:br/>
              <w:t xml:space="preserve">Par souci d'authenticité, mais aussi par respect des pratiques et croyances liées aux répertoires exécutés, les enregistrements « live » se font quant à eux dans l'environnement habituel du/des musicien(s), de manière à ne pas altérer la spontanéité de la pratique, comme pourraient notamment le faire le cadre et les contraintes techniques d'un studio. </w:t>
              <w:br/>
              <w:br/>
              <w:t>Dans le cadre de sa mission, Le PRMA a édité plusieurs cd de maloya. En juin 2012, il a organisé les « Rencontres autour des musiques du sud-ouest de l’océan Indien » dont la thématique principale était « inventaire des urgences de collectage ».</w:t>
              <w:br/>
              <w:br/>
              <w:t xml:space="preserve">D'après Alain Courbis, directeur du PRMA , le classement du maloya sur la liste du patrimoine culturel immatériel de l'UNESCO est intervenu à une période où cette musique était en pleine phase de développement et de reconnaissance sur les scènes internationales, dans les réseaux culturels et ceux dits de " world music". </w:t>
              <w:br/>
              <w:t>Le classement de l'UNESCO est donc intervenu au cœur d'une dynamique très accompagnée aussi bien par les collectivités de La Réunion que les acteurs culturels de l'île et le Pôle Régional des Musiques Actuelles (PRMA) de La Réunion.</w:t>
              <w:br/>
              <w:br/>
              <w:t>Cette dynamique a été renforcée médiatiquement par l'attribution du "World Music Award" à Danyel Waro au WOMEX (World Music expo, plus gros événement professionnel mondial de ces musiques) en octobre 2010, à Copenhague.</w:t>
              <w:br/>
              <w:br/>
              <w:t>À la même période, plusieurs artistes réunionnais, reconnus depuis des années par leur travail à La Réunion, ont connu des développements dans leur carrière en France mais aussi sur des scènes internationales : Christine Salem, Lindigo, Groove Lélé, Gramoun Sello, Urbain Philéas, Kozman Ti Dalon, Kiltir - parmi ceux pratiquant le maloya sous une forme traditionnelle et acoustique - mais aussi d'autres travaillant le maloya comme base de leur création croisée avec d'autres genres musicaux : jazz, pop, soul, folk, tels que Davy Sicard, René Lacaille, MeddyGerville...</w:t>
              <w:br/>
              <w:br/>
              <w:t xml:space="preserve">Le maloya a été particulièrement mis à l'honneur en 2011, dans le cadre de l'Année des Outre-mer, grâce en partie à l'éclairage particulier apporté par le classement de l'UNESCO. </w:t>
              <w:br/>
              <w:br/>
              <w:t xml:space="preserve">Le PRMA et plusieurs artistes de maloya ont été associés à des colloques sur le patrimoine culturel immatériel (à Nanterre avec l'ONDA et la FAMDT, à la Cité de l'Immigration à Paris avec Zone Franche...), et de nombreux groupes de maloya ont été programmés tout au long de cette année en France. </w:t>
              <w:br/>
              <w:br/>
              <w:t xml:space="preserve">Un des plus gros événements était organisé pour le 20ème anniversaire des Escales de Saint-Nazaire en août 2011 avec Danyel Waro, René Lacaille, Christine Salem... À cette occasion, le PRMA a réalisé l'exposition inter-active et son catalogue : « Maloya, musique traditionnelle de La Réunion » qui a connu un franc succès. Depuis, elle circule à l'occasion de festivals et d'événements professionnels ainsi que dans les médiathèques, les établissements scolaires de La Réunion. </w:t>
              <w:br/>
              <w:br/>
              <w:t>Cette exposition est également proposée au réseau des Alliances Françaises implantées dans les pays de la zone océan Indien. Une version anglaise sera prochainement réalisée pour être diffusée dans les pays anglophones où cette musique commence aussi à se faire connaître.</w:t>
              <w:br/>
              <w:br/>
              <w:t>Il faut également noter que le maloya a aussi été intégré au sein du parcours muséographique de la grande exposition multimédia internationale (bilingue anglais-français) sur les « Musiques Noires » réalisée par Mondomix qui a été commanditée par la Région Réunion et présentée au public réunionnais pendant les six premiers mois de l'année 2012. Cette exposition est actuellement installée pour plusieurs mois au Museum of Africa de Johannesburg et sera présentée en 2014, à la Cité de la Musique à Paris.</w:t>
              <w:br/>
              <w:br/>
              <w:t>Plusieurs media nationaux ou internationaux ont consacré des articles importants au maloya ces deux dernières années : Les Inrockuptibles, Vibrations, Le Monde, Mondomix, Songlines...</w:t>
              <w:br/>
              <w:br/>
              <w:t>Plus largement autour de cette musique, on peut noter, depuis le classement à l'UNESCO, la sortie de plusieurs ouvrages consacrés au maloya en général où à certains artistes ou certaines oeuvres en particulier. Des ouvrages qui enrichissent une bibliographie qui était encore peu importante sur le sujet.</w:t>
              <w:br/>
              <w:br/>
              <w:t>Les années 2012 et 2013 vont, sans aucun doute, confirmer l'ouverture et le succès de cette musique dans les réseaux internationaux avec plusieurs groupes réunionnais qui se sont exportés cette année, ou qui vont se produire dans les mois à venir dans des pays aussi divers que l'Australie, l'Afrique du Sud, la Chine, le Japon, les Etats-Unis, l'Inde, les îles de l'océan Indien et plusieurs pays européens ( Allemagne, Angleterre, Pologne, Italie, etc...)</w:t>
              <w:br/>
              <w:br/>
              <w:t xml:space="preserve">Cette tendance a été confirmée par l'important succès du groupe Lindigo, présenté en showcase devant un public de professionnels venu du monde entier pour assister au WOMEX de Thessalonique en Grèce en octobre 2012 </w:t>
              <w:br/>
              <w:br/>
              <w:t>Depuis 2010, La Région Réunion, en lien étroit avec les différentes communautés d’acteurs, a placé le maloya au cœur de sa politique culturelle :  organisation chaque année d’un événementiel autour du maloya, étude et valorisation du moringue en vue de son inscription au Patrimoine Culturel Immatériel de l’UNESCO, soutien des projets associatifs valorisant le patrimoine immatériel tels que conférences, recherches, expositions, ouvrages… Le projet de construction d’une Maison du Marronnage, du Maloya et du Moringue est également à l’étude.</w:t>
              <w:br/>
              <w:br/>
              <w:t xml:space="preserve">Des actions concrètes sont également menées dans les écoles sur l’histoire du maloya avec la participation des artistes, des acteurs culturels et des historiens dans le cadre d’un partenariat entre La Région Réunion  (Service du Patrimoine Culturel – DACS)  et  le Rectorat. L’objectif est de permettre aux jeunes des établissements scolaires de s’approprier l’histoire de La Réunion, de valoriser le maloya dans toute la diversité de ses composantes et de le transmettre aux générations futures.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C.5.</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w:t>
            </w:r>
          </w:p>
          <w:p>
            <w:pPr>
              <w:pStyle w:val="Info2"/>
              <w:keepNext w:val="true"/>
              <w:spacing w:lineRule="exact" w:line="260" w:before="0" w:after="120"/>
              <w:jc w:val="both"/>
              <w:rPr/>
            </w:pPr>
            <w:r>
              <w:rPr>
                <w:rFonts w:eastAsia="SimSun;宋体"/>
                <w:lang w:val="fr-FR"/>
              </w:rPr>
              <w:t>Décrivez la participation des communautés, des groupes et des individus à la sauvegarde de l’élément et indiquez s’ils ont la volonté de continuer à le sauvegarder.</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Comme on l'a vu, le maloya, dans sa dimension profane et publique, n'est plus particulièrement lié à une communauté ou à un groupe « ethno-culturel » à La Réunion. Il a été approprié par l'ensemble des Réunionnais pour qui il est à la fois l'expression d'une identité commune et une très riche base de créativité à la fois pour les formes musicales (rap/maloya, folk/maloya, rock/maloya, malogué (maloya et reggae), blues/maloya, Jazz/maloya, dub/maloya, musette/maloya...) et pour la poésie et le slam. </w:t>
              <w:br/>
              <w:br/>
              <w:t xml:space="preserve">En ce sens, on peut dire que tous les Réunionnais sont impliqués dans la sauvegarde et la valorisation du maloya. Certaines associations s'y emploient plus particulièrement à travers la création d'ateliers pédagogiques, de conférences, d'expositions itinérantes, d'édition d'ouvrages sur les différents aspects du maloya (musique, danse, chant et rituel), collectes de témoignages... (cf. le listing du point C6). </w:t>
              <w:br/>
              <w:br/>
              <w:t>Outre la mise en place du PRMA, la Région Réunion subventionne des groupes culturels et concentre, en particulier, son effort sur des artistes représentatifs dont, pour le maloya, Davy Sicard, Christine Salem, Nathalie Natiembe, Meddy Gerville, les groupes Ziskakan, Lindigo, Kozman Ti Dalon... Le pôle export, créé au sein de la Direction des Affaires Culturelles et Sportives de la Collectivité, a pour mission de faire connaître et de valoriser le maloya et ses artistes sur les scènes musicales françaises et internationales.</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C.6.</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Contexte institutionnel</w:t>
            </w:r>
          </w:p>
          <w:p>
            <w:pPr>
              <w:pStyle w:val="Info2"/>
              <w:rPr>
                <w:lang w:val="fr-FR"/>
              </w:rPr>
            </w:pPr>
            <w:r>
              <w:rPr>
                <w:lang w:val="fr-FR"/>
              </w:rPr>
              <w:t>Informations concernant le contexte institutionnel de l’élément inscrit sur la Liste représentative, y compris :</w:t>
            </w:r>
          </w:p>
          <w:p>
            <w:pPr>
              <w:pStyle w:val="num02tab"/>
              <w:numPr>
                <w:ilvl w:val="0"/>
                <w:numId w:val="13"/>
              </w:numPr>
              <w:suppressAutoHyphens w:val="true"/>
              <w:ind w:hanging="360" w:start="377" w:end="113"/>
              <w:rPr>
                <w:lang w:val="fr-FR"/>
              </w:rPr>
            </w:pPr>
            <w:r>
              <w:rPr>
                <w:lang w:val="fr-FR"/>
              </w:rPr>
              <w:t>le ou les organisme(s) compétent(s) impliqué(s) dans sa gestion et/ou sa sauvegarde ;</w:t>
            </w:r>
          </w:p>
          <w:p>
            <w:pPr>
              <w:pStyle w:val="num02tab"/>
              <w:numPr>
                <w:ilvl w:val="0"/>
                <w:numId w:val="13"/>
              </w:numPr>
              <w:suppressAutoHyphens w:val="true"/>
              <w:spacing w:before="0" w:after="120"/>
              <w:ind w:hanging="360" w:start="377" w:end="113"/>
              <w:rPr>
                <w:lang w:val="fr-FR"/>
              </w:rPr>
            </w:pPr>
            <w:r>
              <w:rPr>
                <w:lang w:val="fr-FR"/>
              </w:rPr>
              <w:t>la ou les organisation(s) de la communauté ou du groupe concernée(s) par l’élément et sa sauvegarde.</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lang w:val="fr-FR"/>
              </w:rPr>
            </w:pPr>
            <w:r>
              <w:rPr>
                <w:lang w:val="fr-FR"/>
              </w:rPr>
              <w:t>Le contexte institutionnel propre au maloya</w:t>
            </w:r>
          </w:p>
          <w:p>
            <w:pPr>
              <w:pStyle w:val="formtext"/>
              <w:snapToGrid w:val="false"/>
              <w:ind w:start="113" w:end="113"/>
              <w:jc w:val="both"/>
              <w:rPr/>
            </w:pPr>
            <w:r>
              <w:rPr>
                <w:lang w:val="fr-FR"/>
              </w:rPr>
              <w:t>Les principaux organismes concernés par la connaissance, la préservation, la transmission et la valorisation du maloya sont les suivants :</w:t>
            </w:r>
          </w:p>
          <w:p>
            <w:pPr>
              <w:pStyle w:val="formtext"/>
              <w:snapToGrid w:val="false"/>
              <w:ind w:start="113" w:end="113"/>
              <w:jc w:val="both"/>
              <w:rPr>
                <w:lang w:val="fr-FR"/>
              </w:rPr>
            </w:pPr>
            <w:r>
              <w:rPr>
                <w:lang w:val="fr-FR"/>
              </w:rPr>
              <w:t>La Région Réunion</w:t>
            </w:r>
          </w:p>
          <w:p>
            <w:pPr>
              <w:pStyle w:val="formtext"/>
              <w:snapToGrid w:val="false"/>
              <w:ind w:start="113" w:end="113"/>
              <w:jc w:val="both"/>
              <w:rPr>
                <w:lang w:val="fr-FR"/>
              </w:rPr>
            </w:pPr>
            <w:r>
              <w:rPr>
                <w:lang w:val="fr-FR"/>
              </w:rPr>
              <w:t xml:space="preserve">Conformément aux orientations de la mandature 2010-2014, quatre grands </w:t>
              <w:tab/>
              <w:t>axes stratégiques ont été fixés :</w:t>
            </w:r>
          </w:p>
          <w:p>
            <w:pPr>
              <w:pStyle w:val="formtext"/>
              <w:snapToGrid w:val="false"/>
              <w:ind w:start="113" w:end="113"/>
              <w:jc w:val="both"/>
              <w:rPr>
                <w:lang w:val="fr-FR"/>
              </w:rPr>
            </w:pPr>
            <w:r>
              <w:rPr>
                <w:lang w:val="fr-FR"/>
              </w:rPr>
              <w:t>La Réhabilitation du Patrimoine Culturel</w:t>
            </w:r>
          </w:p>
          <w:p>
            <w:pPr>
              <w:pStyle w:val="formtext"/>
              <w:snapToGrid w:val="false"/>
              <w:ind w:start="113" w:end="113"/>
              <w:jc w:val="both"/>
              <w:rPr>
                <w:lang w:val="fr-FR"/>
              </w:rPr>
            </w:pPr>
            <w:r>
              <w:rPr>
                <w:lang w:val="fr-FR"/>
              </w:rPr>
              <w:t>L’Éducation Patrimoniale</w:t>
            </w:r>
          </w:p>
          <w:p>
            <w:pPr>
              <w:pStyle w:val="formtext"/>
              <w:snapToGrid w:val="false"/>
              <w:ind w:start="113" w:end="113"/>
              <w:jc w:val="both"/>
              <w:rPr>
                <w:lang w:val="fr-FR"/>
              </w:rPr>
            </w:pPr>
            <w:r>
              <w:rPr>
                <w:lang w:val="fr-FR"/>
              </w:rPr>
              <w:t>Le Lien Patrimonial de l’océan Indien</w:t>
            </w:r>
          </w:p>
          <w:p>
            <w:pPr>
              <w:pStyle w:val="formtext"/>
              <w:snapToGrid w:val="false"/>
              <w:ind w:start="113" w:end="113"/>
              <w:jc w:val="both"/>
              <w:rPr>
                <w:lang w:val="fr-FR"/>
              </w:rPr>
            </w:pPr>
            <w:r>
              <w:rPr>
                <w:lang w:val="fr-FR"/>
              </w:rPr>
              <w:t>Le Service Régional de l’Inventaire.</w:t>
            </w:r>
          </w:p>
          <w:p>
            <w:pPr>
              <w:pStyle w:val="formtext"/>
              <w:snapToGrid w:val="false"/>
              <w:ind w:start="113" w:end="113"/>
              <w:jc w:val="both"/>
              <w:rPr/>
            </w:pPr>
            <w:r>
              <w:rPr>
                <w:lang w:val="fr-FR"/>
              </w:rPr>
              <w:t xml:space="preserve">Ces nouvelles orientations se sont traduites par la création le 1er octobre </w:t>
              <w:tab/>
              <w:t xml:space="preserve">2010 d’un Service du Patrimoine Culturel rattaché à la Direction des Affaires </w:t>
              <w:tab/>
              <w:t>Culturelles et Sportives (DACS).</w:t>
            </w:r>
          </w:p>
          <w:p>
            <w:pPr>
              <w:pStyle w:val="formtext"/>
              <w:snapToGrid w:val="false"/>
              <w:ind w:start="113" w:end="113"/>
              <w:jc w:val="both"/>
              <w:rPr>
                <w:lang w:val="fr-FR"/>
              </w:rPr>
            </w:pPr>
            <w:r>
              <w:rPr>
                <w:lang w:val="fr-FR"/>
              </w:rPr>
              <w:t xml:space="preserve">Le Service du Patrimoine Culturel a pour mission l'étude, la protection la </w:t>
              <w:tab/>
              <w:t xml:space="preserve">transmission et la valorisation du patrimoine culturel réunionnais qu'il soit </w:t>
              <w:tab/>
              <w:t>matériel ou immatériel.</w:t>
            </w:r>
          </w:p>
          <w:p>
            <w:pPr>
              <w:pStyle w:val="formtext"/>
              <w:snapToGrid w:val="false"/>
              <w:ind w:start="113" w:end="113"/>
              <w:jc w:val="both"/>
              <w:rPr>
                <w:lang w:val="fr-FR"/>
              </w:rPr>
            </w:pPr>
            <w:r>
              <w:rPr>
                <w:lang w:val="fr-FR"/>
              </w:rPr>
              <w:tab/>
              <w:t xml:space="preserve">I- Connaissance et valorisation du patrimoine culturel </w:t>
            </w:r>
          </w:p>
          <w:p>
            <w:pPr>
              <w:pStyle w:val="formtext"/>
              <w:snapToGrid w:val="false"/>
              <w:ind w:start="113" w:end="113"/>
              <w:jc w:val="both"/>
              <w:rPr>
                <w:lang w:val="fr-FR"/>
              </w:rPr>
            </w:pPr>
            <w:r>
              <w:rPr>
                <w:lang w:val="fr-FR"/>
              </w:rPr>
              <w:tab/>
              <w:t xml:space="preserve">les études, ainsi que les actions de valorisation du patrimoine culturel, sont </w:t>
              <w:tab/>
              <w:t xml:space="preserve">favorisées par la mise en place des mesures suivantes : </w:t>
            </w:r>
          </w:p>
          <w:p>
            <w:pPr>
              <w:pStyle w:val="formtext"/>
              <w:snapToGrid w:val="false"/>
              <w:ind w:start="113" w:end="113"/>
              <w:jc w:val="both"/>
              <w:rPr>
                <w:lang w:val="fr-FR"/>
              </w:rPr>
            </w:pPr>
            <w:r>
              <w:rPr>
                <w:lang w:val="fr-FR"/>
              </w:rPr>
              <w:t xml:space="preserve">Financement d’études de diagnostic ou d’inventaire : </w:t>
            </w:r>
          </w:p>
          <w:p>
            <w:pPr>
              <w:pStyle w:val="formtext"/>
              <w:snapToGrid w:val="false"/>
              <w:ind w:start="113" w:end="113"/>
              <w:jc w:val="both"/>
              <w:rPr/>
            </w:pPr>
            <w:r>
              <w:rPr>
                <w:lang w:val="fr-FR"/>
              </w:rPr>
              <w:tab/>
              <w:t xml:space="preserve">* Étude ethnohistorique sur le maloya (musique, danses et spiritualité) et la </w:t>
              <w:tab/>
              <w:t>diversité de ses pratiques contemporaines.</w:t>
            </w:r>
          </w:p>
          <w:p>
            <w:pPr>
              <w:pStyle w:val="formtext"/>
              <w:snapToGrid w:val="false"/>
              <w:ind w:start="113" w:end="113"/>
              <w:jc w:val="both"/>
              <w:rPr>
                <w:lang w:val="fr-FR"/>
              </w:rPr>
            </w:pPr>
            <w:r>
              <w:rPr>
                <w:lang w:val="fr-FR"/>
              </w:rPr>
              <w:tab/>
              <w:t xml:space="preserve">* Mission de télé-détection par laser aéroporté sur l’archéologie du </w:t>
              <w:tab/>
              <w:t xml:space="preserve">peuplement des cirques de la Réunion, incluant les sites du marronnage – </w:t>
              <w:tab/>
              <w:t>Poursuite de l’opération entamée en 2012.</w:t>
            </w:r>
          </w:p>
          <w:p>
            <w:pPr>
              <w:pStyle w:val="formtext"/>
              <w:snapToGrid w:val="false"/>
              <w:ind w:start="113" w:end="113"/>
              <w:jc w:val="both"/>
              <w:rPr>
                <w:lang w:val="fr-FR"/>
              </w:rPr>
            </w:pPr>
            <w:r>
              <w:rPr>
                <w:lang w:val="fr-FR"/>
              </w:rPr>
              <w:tab/>
              <w:t xml:space="preserve">* Étude sur la mise en place d’une structure de conservation, restauration du </w:t>
              <w:tab/>
              <w:t xml:space="preserve">patrimoine mobilier : traitement et conservation des artéfacts extraits des </w:t>
              <w:tab/>
              <w:t>fouilles archéologiques terrestres et maritimes (2ème phase).</w:t>
            </w:r>
          </w:p>
          <w:p>
            <w:pPr>
              <w:pStyle w:val="formtext"/>
              <w:snapToGrid w:val="false"/>
              <w:ind w:start="113" w:end="113"/>
              <w:jc w:val="both"/>
              <w:rPr/>
            </w:pPr>
            <w:r>
              <w:rPr>
                <w:lang w:val="fr-FR"/>
              </w:rPr>
              <w:tab/>
              <w:t xml:space="preserve">* Mise en lumière des éléments remarquables du patrimoine culturel </w:t>
              <w:tab/>
              <w:t>architectural, et notamment des lieux de cultes.</w:t>
            </w:r>
          </w:p>
          <w:p>
            <w:pPr>
              <w:pStyle w:val="formtext"/>
              <w:snapToGrid w:val="false"/>
              <w:ind w:start="113" w:end="113"/>
              <w:jc w:val="both"/>
              <w:rPr>
                <w:lang w:val="fr-FR"/>
              </w:rPr>
            </w:pPr>
            <w:r>
              <w:rPr>
                <w:lang w:val="fr-FR"/>
              </w:rPr>
              <w:tab/>
              <w:t>* Participation à une campagne de fouilles funéraires.</w:t>
            </w:r>
          </w:p>
          <w:p>
            <w:pPr>
              <w:pStyle w:val="formtext"/>
              <w:snapToGrid w:val="false"/>
              <w:ind w:start="113" w:end="113"/>
              <w:jc w:val="both"/>
              <w:rPr>
                <w:lang w:val="fr-FR"/>
              </w:rPr>
            </w:pPr>
            <w:r>
              <w:rPr>
                <w:lang w:val="fr-FR"/>
              </w:rPr>
              <w:tab/>
              <w:t>* Étude sur le patrimoine culinaire de la Réunion.</w:t>
            </w:r>
          </w:p>
          <w:p>
            <w:pPr>
              <w:pStyle w:val="formtext"/>
              <w:snapToGrid w:val="false"/>
              <w:ind w:start="113" w:end="113"/>
              <w:jc w:val="both"/>
              <w:rPr>
                <w:lang w:val="fr-FR"/>
              </w:rPr>
            </w:pPr>
            <w:r>
              <w:rPr>
                <w:lang w:val="fr-FR"/>
              </w:rPr>
              <w:tab/>
              <w:t>Le patrimoine immatériel : le Maloya, le Moringue et le Marronnage.</w:t>
            </w:r>
          </w:p>
          <w:p>
            <w:pPr>
              <w:pStyle w:val="formtext"/>
              <w:snapToGrid w:val="false"/>
              <w:ind w:start="113" w:end="113"/>
              <w:jc w:val="both"/>
              <w:rPr/>
            </w:pPr>
            <w:r>
              <w:rPr>
                <w:lang w:val="fr-FR"/>
              </w:rPr>
              <w:tab/>
              <w:t xml:space="preserve">Le 1er octobre 2009, le maloya a été inscrit au Patrimoine Culturel Immatériel de l’Humanité par l’UNESCO. </w:t>
            </w:r>
          </w:p>
          <w:p>
            <w:pPr>
              <w:pStyle w:val="formtext"/>
              <w:snapToGrid w:val="false"/>
              <w:ind w:start="113" w:end="113"/>
              <w:jc w:val="both"/>
              <w:rPr/>
            </w:pPr>
            <w:r>
              <w:rPr>
                <w:lang w:val="fr-FR"/>
              </w:rPr>
              <w:t xml:space="preserve">Cette distinction représente une reconnaissance mondiale d’un pan de notre culture réunionnaise et nous offre l’opportunité de mettre davantage en valeur le patrimoine immatériel de la Réunion. Les interventions de la Collectivité en </w:t>
              <w:tab/>
              <w:t xml:space="preserve">la matière portent également sur le Moringue et le Marronnage. </w:t>
            </w:r>
          </w:p>
          <w:p>
            <w:pPr>
              <w:pStyle w:val="formtext"/>
              <w:snapToGrid w:val="false"/>
              <w:ind w:start="113" w:end="113"/>
              <w:jc w:val="both"/>
              <w:rPr>
                <w:lang w:val="fr-FR"/>
              </w:rPr>
            </w:pPr>
            <w:r>
              <w:rPr>
                <w:lang w:val="fr-FR"/>
              </w:rPr>
              <w:t xml:space="preserve">Diverses actions sont proposées dans ce cadre : </w:t>
            </w:r>
          </w:p>
          <w:p>
            <w:pPr>
              <w:pStyle w:val="formtext"/>
              <w:snapToGrid w:val="false"/>
              <w:ind w:start="113" w:end="113"/>
              <w:jc w:val="both"/>
              <w:rPr/>
            </w:pPr>
            <w:r>
              <w:rPr>
                <w:lang w:val="fr-FR"/>
              </w:rPr>
              <w:tab/>
              <w:t>- Poursuite des recherches sur le maloya, le moringue et le marronnage.</w:t>
            </w:r>
          </w:p>
          <w:p>
            <w:pPr>
              <w:pStyle w:val="formtext"/>
              <w:snapToGrid w:val="false"/>
              <w:ind w:start="113" w:end="113"/>
              <w:jc w:val="both"/>
              <w:rPr/>
            </w:pPr>
            <w:r>
              <w:rPr>
                <w:lang w:val="fr-FR"/>
              </w:rPr>
              <w:tab/>
              <w:t>- Participation à l’organisation par la Région d’un événement annuel majeur dans le cadre de la Commémoration de l’inscription du maloya au Patrimoine Culturel Immatériel de l’UNESCO (Village Maloya).</w:t>
            </w:r>
          </w:p>
          <w:p>
            <w:pPr>
              <w:pStyle w:val="formtext"/>
              <w:snapToGrid w:val="false"/>
              <w:ind w:start="113" w:end="113"/>
              <w:jc w:val="both"/>
              <w:rPr/>
            </w:pPr>
            <w:r>
              <w:rPr>
                <w:lang w:val="fr-FR"/>
              </w:rPr>
              <w:tab/>
              <w:t>- Organisation d’opérations de valorisation et de transmission du patrimoine culturel (cycles de conférences, colloques, actions de communication sur les projets accompagnés par la collectivité…).</w:t>
            </w:r>
          </w:p>
          <w:p>
            <w:pPr>
              <w:pStyle w:val="formtext"/>
              <w:snapToGrid w:val="false"/>
              <w:ind w:start="113" w:end="113"/>
              <w:jc w:val="both"/>
              <w:rPr/>
            </w:pPr>
            <w:r>
              <w:rPr>
                <w:lang w:val="fr-FR"/>
              </w:rPr>
              <w:tab/>
              <w:t>- Projet de création de la Maison du maloya, du moringue et du marronnage.</w:t>
            </w:r>
          </w:p>
          <w:p>
            <w:pPr>
              <w:pStyle w:val="formtext"/>
              <w:snapToGrid w:val="false"/>
              <w:ind w:start="113" w:end="113"/>
              <w:jc w:val="both"/>
              <w:rPr>
                <w:lang w:val="fr-FR"/>
              </w:rPr>
            </w:pPr>
            <w:r>
              <w:rPr>
                <w:lang w:val="fr-FR"/>
              </w:rPr>
              <w:t>* Réflexion sur un pré-programme de projet scientifique et culturel,</w:t>
            </w:r>
          </w:p>
          <w:p>
            <w:pPr>
              <w:pStyle w:val="formtext"/>
              <w:snapToGrid w:val="false"/>
              <w:ind w:start="113" w:end="113"/>
              <w:jc w:val="both"/>
              <w:rPr>
                <w:lang w:val="fr-FR"/>
              </w:rPr>
            </w:pPr>
            <w:r>
              <w:rPr>
                <w:lang w:val="fr-FR"/>
              </w:rPr>
              <w:t>* Lancement et réalisation d’une étude de faisabilité,</w:t>
            </w:r>
          </w:p>
          <w:p>
            <w:pPr>
              <w:pStyle w:val="formtext"/>
              <w:snapToGrid w:val="false"/>
              <w:ind w:start="113" w:end="113"/>
              <w:jc w:val="both"/>
              <w:rPr>
                <w:lang w:val="fr-FR"/>
              </w:rPr>
            </w:pPr>
            <w:r>
              <w:rPr>
                <w:lang w:val="fr-FR"/>
              </w:rPr>
              <w:t>* Constitution d’un comité de pilotage et d’un comité scientifique.</w:t>
            </w:r>
          </w:p>
          <w:p>
            <w:pPr>
              <w:pStyle w:val="formtext"/>
              <w:snapToGrid w:val="false"/>
              <w:ind w:start="113" w:end="113"/>
              <w:jc w:val="both"/>
              <w:rPr/>
            </w:pPr>
            <w:r>
              <w:rPr>
                <w:lang w:val="fr-FR"/>
              </w:rPr>
              <w:tab/>
              <w:t>- Étude du moringue en vue de sa valorisation et d’un projet d’inscription au Patrimoine Culturel Immatériel de l’UNESCO.</w:t>
            </w:r>
          </w:p>
          <w:p>
            <w:pPr>
              <w:pStyle w:val="formtext"/>
              <w:snapToGrid w:val="false"/>
              <w:ind w:start="113" w:end="113"/>
              <w:jc w:val="both"/>
              <w:rPr/>
            </w:pPr>
            <w:r>
              <w:rPr>
                <w:lang w:val="fr-FR"/>
              </w:rPr>
              <w:tab/>
              <w:t>- Organisation d’un événementiel autour de la thématique du moringue.</w:t>
            </w:r>
          </w:p>
          <w:p>
            <w:pPr>
              <w:pStyle w:val="formtext"/>
              <w:snapToGrid w:val="false"/>
              <w:ind w:start="113" w:end="113"/>
              <w:jc w:val="both"/>
              <w:rPr>
                <w:lang w:val="fr-FR"/>
              </w:rPr>
            </w:pPr>
            <w:r>
              <w:rPr>
                <w:lang w:val="fr-FR"/>
              </w:rPr>
              <w:t>Actions diverses :</w:t>
            </w:r>
          </w:p>
          <w:p>
            <w:pPr>
              <w:pStyle w:val="formtext"/>
              <w:snapToGrid w:val="false"/>
              <w:ind w:start="113" w:end="113"/>
              <w:jc w:val="both"/>
              <w:rPr/>
            </w:pPr>
            <w:r>
              <w:rPr>
                <w:lang w:val="fr-FR"/>
              </w:rPr>
              <w:tab/>
              <w:t>- Organisation de manifestations en lien avec le patrimoine historique et ses lieux de mémoire.</w:t>
            </w:r>
          </w:p>
          <w:p>
            <w:pPr>
              <w:pStyle w:val="formtext"/>
              <w:snapToGrid w:val="false"/>
              <w:ind w:start="113" w:end="113"/>
              <w:jc w:val="both"/>
              <w:rPr/>
            </w:pPr>
            <w:r>
              <w:rPr>
                <w:lang w:val="fr-FR"/>
              </w:rPr>
              <w:tab/>
              <w:t>- Campagne signalétique sur les lieux de mémoires et/ou les bâtiments patrimoniaux.</w:t>
            </w:r>
          </w:p>
          <w:p>
            <w:pPr>
              <w:pStyle w:val="formtext"/>
              <w:snapToGrid w:val="false"/>
              <w:ind w:start="113" w:end="113"/>
              <w:jc w:val="both"/>
              <w:rPr>
                <w:lang w:val="fr-FR"/>
              </w:rPr>
            </w:pPr>
            <w:r>
              <w:rPr>
                <w:lang w:val="fr-FR"/>
              </w:rPr>
              <w:t>II- L’Éducation Patrimoniale</w:t>
            </w:r>
          </w:p>
          <w:p>
            <w:pPr>
              <w:pStyle w:val="formtext"/>
              <w:snapToGrid w:val="false"/>
              <w:ind w:start="113" w:end="113"/>
              <w:jc w:val="both"/>
              <w:rPr/>
            </w:pPr>
            <w:r>
              <w:rPr>
                <w:lang w:val="fr-FR"/>
              </w:rPr>
              <w:t>Il s’agit de redéployer l’intervention régionale vers tous publics, et en particulier le public scolarisé, tous secteurs confondus, primaire et secondaire en partenariat avec l’Education Nationale.</w:t>
            </w:r>
          </w:p>
          <w:p>
            <w:pPr>
              <w:pStyle w:val="formtext"/>
              <w:snapToGrid w:val="false"/>
              <w:ind w:start="113" w:end="113"/>
              <w:jc w:val="both"/>
              <w:rPr>
                <w:lang w:val="fr-FR"/>
              </w:rPr>
            </w:pPr>
            <w:r>
              <w:rPr>
                <w:lang w:val="fr-FR"/>
              </w:rPr>
              <w:t>Cette orientation vise :</w:t>
            </w:r>
          </w:p>
          <w:p>
            <w:pPr>
              <w:pStyle w:val="formtext"/>
              <w:snapToGrid w:val="false"/>
              <w:ind w:start="113" w:end="113"/>
              <w:jc w:val="both"/>
              <w:rPr>
                <w:lang w:val="fr-FR"/>
              </w:rPr>
            </w:pPr>
            <w:r>
              <w:rPr>
                <w:lang w:val="fr-FR"/>
              </w:rPr>
              <w:t>La création ou l’aide à la création d'outils pédagogiques (livrets, CD, ouvrages axes historiques et culturels, mallettes pédagogiques….)</w:t>
            </w:r>
          </w:p>
          <w:p>
            <w:pPr>
              <w:pStyle w:val="formtext"/>
              <w:snapToGrid w:val="false"/>
              <w:ind w:start="113" w:end="113"/>
              <w:jc w:val="both"/>
              <w:rPr>
                <w:lang w:val="fr-FR"/>
              </w:rPr>
            </w:pPr>
            <w:r>
              <w:rPr>
                <w:lang w:val="fr-FR"/>
              </w:rPr>
              <w:t>Le soutien à des projets pédagogiques autour du patrimoine culturel (formation des enseignants, classes de découverte, voyages d’étude…).</w:t>
            </w:r>
          </w:p>
          <w:p>
            <w:pPr>
              <w:pStyle w:val="formtext"/>
              <w:snapToGrid w:val="false"/>
              <w:ind w:start="113" w:end="113"/>
              <w:jc w:val="both"/>
              <w:rPr>
                <w:lang w:val="fr-FR"/>
              </w:rPr>
            </w:pPr>
            <w:r>
              <w:rPr>
                <w:lang w:val="fr-FR"/>
              </w:rPr>
              <w:t>L’organisation d'expositions itinérantes sur le maloya.</w:t>
            </w:r>
          </w:p>
          <w:p>
            <w:pPr>
              <w:pStyle w:val="formtext"/>
              <w:snapToGrid w:val="false"/>
              <w:ind w:start="113" w:end="113"/>
              <w:jc w:val="both"/>
              <w:rPr>
                <w:lang w:val="fr-FR"/>
              </w:rPr>
            </w:pPr>
            <w:r>
              <w:rPr>
                <w:lang w:val="fr-FR"/>
              </w:rPr>
              <w:t>Le développement de projets artistiques et culturels en lien avec le Patrimoine Culturel.</w:t>
            </w:r>
          </w:p>
          <w:p>
            <w:pPr>
              <w:pStyle w:val="formtext"/>
              <w:snapToGrid w:val="false"/>
              <w:ind w:start="113" w:end="113"/>
              <w:jc w:val="both"/>
              <w:rPr/>
            </w:pPr>
            <w:r>
              <w:rPr>
                <w:lang w:val="fr-FR"/>
              </w:rPr>
              <w:t>L’accompagnement à la mise en place de sorties pédagogiques autour du patrimoine culturel matériel et immatériel.</w:t>
            </w:r>
          </w:p>
          <w:p>
            <w:pPr>
              <w:pStyle w:val="formtext"/>
              <w:snapToGrid w:val="false"/>
              <w:ind w:start="113" w:end="113"/>
              <w:jc w:val="both"/>
              <w:rPr>
                <w:lang w:val="fr-FR"/>
              </w:rPr>
            </w:pPr>
            <w:r>
              <w:rPr>
                <w:lang w:val="fr-FR"/>
              </w:rPr>
              <w:t>Des interventions dans les écoles à l’occasion des événementiels liés au maloya, au moringue et à toute autre opération d’ordre historique et/ou patrimonial.</w:t>
            </w:r>
          </w:p>
          <w:p>
            <w:pPr>
              <w:pStyle w:val="formtext"/>
              <w:snapToGrid w:val="false"/>
              <w:ind w:start="113" w:end="113"/>
              <w:jc w:val="both"/>
              <w:rPr>
                <w:lang w:val="fr-FR"/>
              </w:rPr>
            </w:pPr>
            <w:r>
              <w:rPr>
                <w:lang w:val="fr-FR"/>
              </w:rPr>
              <w:t>III- Le Lien Patrimonial de l’océan Indien</w:t>
            </w:r>
          </w:p>
          <w:p>
            <w:pPr>
              <w:pStyle w:val="formtext"/>
              <w:snapToGrid w:val="false"/>
              <w:ind w:start="113" w:end="113"/>
              <w:jc w:val="both"/>
              <w:rPr>
                <w:lang w:val="fr-FR"/>
              </w:rPr>
            </w:pPr>
            <w:r>
              <w:rPr>
                <w:lang w:val="fr-FR"/>
              </w:rPr>
              <w:t xml:space="preserve">Dans le cadre de la politique de coopération régionale, il s’agit d’initier, d’accompagner et de renforcer des actions de valorisation du patrimoine commun à l’océan Indien. </w:t>
            </w:r>
          </w:p>
          <w:p>
            <w:pPr>
              <w:pStyle w:val="formtext"/>
              <w:snapToGrid w:val="false"/>
              <w:ind w:start="113" w:end="113"/>
              <w:jc w:val="both"/>
              <w:rPr/>
            </w:pPr>
            <w:r>
              <w:rPr>
                <w:lang w:val="fr-FR"/>
              </w:rPr>
              <w:t>Des projets de coopération régionale dans le cadre de recherches historiques, de fouilles archéologiques terrestres et maritimes, de réhabilitation de sites patrimoniaux ou d’organisation de conférences, de colloques ou autres manifestations, sont soutenus et/ou organisés par la Région Réunion.</w:t>
            </w:r>
          </w:p>
          <w:p>
            <w:pPr>
              <w:pStyle w:val="formtext"/>
              <w:snapToGrid w:val="false"/>
              <w:ind w:start="113" w:end="113"/>
              <w:jc w:val="both"/>
              <w:rPr>
                <w:lang w:val="fr-FR"/>
              </w:rPr>
            </w:pPr>
            <w:r>
              <w:rPr>
                <w:lang w:val="fr-FR"/>
              </w:rPr>
              <w:t>IV- Le Service Régional de l’Inventaire</w:t>
            </w:r>
          </w:p>
          <w:p>
            <w:pPr>
              <w:pStyle w:val="formtext"/>
              <w:snapToGrid w:val="false"/>
              <w:ind w:start="113" w:end="113"/>
              <w:jc w:val="both"/>
              <w:rPr/>
            </w:pPr>
            <w:r>
              <w:rPr>
                <w:lang w:val="fr-FR"/>
              </w:rPr>
              <w:t>L’Inventaire général du patrimoine culturel a pour vocation de constituer, au niveau national et sur tout le territoire, un ensemble documentaires pérennes du patrimoine matériel et immatériel et de le rendre accessible à tous. Il permet son exploitation scientifique, ainsi que la publication de ses données envers tous les publics.</w:t>
            </w:r>
          </w:p>
          <w:p>
            <w:pPr>
              <w:pStyle w:val="formtext"/>
              <w:snapToGrid w:val="false"/>
              <w:ind w:start="113" w:end="113"/>
              <w:jc w:val="both"/>
              <w:rPr>
                <w:lang w:val="fr-FR"/>
              </w:rPr>
            </w:pPr>
            <w:r>
              <w:rPr>
                <w:lang w:val="fr-FR"/>
              </w:rPr>
              <w:t>La Région Réunion s’est inscrite dans la démarche de l’Inventaire par la mise en place de diverses actions, notamment par la contribution de la Collectivité à la définition de l’outil de saisie et de gestion des données informatiques de l’Inventaire (GERTRUDE), programme informatique commun aux 25 Régions.</w:t>
            </w:r>
          </w:p>
          <w:p>
            <w:pPr>
              <w:pStyle w:val="formtext"/>
              <w:snapToGrid w:val="false"/>
              <w:ind w:start="113" w:end="113"/>
              <w:jc w:val="both"/>
              <w:rPr>
                <w:lang w:val="fr-FR"/>
              </w:rPr>
            </w:pPr>
            <w:r>
              <w:rPr>
                <w:lang w:val="fr-FR"/>
              </w:rPr>
              <w:t>Il s’agit :</w:t>
            </w:r>
          </w:p>
          <w:p>
            <w:pPr>
              <w:pStyle w:val="formtext"/>
              <w:snapToGrid w:val="false"/>
              <w:ind w:start="113" w:end="113"/>
              <w:jc w:val="both"/>
              <w:rPr/>
            </w:pPr>
            <w:r>
              <w:rPr>
                <w:lang w:val="fr-FR"/>
              </w:rPr>
              <w:t>- d’étudier et de finaliser les modalités pratiques et financières de la mise en place du Service Régional de l’Inventaire,</w:t>
            </w:r>
          </w:p>
          <w:p>
            <w:pPr>
              <w:pStyle w:val="formtext"/>
              <w:snapToGrid w:val="false"/>
              <w:ind w:start="113" w:end="113"/>
              <w:jc w:val="both"/>
              <w:rPr>
                <w:lang w:val="fr-FR"/>
              </w:rPr>
            </w:pPr>
            <w:r>
              <w:rPr>
                <w:lang w:val="fr-FR"/>
              </w:rPr>
              <w:t>- de mettre en place le SRI suite au futur recrutement d’un Conservateur du Patrimoine, poste créé par la collectivité en 2012,</w:t>
            </w:r>
          </w:p>
          <w:p>
            <w:pPr>
              <w:pStyle w:val="formtext"/>
              <w:snapToGrid w:val="false"/>
              <w:ind w:start="113" w:end="113"/>
              <w:jc w:val="both"/>
              <w:rPr>
                <w:lang w:val="fr-FR"/>
              </w:rPr>
            </w:pPr>
            <w:r>
              <w:rPr>
                <w:lang w:val="fr-FR"/>
              </w:rPr>
              <w:t>- d’effectuer le déploiement du logiciel GERTRUDE au niveau de la Région,</w:t>
            </w:r>
          </w:p>
          <w:p>
            <w:pPr>
              <w:pStyle w:val="formtext"/>
              <w:snapToGrid w:val="false"/>
              <w:ind w:start="113" w:end="113"/>
              <w:jc w:val="both"/>
              <w:rPr>
                <w:lang w:val="fr-FR"/>
              </w:rPr>
            </w:pPr>
            <w:r>
              <w:rPr>
                <w:lang w:val="fr-FR"/>
              </w:rPr>
              <w:t>- de lancer des études sur des thématiques ciblées.</w:t>
            </w:r>
          </w:p>
          <w:p>
            <w:pPr>
              <w:pStyle w:val="formtext"/>
              <w:snapToGrid w:val="false"/>
              <w:ind w:start="113" w:end="113"/>
              <w:jc w:val="both"/>
              <w:rPr>
                <w:lang w:val="fr-FR"/>
              </w:rPr>
            </w:pPr>
            <w:r>
              <w:rPr>
                <w:lang w:val="fr-FR"/>
              </w:rPr>
              <w:t>V- Axes transversaux</w:t>
            </w:r>
          </w:p>
          <w:p>
            <w:pPr>
              <w:pStyle w:val="formtext"/>
              <w:snapToGrid w:val="false"/>
              <w:ind w:start="113" w:end="113"/>
              <w:jc w:val="both"/>
              <w:rPr/>
            </w:pPr>
            <w:r>
              <w:rPr>
                <w:lang w:val="fr-FR"/>
              </w:rPr>
              <w:tab/>
              <w:t>A) Le soutien aux porteurs de projet (associations, Université, ENSAM, CRDP, personnes privées….)</w:t>
            </w:r>
          </w:p>
          <w:p>
            <w:pPr>
              <w:pStyle w:val="formtext"/>
              <w:snapToGrid w:val="false"/>
              <w:ind w:start="113" w:end="113"/>
              <w:jc w:val="both"/>
              <w:rPr>
                <w:lang w:val="fr-FR"/>
              </w:rPr>
            </w:pPr>
            <w:r>
              <w:rPr>
                <w:lang w:val="fr-FR"/>
              </w:rPr>
              <w:tab/>
              <w:t xml:space="preserve">La Région Réunion apporte son soutien financier à des acteurs présentant </w:t>
              <w:tab/>
              <w:t>des projets de valorisation du patrimoine culturel.</w:t>
            </w:r>
          </w:p>
          <w:p>
            <w:pPr>
              <w:pStyle w:val="formtext"/>
              <w:snapToGrid w:val="false"/>
              <w:ind w:start="113" w:end="113"/>
              <w:jc w:val="both"/>
              <w:rPr>
                <w:lang w:val="fr-FR"/>
              </w:rPr>
            </w:pPr>
            <w:r>
              <w:rPr>
                <w:lang w:val="fr-FR"/>
              </w:rPr>
              <w:tab/>
              <w:t xml:space="preserve">La Collectivité ayant souhaité valoriser le patrimoine tant matériel </w:t>
              <w:tab/>
              <w:t xml:space="preserve">qu’immatériel, diverses structures associatives bénéficient de </w:t>
              <w:tab/>
              <w:t xml:space="preserve">l’accompagnement de la collectivité pour le financement de projets tels que </w:t>
              <w:tab/>
              <w:t xml:space="preserve">recherches historiques, éditions d’ouvrages, expositions, collectes de </w:t>
              <w:tab/>
              <w:t>témoignages, petits travaux de réhabilitation….</w:t>
            </w:r>
          </w:p>
          <w:p>
            <w:pPr>
              <w:pStyle w:val="formtext"/>
              <w:snapToGrid w:val="false"/>
              <w:ind w:start="113" w:end="113"/>
              <w:jc w:val="both"/>
              <w:rPr/>
            </w:pPr>
            <w:r>
              <w:rPr>
                <w:lang w:val="fr-FR"/>
              </w:rPr>
              <w:tab/>
              <w:t xml:space="preserve">Un cadre d’intervention des aides régionales, qui précise les critères </w:t>
              <w:tab/>
              <w:t xml:space="preserve">d’éligibilité, le type d’actions susceptibles d’être accompagnées et les </w:t>
              <w:tab/>
              <w:t xml:space="preserve">modalités de versement des aides, a été adopté en 2012. </w:t>
            </w:r>
          </w:p>
          <w:p>
            <w:pPr>
              <w:pStyle w:val="formtext"/>
              <w:snapToGrid w:val="false"/>
              <w:ind w:start="113" w:end="113"/>
              <w:jc w:val="both"/>
              <w:rPr>
                <w:lang w:val="fr-FR"/>
              </w:rPr>
            </w:pPr>
            <w:r>
              <w:rPr>
                <w:lang w:val="fr-FR"/>
              </w:rPr>
              <w:tab/>
              <w:t>B) Partenariats</w:t>
            </w:r>
          </w:p>
          <w:p>
            <w:pPr>
              <w:pStyle w:val="formtext"/>
              <w:snapToGrid w:val="false"/>
              <w:ind w:start="113" w:end="113"/>
              <w:jc w:val="both"/>
              <w:rPr>
                <w:lang w:val="fr-FR"/>
              </w:rPr>
            </w:pPr>
            <w:r>
              <w:rPr>
                <w:lang w:val="fr-FR"/>
              </w:rPr>
              <w:tab/>
              <w:t xml:space="preserve">Le partenariat avec différents acteurs sera favorisé par la mise en place de </w:t>
              <w:tab/>
              <w:t>conventions :</w:t>
            </w:r>
          </w:p>
          <w:p>
            <w:pPr>
              <w:pStyle w:val="formtext"/>
              <w:snapToGrid w:val="false"/>
              <w:ind w:end="113"/>
              <w:jc w:val="both"/>
              <w:rPr>
                <w:lang w:val="fr-FR"/>
              </w:rPr>
            </w:pPr>
            <w:r>
              <w:rPr>
                <w:lang w:val="fr-FR"/>
              </w:rPr>
              <w:t>- Parc National des Hauts</w:t>
            </w:r>
          </w:p>
          <w:p>
            <w:pPr>
              <w:pStyle w:val="formtext"/>
              <w:snapToGrid w:val="false"/>
              <w:ind w:start="113" w:end="113"/>
              <w:jc w:val="both"/>
              <w:rPr>
                <w:lang w:val="fr-FR"/>
              </w:rPr>
            </w:pPr>
            <w:r>
              <w:rPr>
                <w:lang w:val="fr-FR"/>
              </w:rPr>
              <w:t>- Éducation Nationale</w:t>
            </w:r>
          </w:p>
          <w:p>
            <w:pPr>
              <w:pStyle w:val="formtext"/>
              <w:snapToGrid w:val="false"/>
              <w:ind w:start="113" w:end="113"/>
              <w:jc w:val="both"/>
              <w:rPr>
                <w:lang w:val="fr-FR"/>
              </w:rPr>
            </w:pPr>
            <w:r>
              <w:rPr>
                <w:lang w:val="fr-FR"/>
              </w:rPr>
              <w:t>- Centre Régional de Documentation Pédagogique (CRDP)</w:t>
            </w:r>
          </w:p>
          <w:p>
            <w:pPr>
              <w:pStyle w:val="formtext"/>
              <w:snapToGrid w:val="false"/>
              <w:ind w:start="113" w:end="113"/>
              <w:jc w:val="both"/>
              <w:rPr>
                <w:lang w:val="fr-FR"/>
              </w:rPr>
            </w:pPr>
            <w:r>
              <w:rPr>
                <w:lang w:val="fr-FR"/>
              </w:rPr>
              <w:t>- Cercle Généalogique de Bourbon…</w:t>
            </w:r>
          </w:p>
          <w:p>
            <w:pPr>
              <w:pStyle w:val="formtext"/>
              <w:snapToGrid w:val="false"/>
              <w:ind w:start="113" w:end="113"/>
              <w:jc w:val="both"/>
              <w:rPr>
                <w:lang w:val="fr-FR"/>
              </w:rPr>
            </w:pPr>
            <w:r>
              <w:rPr>
                <w:lang w:val="fr-FR"/>
              </w:rPr>
              <w:tab/>
              <w:t>Le Pole Régional des Musiques Actuelles (PRMA)</w:t>
            </w:r>
          </w:p>
          <w:p>
            <w:pPr>
              <w:pStyle w:val="formtext"/>
              <w:snapToGrid w:val="false"/>
              <w:ind w:start="113" w:end="113"/>
              <w:jc w:val="both"/>
              <w:rPr/>
            </w:pPr>
            <w:r>
              <w:rPr>
                <w:lang w:val="fr-FR"/>
              </w:rPr>
              <w:t>Face à la mutation rapide du secteur des musiques actuelles, le PRMA s’emploie à fédérer, accompagner, observer et promouvoir des pratiques dont  il  considére la valeur économique et culturelle. Le PRMA avec la Région Réunion, la DAC-OI et ses partenaires, participe au dialogue entre acteurs et collectivités sur des enjeux liés au territoire spécifique que constitue la Réunion et au développement des musiques actuelles. L’association s’affirme comme interface entre institutions et filière musicale.</w:t>
            </w:r>
          </w:p>
          <w:p>
            <w:pPr>
              <w:pStyle w:val="formtext"/>
              <w:snapToGrid w:val="false"/>
              <w:ind w:start="113" w:end="113"/>
              <w:jc w:val="both"/>
              <w:rPr/>
            </w:pPr>
            <w:r>
              <w:rPr>
                <w:lang w:val="fr-FR"/>
              </w:rPr>
              <w:t>La structuration du secteur est un enjeu considérable pour les acteurs amateurs ou professionnels. Le PRMA préfigure et met en place des dispositifs au service des artistes (dont ceux du maloya) et personnes travaillant dans leur environnement.</w:t>
            </w:r>
          </w:p>
          <w:p>
            <w:pPr>
              <w:pStyle w:val="formtext"/>
              <w:snapToGrid w:val="false"/>
              <w:ind w:start="113" w:end="113"/>
              <w:jc w:val="both"/>
              <w:rPr>
                <w:lang w:val="fr-FR"/>
              </w:rPr>
            </w:pPr>
            <w:r>
              <w:rPr>
                <w:lang w:val="fr-FR"/>
              </w:rPr>
              <w:t>Il concentre ses efforts aussi bien sur le développement local que sur l’accompagnement à l’export, passage souvent obligé pour les artistes qui veulent vivre de leur art et conquérir de nouveaux marchés pour la diffusion de leurs créations.</w:t>
            </w:r>
          </w:p>
          <w:p>
            <w:pPr>
              <w:pStyle w:val="formtext"/>
              <w:snapToGrid w:val="false"/>
              <w:ind w:start="113" w:end="113"/>
              <w:jc w:val="both"/>
              <w:rPr/>
            </w:pPr>
            <w:r>
              <w:rPr>
                <w:lang w:val="fr-FR"/>
              </w:rPr>
              <w:t>La mission observation est maintenant centrale dans le mode de fonctionnement du Pôle selon ses différentes missions. Les études et analyses qu’elle génère permettent d’alimenter les réflexions sur le développement du secteur musical, de mieux appréhender les besoins et adapter les actions de l’association à l’évolution rapide et permanente de ce secteur. L’intensification de cette mission permet aussi de stocker et transmettre des informations aux différents acteurs de la filière et aux institutions .</w:t>
            </w:r>
          </w:p>
          <w:p>
            <w:pPr>
              <w:pStyle w:val="formtext"/>
              <w:snapToGrid w:val="false"/>
              <w:ind w:start="113" w:end="113"/>
              <w:jc w:val="both"/>
              <w:rPr/>
            </w:pPr>
            <w:r>
              <w:rPr>
                <w:lang w:val="fr-FR"/>
              </w:rPr>
              <w:t>Parmi les réflexions en cours sur la structuration du secteur, le PRMA a modelé un dispositif pour aider à l’emploi des artistes tout en mettant en réseau les cafés-concerts de l’île. Premier réseau de diffusion de musique vivante, il permet de favoriser la création et la pratique scénique et de faire émerger de nouveaux talents. Cette activité de diffusion doit s’exercer dans la légalité et sera accompagnée de différentes aides telles qu’un fonds de soutien à l’embauche artistique, un conseil technique, des possibilités de prêts de matériel complémentaire et, selon le projet des structures, une éventuelle mise en lien avec les aides régionales créées récemment pour les entreprises culturelles. Ce dispositif Tournée Générale permet de mettre en relation de manière simple et efficace les producteurs de spectacle et les cafés-cultures à travers la plate-forme www.tourneegenerale.re.</w:t>
            </w:r>
          </w:p>
          <w:p>
            <w:pPr>
              <w:pStyle w:val="formtext"/>
              <w:snapToGrid w:val="false"/>
              <w:ind w:start="113" w:end="113"/>
              <w:jc w:val="both"/>
              <w:rPr>
                <w:b/>
                <w:bCs/>
                <w:lang w:val="fr-FR"/>
              </w:rPr>
            </w:pPr>
            <w:r>
              <w:rPr>
                <w:b/>
                <w:bCs/>
                <w:lang w:val="fr-FR"/>
              </w:rPr>
              <w:t>FRAM (Fonds Régional d’Aide à la Mobilité)</w:t>
            </w:r>
          </w:p>
          <w:p>
            <w:pPr>
              <w:pStyle w:val="formtext"/>
              <w:snapToGrid w:val="false"/>
              <w:ind w:start="113" w:end="113"/>
              <w:jc w:val="both"/>
              <w:rPr>
                <w:lang w:val="fr-FR"/>
              </w:rPr>
            </w:pPr>
            <w:r>
              <w:rPr>
                <w:lang w:val="fr-FR"/>
              </w:rPr>
              <w:t>Une aide aux déplacements des artistes de l’île vers les marchés extérieurs. Elle s’inscrit dans une stratégie globale d’appui à l’export et au développement de carrières artistiques qui va se renforcer dans les mois à venir.</w:t>
            </w:r>
          </w:p>
          <w:p>
            <w:pPr>
              <w:pStyle w:val="formtext"/>
              <w:snapToGrid w:val="false"/>
              <w:ind w:start="113" w:end="113"/>
              <w:jc w:val="both"/>
              <w:rPr/>
            </w:pPr>
            <w:r>
              <w:rPr>
                <w:lang w:val="fr-FR"/>
              </w:rPr>
              <w:t>La Région Réunion, avec le soutien de la SACEM, a doté depuis 2012 le PRMA d’un fonds spécifique qui permet d’aider aux tournées nationales ou internationales des groupes réunionnais dont les artistes du maloya. Les demandes devant répondre à des critères très précis sont validées par une commission professionnelle qui se réunit quatre fois par an. La mise en œuvre de l’aide, une fois validée, est immédiate pour éviter aux artistes des longues démarches administratives leur nécessitant souvent des avances de trésorerie et des incertitudes sur le respect de leurs engagements avec des programmateurs. Ce dispositif s’inscrit dans une stratégie globale d’appui à l’export et au développement de carrières artistiques qui va se renforcer dans les mois à venir.</w:t>
            </w:r>
          </w:p>
          <w:p>
            <w:pPr>
              <w:pStyle w:val="formtext"/>
              <w:snapToGrid w:val="false"/>
              <w:ind w:start="113" w:end="113"/>
              <w:jc w:val="both"/>
              <w:rPr>
                <w:b/>
                <w:bCs/>
                <w:lang w:val="fr-FR"/>
              </w:rPr>
            </w:pPr>
            <w:r>
              <w:rPr>
                <w:b/>
                <w:bCs/>
                <w:lang w:val="fr-FR"/>
              </w:rPr>
              <w:t>RESA</w:t>
            </w:r>
          </w:p>
          <w:p>
            <w:pPr>
              <w:pStyle w:val="formtext"/>
              <w:snapToGrid w:val="false"/>
              <w:ind w:start="113" w:end="113"/>
              <w:jc w:val="both"/>
              <w:rPr/>
            </w:pPr>
            <w:r>
              <w:rPr>
                <w:lang w:val="fr-FR"/>
              </w:rPr>
              <w:t>Face à la faible structuration de l’offre en espaces de répétitions dans l’île, le PRMA préfigure depuis 2013 un dispositif de réservations de ces lieux en ligne. RESA vise à mieux identifier et structurer l’activité des espaces de travail de création qu’ils soient publics, associatifs ou privés. L’objectif est de faciliter la gestion partagée des créneaux de répétition et l’accès des publics à ces lieux, et si possible, de susciter l’ouverture de nouvelles possibilités dans ce domaine où l’offre est largement insuffisante par rapport à la demande des artistes.</w:t>
            </w:r>
          </w:p>
          <w:p>
            <w:pPr>
              <w:pStyle w:val="formtext"/>
              <w:snapToGrid w:val="false"/>
              <w:ind w:start="113" w:end="113"/>
              <w:jc w:val="both"/>
              <w:rPr>
                <w:lang w:val="fr-FR"/>
              </w:rPr>
            </w:pPr>
            <w:r>
              <w:rPr>
                <w:lang w:val="fr-FR"/>
              </w:rPr>
              <w:t>Expertise sur et pour le secteur</w:t>
            </w:r>
          </w:p>
          <w:p>
            <w:pPr>
              <w:pStyle w:val="formtext"/>
              <w:snapToGrid w:val="false"/>
              <w:ind w:start="113" w:end="113"/>
              <w:jc w:val="both"/>
              <w:rPr>
                <w:lang w:val="fr-FR"/>
              </w:rPr>
            </w:pPr>
            <w:r>
              <w:rPr>
                <w:lang w:val="fr-FR"/>
              </w:rPr>
              <w:t>Observation</w:t>
            </w:r>
          </w:p>
          <w:p>
            <w:pPr>
              <w:pStyle w:val="formtext"/>
              <w:snapToGrid w:val="false"/>
              <w:ind w:start="113" w:end="113"/>
              <w:jc w:val="both"/>
              <w:rPr/>
            </w:pPr>
            <w:r>
              <w:rPr>
                <w:lang w:val="fr-FR"/>
              </w:rPr>
              <w:t>Les études et analyses du secteur s’articulent à l’ensemble des activités du PRMA, pour alimenter la mise en œuvre, la réflexion sur les développements et l’évaluation. Les informations collectées, stockées et analysées, sont un outil à la disposition des différents usagers et partenaires du PRMA. Parmi les études spécifiques en cours, un travail sur le rôle des médias dans la filière musicale réunionnaise donne lieu à une analyse de la place de la musique et en particulier du maloya  dans la programmation des radios et des chaînes de télévision locales.</w:t>
            </w:r>
          </w:p>
          <w:p>
            <w:pPr>
              <w:pStyle w:val="formtext"/>
              <w:snapToGrid w:val="false"/>
              <w:ind w:start="113" w:end="113"/>
              <w:jc w:val="both"/>
              <w:rPr>
                <w:lang w:val="fr-FR"/>
              </w:rPr>
            </w:pPr>
            <w:r>
              <w:rPr>
                <w:lang w:val="fr-FR"/>
              </w:rPr>
              <w:t>Numérisation et valorisation</w:t>
            </w:r>
          </w:p>
          <w:p>
            <w:pPr>
              <w:pStyle w:val="formtext"/>
              <w:snapToGrid w:val="false"/>
              <w:ind w:start="113" w:end="113"/>
              <w:jc w:val="both"/>
              <w:rPr/>
            </w:pPr>
            <w:r>
              <w:rPr>
                <w:lang w:val="fr-FR"/>
              </w:rPr>
              <w:t>Poursuivant ses actions de collectage, archivage, sauvegarde et restitution, le PRMA met en œuvre un travail intensifié de numérisation de contenus musicaux. A terme, ce contenu servira notamment à la création d’outils pédagogiques sur les musiques actuelles et les musiques patrimoniales de la zone Océan Indien, à alimenter des travaux de recherche, des projets d’ouvrages, etc… Les artistes du maloya et des musiques sœurs de l'océan Indien font régulièrement l'objet de campagne de collectage et de sauvegarde.</w:t>
            </w:r>
          </w:p>
          <w:p>
            <w:pPr>
              <w:pStyle w:val="formtext"/>
              <w:snapToGrid w:val="false"/>
              <w:ind w:start="113" w:end="113"/>
              <w:jc w:val="both"/>
              <w:rPr>
                <w:lang w:val="fr-FR"/>
              </w:rPr>
            </w:pPr>
            <w:r>
              <w:rPr>
                <w:lang w:val="fr-FR"/>
              </w:rPr>
              <w:t>Label Takamba</w:t>
            </w:r>
          </w:p>
          <w:p>
            <w:pPr>
              <w:pStyle w:val="formtext"/>
              <w:snapToGrid w:val="false"/>
              <w:ind w:start="113" w:end="113"/>
              <w:jc w:val="both"/>
              <w:rPr/>
            </w:pPr>
            <w:r>
              <w:rPr>
                <w:lang w:val="fr-FR"/>
              </w:rPr>
              <w:t xml:space="preserve">Engagé depuis quinze ans dans la connaissance et la reconnaissance du patrimoine musical de l’océan Indien, ce label de mémoire continue ses projets dans le respect de sa double ligne éditoriale : rééditions d’enregistrements qui n’existaient pas ou plus en supports grand public (CDD, DVD’s…), et collectages de terrain sur les porteurs de traditions musicales dont celle du maloya. Ce deuxième volet de l’activité du label prend une ampleur accrue suite à des rencontres internationales organisées en juin 2012 autour du sujet et des urgences qui peuvent être recensées dans l'océan Indien. </w:t>
            </w:r>
          </w:p>
          <w:p>
            <w:pPr>
              <w:pStyle w:val="formtext"/>
              <w:snapToGrid w:val="false"/>
              <w:ind w:start="113" w:end="113"/>
              <w:jc w:val="both"/>
              <w:rPr>
                <w:lang w:val="fr-FR"/>
              </w:rPr>
            </w:pPr>
            <w:r>
              <w:rPr>
                <w:lang w:val="fr-FR"/>
              </w:rPr>
              <w:t>La Maison des Civilisations et de l'Unité Réunionnaise (MCUR)</w:t>
            </w:r>
          </w:p>
          <w:p>
            <w:pPr>
              <w:pStyle w:val="formtext"/>
              <w:snapToGrid w:val="false"/>
              <w:ind w:start="113" w:end="113"/>
              <w:jc w:val="both"/>
              <w:rPr/>
            </w:pPr>
            <w:r>
              <w:rPr>
                <w:lang w:val="fr-FR"/>
              </w:rPr>
              <w:t>Tel que précisé en rappel du présent rapport à la page 4, en mars 2010, lors du changement de mandature du Conseil Régional de La Réunion, il a été décidé de mettre un terme au projet de création de la MCUR, qui était porté depuis 2000 par la collectivité régionale.</w:t>
            </w:r>
          </w:p>
          <w:p>
            <w:pPr>
              <w:pStyle w:val="formtext"/>
              <w:snapToGrid w:val="false"/>
              <w:ind w:start="113" w:end="113"/>
              <w:jc w:val="both"/>
              <w:rPr>
                <w:lang w:val="fr-FR"/>
              </w:rPr>
            </w:pPr>
            <w:r>
              <w:rPr>
                <w:lang w:val="fr-FR"/>
              </w:rPr>
              <w:t>Coordonnées des institutions, associations et artistes du maloya</w:t>
            </w:r>
          </w:p>
          <w:p>
            <w:pPr>
              <w:pStyle w:val="formtext"/>
              <w:snapToGrid w:val="false"/>
              <w:spacing w:before="80" w:after="80"/>
              <w:ind w:start="113" w:end="113"/>
              <w:jc w:val="both"/>
              <w:rPr>
                <w:lang w:val="fr-FR"/>
              </w:rPr>
            </w:pPr>
            <w:r>
              <w:rPr>
                <w:lang w:val="fr-FR"/>
              </w:rPr>
              <w:t>Le listing et les coordonnées des institutions, associations et artistes qui œuvrent à l’étude, la connaissance, la transmission, la valorisation et la diffusion du maloya figurent dans un premier temps par ordre alphabétique puis par secteur géographique.La liste et les coordonnées des institutions, associations et artistes qui oeuvrent à l’étude, la connaissance, la transmission, la valorisation et la diffusion du maloya figurent en annexe.</w:t>
              <w:br/>
              <w:br/>
              <w:t>Le dossier de candidature du Maloya pour inscription sur la Liste représentative du patrimoine culturel immatériel de l’humanité a été constitué par la Maison des Civilisations et de l’Unité Réunionnaise (MCUR). L’étude, la transmission et la valorisation du patrimoine vivant réunionnais étaient au cœur du projet scientifique et culturel de la MCUR. En mars 2010, lors du changement de mandature du Conseil Régional de La Réunion, il a été décidé de mettre un terme au projet de création de la MCUR, qui était porté depuis 2000 par la collectivité régionale.</w:t>
              <w:br/>
              <w:t>Au cours des premiers mois de mandature, la collectivité entérine la création au sein de la Direction des Affaires Culturelles et Sportives (DACS) du Service du Patrimoine Culturel dont la mission est d’étudier, de transmettre et de valoriser le patrimoine culturel réunionnais qu’il soit matériel ou immatériel. La création de ce service dans les locaux qui abritait l’équipe de préfiguration de la MCUR a été effective le 15 janvier 2011. Aujourd’hui, la DACS et le Service du patrimoine culturel poursuivent et développent les actions réalisées par la collectivité régionale en faveur du maloya.</w:t>
              <w:br/>
              <w:br/>
              <w:t>Le présent formulaire a été renseigné sur la base des informations fournies par le Service du patrimoine culturel de la Région Réunion en concertation avec le PRMA.</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rPr/>
            </w:pPr>
            <w:r>
              <w:rPr/>
              <w:t>C.7.</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 à l’établissement du présent rapport</w:t>
            </w:r>
          </w:p>
          <w:p>
            <w:pPr>
              <w:pStyle w:val="Info2"/>
              <w:spacing w:before="0" w:after="120"/>
              <w:rPr>
                <w:lang w:val="fr-FR"/>
              </w:rPr>
            </w:pPr>
            <w:r>
              <w:rPr>
                <w:lang w:val="fr-FR"/>
              </w:rPr>
              <w:t>Décrivez les mesures qui ont été prises pour assurer la plus large participation possible des communautés, des groupes et, le cas échéant, des individus concernés pendant la préparation du présent rapport pour chaque élément concerné.</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 document relatif à la mise en oeuvre des mesures du plan de sauvegarde a été rédigé par les porteurs mêmes du dossier de candidature, les informations ont été recueillies et revues ensuite par le CFPCI et le Ministère de la culture.</w:t>
            </w:r>
          </w:p>
        </w:tc>
      </w:tr>
      <w:tr>
        <w:trPr/>
        <w:tc>
          <w:tcPr>
            <w:tcW w:w="780" w:type="dxa"/>
            <w:tcBorders>
              <w:top w:val="single" w:sz="4" w:space="0" w:color="000000"/>
              <w:start w:val="single" w:sz="4" w:space="0" w:color="000000"/>
              <w:bottom w:val="single" w:sz="4" w:space="0" w:color="000000"/>
            </w:tcBorders>
            <w:shd w:fill="CCCCCC" w:val="clear"/>
          </w:tcPr>
          <w:p>
            <w:pPr>
              <w:pStyle w:val="Grille02"/>
              <w:snapToGrid w:val="false"/>
              <w:spacing w:before="120" w:after="120"/>
              <w:jc w:val="end"/>
              <w:rPr/>
            </w:pPr>
            <w:r>
              <w:rPr/>
              <w:t>C.</w:t>
            </w:r>
          </w:p>
        </w:tc>
        <w:tc>
          <w:tcPr>
            <w:tcW w:w="9078" w:type="dxa"/>
            <w:tcBorders>
              <w:top w:val="single" w:sz="4" w:space="0" w:color="000000"/>
              <w:bottom w:val="single" w:sz="4" w:space="0" w:color="000000"/>
              <w:end w:val="single" w:sz="4" w:space="0" w:color="000000"/>
            </w:tcBorders>
            <w:shd w:fill="CCCCCC" w:val="clear"/>
          </w:tcPr>
          <w:p>
            <w:pPr>
              <w:pStyle w:val="Grille01"/>
              <w:snapToGrid w:val="false"/>
              <w:spacing w:before="120" w:after="120"/>
              <w:rPr>
                <w:rFonts w:eastAsia="SimSun;宋体" w:cs="Arial"/>
                <w:bCs/>
                <w:szCs w:val="22"/>
                <w:lang w:val="fr-FR"/>
              </w:rPr>
            </w:pPr>
            <w:r>
              <w:rPr>
                <w:rFonts w:eastAsia="SimSun;宋体" w:cs="Arial"/>
                <w:bCs/>
                <w:szCs w:val="22"/>
                <w:lang w:val="fr-FR"/>
              </w:rPr>
              <w:t>Statut des éléments inscrits sur la Liste représentative</w:t>
            </w:r>
          </w:p>
          <w:p>
            <w:pPr>
              <w:pStyle w:val="Info2"/>
              <w:rPr/>
            </w:pPr>
            <w:r>
              <w:rPr>
                <w:lang w:val="fr-FR"/>
              </w:rPr>
              <w:t xml:space="preserve">Veuillez fournir l’ensemble des informations demandées ci-après pour chacun des éléments du patrimoine culturel immatériel présents sur le territoire de l’État qui ont été inscrits sur la Liste représentative. Pour décrire l’état </w:t>
            </w:r>
            <w:r>
              <w:rPr>
                <w:b/>
                <w:bCs/>
                <w:lang w:val="fr-FR"/>
              </w:rPr>
              <w:t>actuel</w:t>
            </w:r>
            <w:r>
              <w:rPr>
                <w:lang w:val="fr-FR"/>
              </w:rPr>
              <w:t xml:space="preserve"> de l’élément, vous prendrez pour base le dossier de proposition d’inscription et ne rendez compte que des changements pertinents survenus depuis la date de l’inscription sur la Liste ou depuis le dernier rapport établi. Les dossiers de proposition d’inscription et les précédents rapports peuvent être consultés sur le Web (www.unesco.org/culture/ich) ou, sur demande, au Secrétariat.</w:t>
            </w:r>
          </w:p>
          <w:p>
            <w:pPr>
              <w:pStyle w:val="Info2"/>
              <w:keepNext w:val="true"/>
              <w:spacing w:lineRule="exact" w:line="260" w:before="0" w:after="120"/>
              <w:jc w:val="both"/>
              <w:rPr/>
            </w:pPr>
            <w:r>
              <w:rPr>
                <w:lang w:val="fr-FR"/>
              </w:rPr>
              <w:t>L’État partie s’efforce d’assurer la plus large participation possible des communautés, des groupes et, le cas échéant, des individus concernés au cours du processus de préparation de chaque rapport et il lui est demandé au point C.7 ci-après de décrire de quelle manière il y est parvenu.</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8" w:type="dxa"/>
            <w:tcBorders>
              <w:top w:val="single" w:sz="4" w:space="0" w:color="000000"/>
              <w:bottom w:val="single" w:sz="4" w:space="0" w:color="000000"/>
              <w:end w:val="single" w:sz="4" w:space="0" w:color="000000"/>
            </w:tcBorders>
          </w:tcPr>
          <w:p>
            <w:pPr>
              <w:pStyle w:val="Grille02"/>
              <w:snapToGrid w:val="false"/>
              <w:spacing w:before="120" w:after="120"/>
              <w:ind w:start="113" w:end="113"/>
              <w:rPr>
                <w:lang w:val="fr-FR"/>
              </w:rPr>
            </w:pPr>
            <w:r>
              <w:rPr>
                <w:lang w:val="fr-FR"/>
              </w:rPr>
              <w:t xml:space="preserve">Nom de l’élément : </w:t>
            </w:r>
            <w:r>
              <w:rPr>
                <w:b w:val="false"/>
                <w:bCs w:val="false"/>
                <w:lang w:val="fr-FR"/>
              </w:rPr>
              <w:t>Le compagnonnage, réseau de transmission des savoirs et des identités par le métier</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8" w:type="dxa"/>
            <w:tcBorders>
              <w:top w:val="single" w:sz="4" w:space="0" w:color="000000"/>
              <w:bottom w:val="single" w:sz="4" w:space="0" w:color="000000"/>
              <w:end w:val="single" w:sz="4" w:space="0" w:color="000000"/>
            </w:tcBorders>
          </w:tcPr>
          <w:p>
            <w:pPr>
              <w:pStyle w:val="Grille02"/>
              <w:snapToGrid w:val="false"/>
              <w:spacing w:before="120" w:after="120"/>
              <w:ind w:start="113" w:end="113"/>
              <w:rPr/>
            </w:pPr>
            <w:r>
              <w:rPr/>
              <w:t xml:space="preserve">Inscrit en : </w:t>
            </w:r>
            <w:r>
              <w:rPr>
                <w:b w:val="false"/>
              </w:rPr>
              <w:t>2010</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C.1.</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Fonctions sociales et culturelles</w:t>
            </w:r>
          </w:p>
          <w:p>
            <w:pPr>
              <w:pStyle w:val="Info2"/>
              <w:keepNext w:val="true"/>
              <w:spacing w:lineRule="exact" w:line="260" w:before="0" w:after="120"/>
              <w:jc w:val="both"/>
              <w:rPr/>
            </w:pPr>
            <w:r>
              <w:rPr>
                <w:iCs w:val="false"/>
                <w:lang w:val="fr-FR"/>
              </w:rPr>
              <w:t>Expliquez les fonctions et les significations sociales et culturelles de l’élément aujourd’hui, dans le groupe de population d’où il est originaire et pour ce groupe, les caractéristiques de ses gardiens et de ses praticiens et décrivez, entre autres, toute catégorie de personnes exerçant un rôle ou des responsabilités spécifiques vis-à-vis de l’élément. Il faut mentionner tout changement pertinent susceptible d’avoir des répercussions sur le critère d’inscription R.1 (« </w:t>
            </w:r>
            <w:r>
              <w:rPr>
                <w:lang w:val="fr-FR"/>
              </w:rPr>
              <w:t>L’élément est constitutif du patrimoine culturel immatériel tel que défini à l’article 2 de la Convention »).</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Le compagnonnage, représenté principalement par les trois fédérations que sont l’Association Ouvrière des Compagnons du Devoir du Tour de France (AOCDTF), la Fédération Compagnonnique des Métiers du Bâtiment des Compagnons des Devoirs du Tour de France (FCMB) et l’Union des Compagnons du Devoir Uni (UCDDU), constitue une manière singulière, tout à la fois chargée de traditions et ouverte aux évolutions techniques, de transmission des savoirs et des savoir-faire de métier dont on trouve les racines dans les fraternités artisanales du XIIIe siècle européen. </w:t>
              <w:br/>
              <w:br/>
              <w:t>Les praticiens</w:t>
              <w:br/>
              <w:br/>
              <w:t xml:space="preserve">Toute personne, âgée de 16 ans minimum, désireuse d’apprendre et/ou de se perfectionner dans un métier, peut prétendre intégrer un compagnonnage. Après une période d’observation et d’évaluation réciproques au sein des maisons du réseau propre à chaque communauté compagnonnique, l’individu est intégré et commence sa formation qui dure en moyenne 5 ans : c’est la période du « Tour de France ». Celle-ci consiste en une itinérance qui voit l’individu changer de ville régulièrement, en France et à l’international (tous les 6 mois ou tous les ans selon les corps de métier) afin de découvrir d’autres savoirs et d’autres manières de transmettre. Cette intégration est renforcée par un rituel d’initiation, qualifié généralement d’Adoption, qui permet l’attribution d’un nouveau surnom fondé sur l’origine géographique de l’individu (Limousin, Parisien, etc.) et d’attributs symboliques comme la couleur (ruban de soie coloré frappé de symboles). L’individu devient alors Aspirant. </w:t>
              <w:br/>
              <w:t>Extrêmement variable selon les communautés, la panoplie des métiers concernés par la formule compagnonnique couvre principalement cinq domaines : les métiers de la pierre (maçons, tailleurs de pierre, etc.), les métiers du bois (charpentiers, menuisiers, etc.), les métiers du métal (mécaniciens, forgerons, etc.), les métiers du cuir et des textiles (maroquiniers, tapissiers, etc.) et les métiers de bouche (cuisiniers, pâtissiers, etc.). A l’origine, cet artisanat n’occupait que des hommes. Aussi, l’élaboration de la formule compagnonnique, de ses rituels et de ses usages, s’est-elle longtemps imprégnée de cette culture masculine qui lui était traditionnelle. Mais l’évolution des conditions de travail et de la place faite aux femmes dans ces métiers d’une façon générale n’a pas été ignorée par les compagnons qui ont entamé depuis une trentaine d’années un processus d’ouverture à la mixité. Par exemple, depuis 2005, le titre de « Compagnon » peut être délivré aux femmes qui ont achevé leur Tour de France.</w:t>
              <w:br/>
              <w:t>Après un temps d’itinérance est donc franchi le second rite initiatique, la Réception, qui permet l’accès au statut de compagnon. Ce rituel, comme le précédent, se déroule sous le sceau du secret pour en préserver la magie et l’efficacité. Il est possible de décrire néanmoins son canevas général qui consiste en l’attribution du « surnom compagnonnique » (on ajoute une qualité au premier surnom : Parisien la Franchise par exemple), la remise d’une nouvelle couleur et de la canne du compagnon, le dévoilement de la Règle (qui est à la fois l’histoire, les coutumes et le règlement de la communauté). Selon les corps de métiers, des éléments tels qu’un voyage symbolique sont insérés dans le rituel qui peut s’étendre sur deux jours. Franchir ce rite d’initiation, en raison du secret et de la solennité qui l’entourent, constitue l’acte par lequel l’individu se sent indéfectiblement lié à sa communauté. L’on devient dès lors « compagnon pour la vie », ce qu’atteste bien l’existence de rites funéraires proprement compagnonniques.</w:t>
              <w:br/>
              <w:br/>
              <w:t>La transmission des savoirs entre les générations</w:t>
              <w:br/>
              <w:t>Mais cette étape reste suspendue au fait que l’individu qui se présente a fait la preuve de sa valeur dans le métier qu’il a choisi. Il doit pour cela réaliser un travail de très haute technicité nommé le « chef-d’œuvre », qui est examiné et jugé par les compagnons pour déterminer si le demandeur est digne ou non d’être « reçu ». L’exécution du « chef-d’œuvre » est une manière de montrer que la transmission du savoir a fonctionné et que l’on est désormais prêt à assumer également cette charge. Car l’un des principaux devoirs du compagnon est de « re-transmettre » aux plus jeunes ce qu’il a appris. On assiste véritablement au tissage d’un « lien de savoir » entre des individus de générations différentes au sein des communautés compagnonniques. Ce lien peut emprunter plusieurs voies. L’une d'elles est la transmission du métier, soit pratique dans des ateliers, soit théorique dans des salles de cours. Une autre prend le cadre des causeries, durant lesquelles un Ancien (compagnon qui a fini son Tour de France, est actif ou retraité) évoque par des récits (mythes et légendes compagnonniques par exemple) et par l’explicitation de symboles (l’équerre et le compas entrelacés, la ruche, la tour de Babel, etc.) l’histoire et l’identité collectives.</w:t>
              <w:br/>
              <w:br/>
              <w:t>L’élaboration d’une identité collective</w:t>
              <w:br/>
              <w:br/>
              <w:t>Cet ensemble de pratiques qui fondent le puissant sentiment d’identité et de continuité des compagnons est porté par une organisation sociale qui leur permet de se déployer. Les « gens de savoir » se donnent à voir dans un système hiérarchique des statuts (stagiaire/jeune, aspirant, compagnon reçu, compagnon fini dans certains cas) et des fonctions comme celle du responsable de la coutume, le Rôleur (nom venant de l’ancien terme désignant la Règle compagnonnique, le « Rôle »), ou celle du responsable d’une maison, le Prévôt ou Premier en ville. L’efficacité des liens noués entre les individus est encore renforcée par leur dimension affective. La maison compagnonnique se veut une famille que coordonne et qu’incarne une figure féminine importante, la Mère, que les compagnons ont initiée. L’unité autour de ce personnage se manifeste particulièrement dans le cadre des fêtes patronales (où est célébré le saint patron du métier) par le rituel de la chaîne d’alliance qui voit les compagnons, se tenant par les bras croisés sur le torse, encercler la Mère et tourner autour d’elle en chantant Les Fils de la Vierge, un chant du répertoire compagnonnique traditionnel.</w:t>
              <w:br/>
              <w:t>Enfin, l’existence de termes tels que « civils » ou « profanes » pour désigner les personnes extérieures au compagnonnage témoigne bien de ce profond attachement des compagnons à une identité collective distinctive.</w:t>
              <w:b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C.2.</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pPr>
            <w:r>
              <w:rPr>
                <w:lang w:val="fr-FR"/>
              </w:rPr>
              <w:t>Analyse de la viabilité de l’élément et risques auxquels il est actuellement exposé</w:t>
            </w:r>
          </w:p>
          <w:p>
            <w:pPr>
              <w:pStyle w:val="Info2"/>
              <w:keepNext w:val="true"/>
              <w:spacing w:lineRule="exact" w:line="260" w:before="0" w:after="120"/>
              <w:jc w:val="both"/>
              <w:rPr/>
            </w:pPr>
            <w:r>
              <w:rPr>
                <w:bCs/>
                <w:iCs w:val="false"/>
                <w:lang w:val="fr-FR"/>
              </w:rPr>
              <w:t>Décrivez le degré de viabilité actuelle de l’élément, en particulier la fréquence et l’étendue de sa pratique, la force des modes de transmission traditionnels, la composition démographique des praticiens et des publics et sa durabilité. Veuillez aussi identifier et décrire les facteurs qui, le cas échéant, constituent une menace pour la pérennité de la transmission et de la représentation de l’élément et indiquez le degré de gravité et de proximité de tels facteurs.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La communauté compte des praticiens de tous âges (de 16 à 80 ans) puisque le compagnonnage concerne à la fois des apprentis qui entrent dans le réseau compagnonnique et des compagnons sédentaires qui continuent de manifester leur attachement à la société compagnonnique en participant aux activités collectives et en transmettant leurs connaissances. </w:t>
              <w:br/>
              <w:br/>
              <w:t xml:space="preserve">Selon une étude initiée par les trois fédérations à l’occasion de la candidature pour la Liste représentative du PCI et poursuivie après l'inscription, les effectifs des compagnons sont aujourd’hui en légère hausse. En 2010, près de 10 000 hommes et femmes étaient concernés directement, à divers titres, par le compagnonnage. Au sens large, ce sont près de 45 000 individus qui sont ou ont été concernés par la formule du compagnonnage - un quart formant le noyau des membres actifs et permanents. Le reste est composé des personnes qui ont pu bénéficier pour un temps plus ou moins long de la transmission de savoirs chez les compagnons, dans le cadre de l’apprentissage, de l’enseignement professionnel ou de la formation continue. </w:t>
              <w:br/>
              <w:br/>
              <w:t>L’ensemble de ces individus est distribué en trois groupes compagnonniques d’organisation et de sensibilité différentes :</w:t>
              <w:br/>
              <w:t>-l’Association ouvrière des Compagnons du Devoir du Tour de France (AOCDTF) qui compte près de 5 200 membres actifs de statuts et d’engagements très variables, auxquels on peut associer 20 000 individus ayant eu une expérience compagnonnique à leurs côtés ;</w:t>
              <w:br/>
              <w:t>-la Fédération Compagnonnique des Métiers du Bâtiment des Compagnons des Devoirs du Tour de France (FCMB) qui compte quelques 3 350 membres, également divers, auxquels s’ajoutent, dans une perspective plus large, 10 000 personnes formées par an ;</w:t>
              <w:br/>
              <w:t>-l’Union Compagnonnique des Devoirs Unis (UCDDU) regroupant, selon la perspective envisagée, de 1 200 à 5000 individus.</w:t>
              <w:br/>
              <w:t>S'il est trop tôt pour tirer des conclusions significatives sur l’incidence de l'inscription de l'élément au PCI de l'humanité, on peut noter cependant une progression significative des effectifs (12,7%) dans le domaine de l'apprentissage.</w:t>
              <w:br/>
              <w:t>L'élément inscrit concerne de très nombreux métiers au sein des trois mouvements compagnonnique : si certains corps de métiers voient une croissance régulière de leurs effectifs, d’autres en revanche sont fragilisés par divers paramètres économiques (ouverture mondiale des marchés et évolution des pratiques notamment).</w:t>
              <w:br/>
              <w:t>Par ailleurs, il est indispensable de veiller à maintenir l'ethique et le niveau d’exigence de la formation compagnonnique qui font du mouvement une école particulière et sa raison d'être : inviter chacun à développer au maximum son potentiel humain et professionnel.</w:t>
              <w:b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C.3.</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Contribution aux buts de la Liste</w:t>
            </w:r>
          </w:p>
          <w:p>
            <w:pPr>
              <w:pStyle w:val="Info2"/>
              <w:keepNext w:val="true"/>
              <w:spacing w:lineRule="exact" w:line="260" w:before="0" w:after="120"/>
              <w:jc w:val="both"/>
              <w:rPr/>
            </w:pPr>
            <w:r>
              <w:rPr>
                <w:lang w:val="fr-FR"/>
              </w:rPr>
              <w:t>Expliquez de quelle manière l’inscription de l’élément sur la Liste a contribué à assurer la visibilité du patrimoine culturel matériel et à sensibiliser les populations au niveau local, national et international, à son importance, mais aussi à promouvoir le respect de la diversité culturelle, de la créativité humaine et du respect mutuel auprès de communautés, de groupes et d’individus.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 compagnonnage, fondé sur la transmission des savoir-faire et des identités par le métier, est porteur de valeurs fortes qui en font un élément emplématique du PCI tel que défini par la Convention pour la sauvegarde du patrimoine culturel immatériel.</w:t>
              <w:br/>
              <w:t xml:space="preserve">Le compagnonnage réunit des hommes et des femmes d'une grande mixité culturelle, sociale, politique et religieuse, qui sont unis dans leurs actions par le devoir de transmettre. </w:t>
              <w:br/>
              <w:br/>
              <w:t xml:space="preserve">L’inscription du compagnonnage sur la Liste représentative a été relayée par l’ensemble de la presse spécialisée dans l’artisanat, les métiers d’art, les métiers du bâtiment etc., ce qui a largement contribué à faire connaître non pas le compagnonnage qui était déjà très familier dans ces milieux, mais la notion de patrimoine culturel immatériel. Chacun des groupements compagnonniques a également affiché sur son site Internet la mention de l’inscription sur la Liste, contribuant à assurer la visibilité du patrimoine culturel immatériel et à sensibiliser les populations au niveau local, national et international. </w:t>
              <w:br/>
              <w:br/>
              <w:t>Les contacts avec les médias se font de préférence au niveau régional, mais aussi à l'échelle nationale voire internationale ; ils sont nombreux et couvrent les principales manifestations organisées par les compagnons (fêtes corporatives, colloques, conférences, expositions, salons, portes ouvertes...), soit depuis novembre 2010 : près de 1 700 articles de presses, 120 reportage radio et 90 reportages télévision.</w:t>
              <w:br/>
              <w:t xml:space="preserve">A titre indicatif, la liste ci-dessous (non exhaustive) mentionne les principales actions au cours desquelles l'inscription du compagnonage a été ou est valorisée, permettant ainsi de faire connaître la notion de PCI : </w:t>
              <w:br/>
              <w:t>- Colloque « Une grande école pour les hommes, une grande école pour les métiers »  dans le cadre du Salon européen de l’éducation (24-27 novembre 2011) </w:t>
              <w:br/>
              <w:t>- « Journées portes ouvertes » trois fois par an dans plus de 70 Maisons et/ou Centres de formation des Compagnons </w:t>
              <w:br/>
              <w:t>- Participation à 75 salons sur l'orientation destinés aux scolaires et aux étudiants </w:t>
              <w:br/>
              <w:t>- Accueil hebdomadaire dans les maisons de jeunes des collèges et lycées d'enseignement général et professionnel pour une information sur le compagnonnage et ses formations</w:t>
              <w:br/>
              <w:t>- Accueils d'élèves dans le cadre des opérations « Découvertes des métiers », par convention avec les établissements scolaires </w:t>
              <w:br/>
              <w:t>- Plus de 1 400 interventions dans les écoles</w:t>
              <w:br/>
              <w:t>- Plus de 100 expositions temporaires </w:t>
              <w:br/>
              <w:t>- Participation annuelle à la Nuit des Musées </w:t>
              <w:br/>
              <w:t>- Participation annuelle aux Journées du patrimoine </w:t>
              <w:br/>
              <w:t>- Interventions régulières dans des colloques organisés par des institutions (Conseils économiques et sociaux, conseils régionaux, INSEP, Universités...) ou de grands groupes (Banques, Axway, Eiffage...)</w:t>
              <w:br/>
              <w:br/>
              <w:t>Cependant des freins à cette visibilité ont été constatés :</w:t>
              <w:br/>
              <w:br/>
              <w:t>- L’intérêt des médias s’est focalisé sur un autre élément inscrit simultanément en 2010 : « Le repas gastronomique des Français », événement fortement récupéré par les groupements professionnels du secteur et très largement médiatisé</w:t>
              <w:br/>
              <w:t>- Le fait de n'avoir reçu à ce jour aucune notification officielle de cette inscription de la part de l’Unesco et/ou de l'Etat français, ce qui renforcerait encore au sein des communautés l’importance de cette inscription</w:t>
              <w:br/>
              <w:t xml:space="preserve">- Le fait de ne pouvoir utiliser librement l'emblème de la Convention dans les outils de communication des sociétés compagnonniques. </w:t>
              <w:b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C.4.</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Efforts pour promouvoir ou renforcer l’élément</w:t>
            </w:r>
          </w:p>
          <w:p>
            <w:pPr>
              <w:pStyle w:val="Info2"/>
              <w:keepNext w:val="true"/>
              <w:spacing w:lineRule="exact" w:line="260" w:before="0" w:after="120"/>
              <w:jc w:val="both"/>
              <w:rPr/>
            </w:pPr>
            <w:r>
              <w:rPr>
                <w:lang w:val="fr-FR"/>
              </w:rPr>
              <w:t>Décrivez les mesures qui ont été prises aux fins de la promotion et du renforcement de l’élément, en donnant le détail de toutes celles qui se sont révélées nécessaires en conséquence de son inscription.</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En dehors des mesures prises par les communautés elles-mêmes et décrites en C.5, diverses actions contribuent à promouvoir et renforcer le compagnonnage.</w:t>
              <w:br/>
              <w:t>Un site Internet dédié à la connaissance du compagnonnage va être ouvert sur le portail des « Recherches ethnologiques » du ministère de la Culture et de la Communication. Les réunions de cadrage et de mise en place du projet se tiennnent à l’automne 2012.</w:t>
              <w:br/>
              <w:br/>
              <w:t>Dans le cadre d’un appel à projets sur les « Métiers du patrimoine », le ministère de la Culture a financé une étude sur les musées de compagnonnage, en cours d’achèvement, par Nicolas Adell (maître de conférences à l’université de Toulouse II – Le Mirail).</w:t>
              <w:br/>
              <w:t>Le ministère participe également au financement d’un projet de publication intitulé « Vies de compagnons », à paraître en deux volumes aux éditions du Garae (Carcassonne).</w:t>
              <w:br/>
              <w:t>Au chapitre des publications, on peut aussi mentionner l'ouvrage édité par « L’Ecole des loisirs » et réalisé à partir de témoignages de jeunes compagnons, afin d'inciter les jeunes à vivre une expérience compagnonnique (à paraître en février 2013). François Icher, l'un des historiens de référence du compagnonnage, a également publié un nouvel ouvrage : Les compagnons du Tour de France, La Martinière, 2010.</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C.5.</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w:t>
            </w:r>
          </w:p>
          <w:p>
            <w:pPr>
              <w:pStyle w:val="Info2"/>
              <w:keepNext w:val="true"/>
              <w:spacing w:lineRule="exact" w:line="260" w:before="0" w:after="120"/>
              <w:jc w:val="both"/>
              <w:rPr/>
            </w:pPr>
            <w:r>
              <w:rPr>
                <w:rFonts w:eastAsia="SimSun;宋体"/>
                <w:lang w:val="fr-FR"/>
              </w:rPr>
              <w:t>Décrivez la participation des communautés, des groupes et des individus à la sauvegarde de l’élément et indiquez s’ils ont la volonté de continuer à le sauvegarder.</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Pour les compagnons, la question des efforts de sauvegarde ne se pose pas en terme de choix mais de devoir. </w:t>
              <w:br/>
              <w:t xml:space="preserve">Il est important de tenir compte des changements d'exigences (de formation, du travail, des familles...) pour sauvegarder efficacement la transmission des savoir-faire. Le compagnonnage doit surtout agir pour que les formations aux métiers techniques devienne une orientation à part entière et non plus une orientation par défaut. La sauvegarde passe d’abord par la construction de passerelles qui le fassent connaître par l’ensemble des institutions de formation. </w:t>
              <w:br/>
              <w:t>Action de sauvegarde et de valorisation</w:t>
              <w:br/>
              <w:br/>
              <w:t>1 – Formation</w:t>
              <w:br/>
              <w:t>- Ouverture d’un centre de formation aux métiers de bouche </w:t>
              <w:br/>
              <w:t>- Ouverture d’un lycée professionnel à vocation européenne</w:t>
              <w:br/>
              <w:t xml:space="preserve">- Lancement de la Grande Ecole des Hommes de métiers en Compagnonnage (septembre 2011), formation de niveau Bac + 3, qui sera présente partout en France </w:t>
              <w:br/>
              <w:t>- Mise en place d’une licence professionnelle en partenariat avec le Conservatoire National des Arts et Métiers</w:t>
              <w:br/>
              <w:t>- Mise en place d’une licence européenne en collaboration avec l'Université de Limoges, La Fondation Gaudï de Barcelone et la Scola Edile de Florence</w:t>
              <w:br/>
              <w:t>- Ouverture du Compagnonnage à de nouveaux métiers : soliers, vignerons…</w:t>
              <w:br/>
              <w:t>- Développement d’un observatoire des métiers, « Le Devenir des métiers », destiné à adapter la formation professionnelle à l’évolution des techniques et des marchés mondiaux.</w:t>
              <w:br/>
              <w:br/>
              <w:t xml:space="preserve">2 - Promotion </w:t>
              <w:br/>
              <w:t>- Les manifestations décrites en C3 et pratiquées par tous les groupements relèvent de cette volonté de valorisation (journées portes ouvertes, participation à des colloques...)</w:t>
              <w:br/>
              <w:t>- Participation à la création et à la mise à jour de l'information sur des sites internet consacrés à l’orientation, la formation et les métiers</w:t>
              <w:br/>
              <w:t>- Publication (réalisée ou à venir) pour chacun des trois mouvements d’un beau livre dans le but de sauvegarder et de transmettre la mémoire de leurs institutions respectives.</w:t>
              <w:b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C.6.</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Contexte institutionnel</w:t>
            </w:r>
          </w:p>
          <w:p>
            <w:pPr>
              <w:pStyle w:val="Info2"/>
              <w:rPr>
                <w:lang w:val="fr-FR"/>
              </w:rPr>
            </w:pPr>
            <w:r>
              <w:rPr>
                <w:lang w:val="fr-FR"/>
              </w:rPr>
              <w:t>Informations concernant le contexte institutionnel de l’élément inscrit sur la Liste représentative, y compris :</w:t>
            </w:r>
          </w:p>
          <w:p>
            <w:pPr>
              <w:pStyle w:val="Info2"/>
              <w:numPr>
                <w:ilvl w:val="0"/>
                <w:numId w:val="8"/>
              </w:numPr>
              <w:tabs>
                <w:tab w:val="clear" w:pos="567"/>
                <w:tab w:val="left" w:pos="377" w:leader="none"/>
                <w:tab w:val="left" w:pos="1134" w:leader="none"/>
                <w:tab w:val="left" w:pos="1701" w:leader="none"/>
                <w:tab w:val="left" w:pos="2268" w:leader="none"/>
              </w:tabs>
              <w:ind w:hanging="360" w:start="377" w:end="0"/>
              <w:rPr>
                <w:lang w:val="fr-FR"/>
              </w:rPr>
            </w:pPr>
            <w:r>
              <w:rPr>
                <w:lang w:val="fr-FR"/>
              </w:rPr>
              <w:t>le ou les organisme(s) compétent(s) impliqué(s) dans sa gestion et/ou sa sauvegarde ;</w:t>
            </w:r>
          </w:p>
          <w:p>
            <w:pPr>
              <w:pStyle w:val="Info2"/>
              <w:numPr>
                <w:ilvl w:val="0"/>
                <w:numId w:val="8"/>
              </w:numPr>
              <w:tabs>
                <w:tab w:val="clear" w:pos="567"/>
                <w:tab w:val="left" w:pos="377" w:leader="none"/>
                <w:tab w:val="left" w:pos="1134" w:leader="none"/>
                <w:tab w:val="left" w:pos="1701" w:leader="none"/>
                <w:tab w:val="left" w:pos="2268" w:leader="none"/>
              </w:tabs>
              <w:spacing w:before="0" w:after="120"/>
              <w:ind w:hanging="360" w:start="377" w:end="0"/>
              <w:rPr>
                <w:lang w:val="fr-FR"/>
              </w:rPr>
            </w:pPr>
            <w:r>
              <w:rPr>
                <w:lang w:val="fr-FR"/>
              </w:rPr>
              <w:t>la ou les organisation(s) de la communauté ou du groupe concernée(s) par l’élément et sa sauvegarde.</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rFonts w:eastAsia="ArialMT;Arial" w:cs="ArialMT;Arial"/>
                <w:color w:val="1A1A1A"/>
                <w:lang w:val="fr-FR"/>
              </w:rPr>
              <w:t>Les trois mouvements compagonniques organisés en fédérations : l'Association Ouvrière des Compagnons du Devoir du Tour de France (AOCDTF)</w:t>
            </w:r>
            <w:r>
              <w:rPr>
                <w:lang w:val="fr-FR"/>
              </w:rPr>
              <w:t>, la Fédération Compagnonnique des Métiers du Bâtiment des Compagnons des Devoirs du Tour de France</w:t>
            </w:r>
            <w:r>
              <w:rPr>
                <w:rFonts w:eastAsia="ArialMT;Arial" w:cs="ArialMT;Arial"/>
                <w:color w:val="1A1A1A"/>
                <w:lang w:val="fr-FR"/>
              </w:rPr>
              <w:t xml:space="preserve"> (</w:t>
            </w:r>
            <w:r>
              <w:rPr>
                <w:lang w:val="fr-FR"/>
              </w:rPr>
              <w:t>FCMB) et l’Union des Compagnons du Devoir Uni (UCDDU)</w:t>
            </w:r>
          </w:p>
          <w:p>
            <w:pPr>
              <w:pStyle w:val="Normal"/>
              <w:ind w:start="164" w:end="0"/>
              <w:jc w:val="both"/>
              <w:rPr/>
            </w:pPr>
            <w:r>
              <w:rPr>
                <w:rFonts w:eastAsia="ArialMT;Arial" w:cs="ArialMT;Arial"/>
                <w:color w:val="1A1A1A"/>
                <w:sz w:val="22"/>
                <w:szCs w:val="22"/>
                <w:lang w:val="fr-FR"/>
              </w:rPr>
              <w:t>Ces mouvements compagnonniques travaillent avec les acteurs institutionnels de l’éducation et de la formation, tels le ministère de l’Education nationale, le ministère du Travail, de l’Emploi et de la Formation professionnelle, les représentants des organismes professionnels, le Service civique, les Conseils</w:t>
            </w:r>
            <w:r>
              <w:rPr>
                <w:sz w:val="22"/>
                <w:szCs w:val="22"/>
                <w:lang w:val="fr-FR"/>
              </w:rPr>
              <w:t xml:space="preserve"> régionaux, l’association l'Outil en main, les Maisons familiales et rurales, etc.</w:t>
            </w:r>
          </w:p>
          <w:p>
            <w:pPr>
              <w:pStyle w:val="formtext"/>
              <w:snapToGrid w:val="false"/>
              <w:spacing w:before="80" w:after="80"/>
              <w:ind w:start="113" w:end="113"/>
              <w:jc w:val="both"/>
              <w:rPr/>
            </w:pPr>
            <w:r>
              <w:rPr>
                <w:color w:val="000000"/>
                <w:lang w:val="fr-FR"/>
              </w:rPr>
              <w:t>Le présent formulaire a été rédigé sur la base des informations fournies de façon concertée par les trois mouvements compagonniques : AOCDTF, FCBM et UCDDU.</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C.7.</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 à l’établissement du présent rapport</w:t>
            </w:r>
          </w:p>
          <w:p>
            <w:pPr>
              <w:pStyle w:val="Info2"/>
              <w:spacing w:before="0" w:after="120"/>
              <w:rPr>
                <w:lang w:val="fr-FR"/>
              </w:rPr>
            </w:pPr>
            <w:r>
              <w:rPr>
                <w:lang w:val="fr-FR"/>
              </w:rPr>
              <w:t>Décrivez les mesures qui ont été prises pour assurer la plus large participation possible des communautés, des groupes et, le cas échéant, des individus concernés pendant la préparation du présent rapport pour chaque élément concerné.</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rPr/>
            </w:pPr>
            <w:r>
              <w:rPr>
                <w:lang w:val="fr-FR"/>
              </w:rPr>
              <w:t>Le document relatif à la mise en œuvre des mesures du plan de sauvegarde a été rédigé par les porteurs mêmes du dossier de candidature, les informations ont été recueillies et revues ensuite par le CFPCI et le Ministère de la culture.</w:t>
            </w:r>
          </w:p>
        </w:tc>
      </w:tr>
    </w:tbl>
    <w:p>
      <w:pPr>
        <w:pStyle w:val="Inter1"/>
        <w:spacing w:lineRule="exact" w:line="280" w:before="120" w:after="360"/>
        <w:jc w:val="center"/>
        <w:rPr>
          <w:lang w:val="fr-FR"/>
        </w:rPr>
      </w:pPr>
      <w:r>
        <w:br w:type="page"/>
      </w:r>
      <w:r>
        <w:rPr>
          <w:lang w:val="fr-FR"/>
        </w:rPr>
      </w:r>
    </w:p>
    <w:tbl>
      <w:tblPr>
        <w:tblW w:w="9858" w:type="dxa"/>
        <w:jc w:val="start"/>
        <w:tblInd w:w="-164" w:type="dxa"/>
        <w:tblLayout w:type="fixed"/>
        <w:tblCellMar>
          <w:top w:w="0" w:type="dxa"/>
          <w:start w:w="0" w:type="dxa"/>
          <w:bottom w:w="0" w:type="dxa"/>
          <w:end w:w="0" w:type="dxa"/>
        </w:tblCellMar>
      </w:tblPr>
      <w:tblGrid>
        <w:gridCol w:w="780"/>
        <w:gridCol w:w="9078"/>
      </w:tblGrid>
      <w:tr>
        <w:trPr/>
        <w:tc>
          <w:tcPr>
            <w:tcW w:w="780" w:type="dxa"/>
            <w:tcBorders>
              <w:top w:val="single" w:sz="4" w:space="0" w:color="000000"/>
              <w:start w:val="single" w:sz="4" w:space="0" w:color="000000"/>
              <w:bottom w:val="single" w:sz="4" w:space="0" w:color="000000"/>
            </w:tcBorders>
            <w:shd w:fill="CCCCCC" w:val="clear"/>
          </w:tcPr>
          <w:p>
            <w:pPr>
              <w:pStyle w:val="Grille02"/>
              <w:snapToGrid w:val="false"/>
              <w:spacing w:before="120" w:after="120"/>
              <w:jc w:val="end"/>
              <w:rPr/>
            </w:pPr>
            <w:r>
              <w:rPr/>
              <w:t>C.</w:t>
            </w:r>
          </w:p>
        </w:tc>
        <w:tc>
          <w:tcPr>
            <w:tcW w:w="9078" w:type="dxa"/>
            <w:tcBorders>
              <w:top w:val="single" w:sz="4" w:space="0" w:color="000000"/>
              <w:bottom w:val="single" w:sz="4" w:space="0" w:color="000000"/>
              <w:end w:val="single" w:sz="4" w:space="0" w:color="000000"/>
            </w:tcBorders>
            <w:shd w:fill="CCCCCC" w:val="clear"/>
          </w:tcPr>
          <w:p>
            <w:pPr>
              <w:pStyle w:val="Grille01"/>
              <w:snapToGrid w:val="false"/>
              <w:spacing w:before="120" w:after="120"/>
              <w:rPr>
                <w:rFonts w:eastAsia="SimSun;宋体" w:cs="Arial"/>
                <w:bCs/>
                <w:szCs w:val="22"/>
                <w:lang w:val="fr-FR"/>
              </w:rPr>
            </w:pPr>
            <w:r>
              <w:rPr>
                <w:rFonts w:eastAsia="SimSun;宋体" w:cs="Arial"/>
                <w:bCs/>
                <w:szCs w:val="22"/>
                <w:lang w:val="fr-FR"/>
              </w:rPr>
              <w:t>Statut des éléments inscrits sur la Liste représentative</w:t>
            </w:r>
          </w:p>
          <w:p>
            <w:pPr>
              <w:pStyle w:val="Info2"/>
              <w:rPr/>
            </w:pPr>
            <w:r>
              <w:rPr>
                <w:lang w:val="fr-FR"/>
              </w:rPr>
              <w:t xml:space="preserve">Veuillez fournir l’ensemble des informations demandées ci-après pour chacun des éléments du patrimoine culturel immatériel présents sur le territoire de l’État qui ont été inscrits sur la Liste représentative. Pour décrire l’état </w:t>
            </w:r>
            <w:r>
              <w:rPr>
                <w:b/>
                <w:bCs/>
                <w:lang w:val="fr-FR"/>
              </w:rPr>
              <w:t>actuel</w:t>
            </w:r>
            <w:r>
              <w:rPr>
                <w:lang w:val="fr-FR"/>
              </w:rPr>
              <w:t xml:space="preserve"> de l’élément, vous prendrez pour base le dossier de proposition d’inscription et ne rendez compte que des changements pertinents survenus depuis la date de l’inscription sur la Liste ou depuis le dernier rapport établi. Les dossiers de proposition d’inscription et les précédents rapports peuvent être consultés sur le Web (www.unesco.org/culture/ich) ou, sur demande, au Secrétariat.</w:t>
            </w:r>
          </w:p>
          <w:p>
            <w:pPr>
              <w:pStyle w:val="Info2"/>
              <w:keepNext w:val="true"/>
              <w:spacing w:lineRule="exact" w:line="260" w:before="0" w:after="120"/>
              <w:jc w:val="both"/>
              <w:rPr/>
            </w:pPr>
            <w:r>
              <w:rPr>
                <w:lang w:val="fr-FR"/>
              </w:rPr>
              <w:t>L’État partie s’efforce d’assurer la plus large participation possible des communautés, des groupes et, le cas échéant, des individus concernés au cours du processus de préparation de chaque rapport et il lui est demandé au point C.7 ci-après de décrire de quelle manière il y est parvenu.</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8" w:type="dxa"/>
            <w:tcBorders>
              <w:top w:val="single" w:sz="4" w:space="0" w:color="000000"/>
              <w:bottom w:val="single" w:sz="4" w:space="0" w:color="000000"/>
              <w:end w:val="single" w:sz="4" w:space="0" w:color="000000"/>
            </w:tcBorders>
          </w:tcPr>
          <w:p>
            <w:pPr>
              <w:pStyle w:val="Grille02"/>
              <w:snapToGrid w:val="false"/>
              <w:spacing w:before="120" w:after="120"/>
              <w:ind w:start="113" w:end="113"/>
              <w:rPr/>
            </w:pPr>
            <w:r>
              <w:rPr>
                <w:lang w:val="fr-FR"/>
              </w:rPr>
              <w:t xml:space="preserve">Nom de l’élément : </w:t>
            </w:r>
            <w:r>
              <w:rPr>
                <w:b w:val="false"/>
                <w:bCs w:val="false"/>
                <w:lang w:val="fr-FR"/>
              </w:rPr>
              <w:t>La tapisserie d’Aubusson</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b w:val="false"/>
                <w:bCs w:val="false"/>
                <w:lang w:val="fr-FR"/>
              </w:rPr>
            </w:pPr>
            <w:r>
              <w:rPr>
                <w:b w:val="false"/>
                <w:bCs w:val="false"/>
                <w:lang w:val="fr-FR"/>
              </w:rPr>
            </w:r>
          </w:p>
        </w:tc>
        <w:tc>
          <w:tcPr>
            <w:tcW w:w="9078" w:type="dxa"/>
            <w:tcBorders>
              <w:top w:val="single" w:sz="4" w:space="0" w:color="000000"/>
              <w:bottom w:val="single" w:sz="4" w:space="0" w:color="000000"/>
              <w:end w:val="single" w:sz="4" w:space="0" w:color="000000"/>
            </w:tcBorders>
          </w:tcPr>
          <w:p>
            <w:pPr>
              <w:pStyle w:val="Grille02"/>
              <w:snapToGrid w:val="false"/>
              <w:spacing w:before="120" w:after="120"/>
              <w:ind w:start="113" w:end="113"/>
              <w:rPr/>
            </w:pPr>
            <w:r>
              <w:rPr/>
              <w:t xml:space="preserve">Inscrit en : </w:t>
            </w:r>
            <w:r>
              <w:rPr>
                <w:b w:val="false"/>
              </w:rPr>
              <w:t>2009</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C.1.</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Fonctions sociales et culturelles</w:t>
            </w:r>
          </w:p>
          <w:p>
            <w:pPr>
              <w:pStyle w:val="Info2"/>
              <w:keepNext w:val="true"/>
              <w:spacing w:lineRule="exact" w:line="260" w:before="0" w:after="120"/>
              <w:jc w:val="both"/>
              <w:rPr/>
            </w:pPr>
            <w:r>
              <w:rPr>
                <w:iCs w:val="false"/>
                <w:lang w:val="fr-FR"/>
              </w:rPr>
              <w:t>Expliquez les fonctions et les significations sociales et culturelles de l’élément aujourd’hui, dans le groupe de population d’où il est originaire et pour ce groupe, les caractéristiques de ses gardiens et de ses praticiens et décrivez, entre autres, toute catégorie de personnes exerçant un rôle ou des responsabilités spécifiques vis-à-vis de l’élément. Il faut mentionner tout changement pertinent susceptible d’avoir des répercussions sur le critère d’inscription R.1 (« </w:t>
            </w:r>
            <w:r>
              <w:rPr>
                <w:lang w:val="fr-FR"/>
              </w:rPr>
              <w:t>L’élément est constitutif du patrimoine culturel immatériel tel que défini à l’article 2 de la Convention »).</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rFonts w:cs="Arial"/>
                <w:lang w:val="fr-FR"/>
              </w:rPr>
              <w:t xml:space="preserve">La production de tapisseries à Aubusson et à Felletin fait fonctionner deux PME </w:t>
            </w:r>
            <w:r>
              <w:rPr>
                <w:rFonts w:cs="Arial"/>
                <w:color w:val="000000"/>
                <w:lang w:val="fr-FR"/>
              </w:rPr>
              <w:t>(petites et moyennes entreprises)</w:t>
            </w:r>
            <w:r>
              <w:rPr>
                <w:rFonts w:cs="Arial"/>
                <w:lang w:val="fr-FR"/>
              </w:rPr>
              <w:t xml:space="preserve"> et une demi-douzaine d’artisans lissiers indépendants, maintenant vivante une tradition pluriséculaire qui induit des activités connexes significatives (deux filatures, deux teintureries, quatre restaurateurs de textiles anciens) ainsi que des activités annexes importantes (stages, commerce, tourisme, produits dérivés, musée, expositions, etc.).</w:t>
            </w:r>
          </w:p>
          <w:p>
            <w:pPr>
              <w:pStyle w:val="formtext"/>
              <w:snapToGrid w:val="false"/>
              <w:spacing w:before="0" w:after="0"/>
              <w:ind w:start="113" w:end="113"/>
              <w:jc w:val="both"/>
              <w:rPr>
                <w:rFonts w:cs="Arial"/>
                <w:color w:val="000000"/>
                <w:lang w:val="fr-FR"/>
              </w:rPr>
            </w:pPr>
            <w:r>
              <w:rPr>
                <w:rFonts w:cs="Arial"/>
                <w:color w:val="000000"/>
                <w:lang w:val="fr-FR"/>
              </w:rPr>
              <w:t>La communauté professionnelle se compose précisément de :</w:t>
            </w:r>
          </w:p>
          <w:p>
            <w:pPr>
              <w:pStyle w:val="formtext"/>
              <w:snapToGrid w:val="false"/>
              <w:spacing w:before="0" w:after="0"/>
              <w:ind w:start="113" w:end="113"/>
              <w:jc w:val="both"/>
              <w:rPr>
                <w:rFonts w:cs="Arial"/>
                <w:color w:val="000000"/>
                <w:lang w:val="fr-FR"/>
              </w:rPr>
            </w:pPr>
            <w:r>
              <w:rPr>
                <w:rFonts w:cs="Arial"/>
                <w:color w:val="000000"/>
                <w:lang w:val="fr-FR"/>
              </w:rPr>
              <w:t>- Atelier Bernard Battu, 2 personnes, Dirigeant : 1 homme,</w:t>
            </w:r>
          </w:p>
          <w:p>
            <w:pPr>
              <w:pStyle w:val="formtext"/>
              <w:snapToGrid w:val="false"/>
              <w:spacing w:before="0" w:after="0"/>
              <w:ind w:start="113" w:end="113"/>
              <w:jc w:val="both"/>
              <w:rPr>
                <w:rFonts w:cs="Arial"/>
                <w:color w:val="000000"/>
                <w:lang w:val="fr-FR"/>
              </w:rPr>
            </w:pPr>
            <w:r>
              <w:rPr>
                <w:rFonts w:cs="Arial"/>
                <w:color w:val="000000"/>
                <w:lang w:val="fr-FR"/>
              </w:rPr>
              <w:t>- Atelier Patrick Guillot, 2 personnes, dirigeant : 1 homme, (Président du Syndicat des lissiers)</w:t>
            </w:r>
          </w:p>
          <w:p>
            <w:pPr>
              <w:pStyle w:val="formtext"/>
              <w:snapToGrid w:val="false"/>
              <w:spacing w:before="0" w:after="0"/>
              <w:ind w:start="113" w:end="113"/>
              <w:jc w:val="both"/>
              <w:rPr>
                <w:rFonts w:cs="Arial"/>
                <w:color w:val="000000"/>
                <w:lang w:val="fr-FR"/>
              </w:rPr>
            </w:pPr>
            <w:r>
              <w:rPr>
                <w:rFonts w:cs="Arial"/>
                <w:color w:val="000000"/>
                <w:lang w:val="fr-FR"/>
              </w:rPr>
              <w:t>- Atelier A2, 2 personnes, dirigeants : 2 femmes,</w:t>
            </w:r>
          </w:p>
          <w:p>
            <w:pPr>
              <w:pStyle w:val="formtext"/>
              <w:snapToGrid w:val="false"/>
              <w:spacing w:before="0" w:after="0"/>
              <w:ind w:start="113" w:end="113"/>
              <w:jc w:val="both"/>
              <w:rPr>
                <w:rFonts w:cs="Arial"/>
                <w:color w:val="000000"/>
                <w:lang w:val="fr-FR"/>
              </w:rPr>
            </w:pPr>
            <w:r>
              <w:rPr>
                <w:rFonts w:cs="Arial"/>
                <w:color w:val="000000"/>
                <w:lang w:val="fr-FR"/>
              </w:rPr>
              <w:t>- Atelier Catherine Bernet, 1 personne, dirigent : 1 femme,</w:t>
            </w:r>
          </w:p>
          <w:p>
            <w:pPr>
              <w:pStyle w:val="formtext"/>
              <w:snapToGrid w:val="false"/>
              <w:spacing w:before="0" w:after="0"/>
              <w:ind w:start="113" w:end="113"/>
              <w:jc w:val="both"/>
              <w:rPr/>
            </w:pPr>
            <w:r>
              <w:rPr>
                <w:rFonts w:cs="Arial"/>
                <w:color w:val="000000"/>
                <w:lang w:val="fr-FR"/>
              </w:rPr>
              <w:t>- Atelier Maudite licorne ! , 1 personne, dirigent : 1 femme,</w:t>
            </w:r>
          </w:p>
          <w:p>
            <w:pPr>
              <w:pStyle w:val="formtext"/>
              <w:snapToGrid w:val="false"/>
              <w:spacing w:before="0" w:after="0"/>
              <w:ind w:start="113" w:end="113"/>
              <w:jc w:val="both"/>
              <w:rPr>
                <w:rFonts w:cs="Arial"/>
                <w:color w:val="000000"/>
                <w:lang w:val="fr-FR"/>
              </w:rPr>
            </w:pPr>
            <w:r>
              <w:rPr>
                <w:rFonts w:cs="Arial"/>
                <w:color w:val="000000"/>
                <w:lang w:val="fr-FR"/>
              </w:rPr>
              <w:t>- Atelier Françoise Vernaudon, 1 personne, dirigeante : 1 femme,</w:t>
            </w:r>
          </w:p>
          <w:p>
            <w:pPr>
              <w:pStyle w:val="formtext"/>
              <w:snapToGrid w:val="false"/>
              <w:spacing w:before="0" w:after="0"/>
              <w:ind w:start="113" w:end="113"/>
              <w:jc w:val="both"/>
              <w:rPr>
                <w:rFonts w:cs="Arial"/>
                <w:color w:val="000000"/>
                <w:lang w:val="fr-FR"/>
              </w:rPr>
            </w:pPr>
            <w:r>
              <w:rPr>
                <w:rFonts w:cs="Arial"/>
                <w:color w:val="000000"/>
                <w:lang w:val="fr-FR"/>
              </w:rPr>
              <w:t>- Atelier Pascal Legoueix, 1 personne, dirigeant : 1 homme,</w:t>
            </w:r>
          </w:p>
          <w:p>
            <w:pPr>
              <w:pStyle w:val="formtext"/>
              <w:snapToGrid w:val="false"/>
              <w:spacing w:before="0" w:after="0"/>
              <w:ind w:start="113" w:end="113"/>
              <w:jc w:val="both"/>
              <w:rPr>
                <w:rFonts w:cs="Arial"/>
                <w:color w:val="000000"/>
                <w:lang w:val="fr-FR"/>
              </w:rPr>
            </w:pPr>
            <w:r>
              <w:rPr>
                <w:rFonts w:cs="Arial"/>
                <w:color w:val="000000"/>
                <w:lang w:val="fr-FR"/>
              </w:rPr>
              <w:t>- Ateliers Pinton, 20 personnes, dirigeant : 1 homme,</w:t>
            </w:r>
          </w:p>
          <w:p>
            <w:pPr>
              <w:pStyle w:val="formtext"/>
              <w:snapToGrid w:val="false"/>
              <w:spacing w:before="0" w:after="0"/>
              <w:ind w:start="113" w:end="113"/>
              <w:jc w:val="both"/>
              <w:rPr>
                <w:rFonts w:cs="Arial"/>
                <w:color w:val="000000"/>
                <w:lang w:val="fr-FR"/>
              </w:rPr>
            </w:pPr>
            <w:r>
              <w:rPr>
                <w:rFonts w:cs="Arial"/>
                <w:color w:val="000000"/>
                <w:lang w:val="fr-FR"/>
              </w:rPr>
              <w:t>- Manufacture Robert Four, 40 personnes, dirigeant : 1 homme,</w:t>
            </w:r>
          </w:p>
          <w:p>
            <w:pPr>
              <w:pStyle w:val="formtext"/>
              <w:snapToGrid w:val="false"/>
              <w:spacing w:before="0" w:after="0"/>
              <w:ind w:start="113" w:end="113"/>
              <w:jc w:val="both"/>
              <w:rPr>
                <w:rFonts w:cs="Arial"/>
                <w:color w:val="000000"/>
                <w:lang w:val="fr-FR"/>
              </w:rPr>
            </w:pPr>
            <w:r>
              <w:rPr>
                <w:rFonts w:cs="Arial"/>
                <w:color w:val="000000"/>
                <w:lang w:val="fr-FR"/>
              </w:rPr>
              <w:t xml:space="preserve">- Manufacture Saint-Jean, 4 personnes, dirigeant : 1 homme, </w:t>
            </w:r>
          </w:p>
          <w:p>
            <w:pPr>
              <w:pStyle w:val="formtext"/>
              <w:snapToGrid w:val="false"/>
              <w:spacing w:before="0" w:after="0"/>
              <w:ind w:start="113" w:end="113"/>
              <w:jc w:val="both"/>
              <w:rPr>
                <w:rFonts w:cs="Arial"/>
                <w:color w:val="000000"/>
                <w:lang w:val="fr-FR"/>
              </w:rPr>
            </w:pPr>
            <w:r>
              <w:rPr>
                <w:rFonts w:cs="Arial"/>
                <w:color w:val="000000"/>
                <w:lang w:val="fr-FR"/>
              </w:rPr>
              <w:t>- Filature Terrade, 6 personnes, dirigeants : 2 hommes,</w:t>
            </w:r>
          </w:p>
          <w:p>
            <w:pPr>
              <w:pStyle w:val="formtext"/>
              <w:snapToGrid w:val="false"/>
              <w:spacing w:before="0" w:after="0"/>
              <w:ind w:start="113" w:end="113"/>
              <w:jc w:val="both"/>
              <w:rPr>
                <w:rFonts w:cs="Arial"/>
                <w:color w:val="000000"/>
                <w:lang w:val="fr-FR"/>
              </w:rPr>
            </w:pPr>
            <w:r>
              <w:rPr>
                <w:rFonts w:cs="Arial"/>
                <w:color w:val="000000"/>
                <w:lang w:val="fr-FR"/>
              </w:rPr>
              <w:t>- Teinturerie Thierry Roger, 1 personne, dirigeant : 1 homme,</w:t>
            </w:r>
          </w:p>
          <w:p>
            <w:pPr>
              <w:pStyle w:val="formtext"/>
              <w:snapToGrid w:val="false"/>
              <w:spacing w:before="0" w:after="0"/>
              <w:ind w:start="113" w:end="113"/>
              <w:jc w:val="both"/>
              <w:rPr/>
            </w:pPr>
            <w:r>
              <w:rPr>
                <w:rFonts w:cs="Arial"/>
                <w:color w:val="000000"/>
                <w:lang w:val="fr-FR"/>
              </w:rPr>
              <w:t>- Atelier-Musée des cartons, 1 personne, dirigeant : 1 femme,</w:t>
            </w:r>
          </w:p>
          <w:p>
            <w:pPr>
              <w:pStyle w:val="formtext"/>
              <w:snapToGrid w:val="false"/>
              <w:spacing w:before="0" w:after="0"/>
              <w:ind w:start="113" w:end="113"/>
              <w:jc w:val="both"/>
              <w:rPr>
                <w:rFonts w:cs="Arial"/>
                <w:color w:val="000000"/>
                <w:lang w:val="fr-FR"/>
              </w:rPr>
            </w:pPr>
            <w:r>
              <w:rPr>
                <w:rFonts w:cs="Arial"/>
                <w:color w:val="000000"/>
                <w:lang w:val="fr-FR"/>
              </w:rPr>
              <w:t>- Espace Tapisseries Aubusson, 2 personnes, dirigeant : 1 homme,</w:t>
            </w:r>
          </w:p>
          <w:p>
            <w:pPr>
              <w:pStyle w:val="formtext"/>
              <w:snapToGrid w:val="false"/>
              <w:spacing w:before="0" w:after="0"/>
              <w:ind w:start="113" w:end="113"/>
              <w:jc w:val="both"/>
              <w:rPr>
                <w:rFonts w:cs="Arial"/>
                <w:color w:val="000000"/>
                <w:lang w:val="fr-FR"/>
              </w:rPr>
            </w:pPr>
            <w:r>
              <w:rPr>
                <w:rFonts w:cs="Arial"/>
                <w:color w:val="000000"/>
                <w:lang w:val="fr-FR"/>
              </w:rPr>
              <w:t>- 3 ateliers « art tissé », 8 personnes, dirigeants : 2 femmes, 1 homme,</w:t>
            </w:r>
          </w:p>
          <w:p>
            <w:pPr>
              <w:pStyle w:val="formtext"/>
              <w:snapToGrid w:val="false"/>
              <w:spacing w:before="0" w:after="0"/>
              <w:ind w:start="113" w:end="113"/>
              <w:jc w:val="both"/>
              <w:rPr>
                <w:rFonts w:cs="Arial"/>
                <w:color w:val="000000"/>
                <w:lang w:val="fr-FR"/>
              </w:rPr>
            </w:pPr>
            <w:r>
              <w:rPr>
                <w:rFonts w:cs="Arial"/>
                <w:color w:val="000000"/>
                <w:lang w:val="fr-FR"/>
              </w:rPr>
              <w:t>- 3 galeries, 5 personnes, dirigeants : 1 femme, 2 hommes,</w:t>
            </w:r>
          </w:p>
          <w:p>
            <w:pPr>
              <w:pStyle w:val="formtext"/>
              <w:snapToGrid w:val="false"/>
              <w:spacing w:before="0" w:after="0"/>
              <w:ind w:start="113" w:end="113"/>
              <w:jc w:val="both"/>
              <w:rPr>
                <w:rFonts w:cs="Arial"/>
                <w:color w:val="000000"/>
                <w:lang w:val="fr-FR"/>
              </w:rPr>
            </w:pPr>
            <w:r>
              <w:rPr>
                <w:rFonts w:cs="Arial"/>
                <w:color w:val="000000"/>
                <w:lang w:val="fr-FR"/>
              </w:rPr>
              <w:t>- 1 Musée de la tapisserie, 14 personnes, dirigeant : 1 homme,</w:t>
            </w:r>
          </w:p>
          <w:p>
            <w:pPr>
              <w:pStyle w:val="formtext"/>
              <w:snapToGrid w:val="false"/>
              <w:spacing w:before="0" w:after="0"/>
              <w:ind w:start="113" w:end="113"/>
              <w:jc w:val="both"/>
              <w:rPr>
                <w:rFonts w:cs="Arial"/>
                <w:color w:val="000000"/>
                <w:lang w:val="fr-FR"/>
              </w:rPr>
            </w:pPr>
            <w:r>
              <w:rPr>
                <w:rFonts w:cs="Arial"/>
                <w:color w:val="000000"/>
                <w:lang w:val="fr-FR"/>
              </w:rPr>
              <w:t>- 1 Amicale des Lissiers qui rassemble une quarantaine de professionnels actifs ou retraités.</w:t>
            </w:r>
          </w:p>
          <w:p>
            <w:pPr>
              <w:pStyle w:val="formtext"/>
              <w:snapToGrid w:val="false"/>
              <w:spacing w:before="0" w:after="0"/>
              <w:ind w:start="113" w:end="113"/>
              <w:jc w:val="both"/>
              <w:rPr/>
            </w:pPr>
            <w:r>
              <w:rPr>
                <w:rFonts w:cs="Arial"/>
                <w:color w:val="000000"/>
                <w:lang w:val="fr-FR"/>
              </w:rPr>
              <w:t>La moyenne d’âge de l’ensemble de la communauté professionnelle est supérieure à 40 ans. Il est à noter qu’aujourd’hui la communauté est majoritairement féminine, la tendance s’étant inversée dans les années 90.</w:t>
            </w:r>
          </w:p>
          <w:p>
            <w:pPr>
              <w:pStyle w:val="Textecandidature"/>
              <w:snapToGrid w:val="false"/>
              <w:spacing w:before="120" w:after="120"/>
              <w:ind w:start="113" w:end="113"/>
              <w:rPr/>
            </w:pPr>
            <w:r>
              <w:rPr>
                <w:rFonts w:cs="Arial"/>
                <w:color w:val="000000"/>
                <w:szCs w:val="22"/>
                <w:lang w:val="fr-FR"/>
              </w:rPr>
              <w:t>Les lissiers tissent généralement à partir de cartons dessinés pour eux par des artistes contemporains (l’activité de réédition de modèles anciens diminue). L’artisanat de la tapisserie participe alors à la diffusion de l’œuvre de ces artistes. Les lissiers ont une marge d’interprétation variable de l’œuvre des artistes cartonniers, en fonction des préférences exprimées par ceux-ci et de l’entente nécessaire entre l’artiste et le lissier.</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C.2.</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Analyse de la viabilité de l’élément et risques auxquels il est actuellement exposé</w:t>
            </w:r>
          </w:p>
          <w:p>
            <w:pPr>
              <w:pStyle w:val="Info2"/>
              <w:keepNext w:val="true"/>
              <w:spacing w:lineRule="exact" w:line="260" w:before="0" w:after="120"/>
              <w:jc w:val="both"/>
              <w:rPr/>
            </w:pPr>
            <w:r>
              <w:rPr>
                <w:bCs/>
                <w:iCs w:val="false"/>
                <w:lang w:val="fr-FR"/>
              </w:rPr>
              <w:t>Décrivez le degré de viabilité actuelle de l’élément, en particulier la fréquence et l’étendue de sa pratique, la force des modes de transmission traditionnels, la composition démographique des praticiens et des publics et sa durabilité. Veuillez aussi identifier et décrire les facteurs qui, le cas échéant, constituent une menace pour la pérennité de la transmission et de la représentation de l’élément et indiquez le degré de gravité et de proximité de tels facteurs.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La tapisserie d’Aubusson semble bénéficier d’un intérêt de la part du marché de l’art, comme d'autres médiums où la matière est prégnante (céramique, verre). Pour autant cet intérêt est fragile et il est difficile de prévoir aujourd’hui s’il s'inscrira dans la durée. Il est à noter que les commandes en cours nécessitent le retour au travail de plusieurs retraités, car les seuls lissiers en activité ne pourraient tenir des délais raisonnables face aux demandes.</w:t>
            </w:r>
          </w:p>
          <w:p>
            <w:pPr>
              <w:pStyle w:val="formtext"/>
              <w:snapToGrid w:val="false"/>
              <w:ind w:start="113" w:end="113"/>
              <w:jc w:val="both"/>
              <w:rPr>
                <w:lang w:val="fr-FR"/>
              </w:rPr>
            </w:pPr>
            <w:r>
              <w:rPr>
                <w:lang w:val="fr-FR"/>
              </w:rPr>
              <w:t>La transmission qui était traditionnellement réalisée par l’Ecole Nationale d’Art Décoratif d’Aubusson (ENAD), puis complétée par un temps de travail en ateliers, est interrompue depuis plusieurs années. Ainsi la pyramide des âges des lissiers a évolué et les ateliers ferment après le décès ou le départ en retraite de leur dirigeant (deux fermetures d’ateliers depuis 2009).</w:t>
            </w:r>
          </w:p>
          <w:p>
            <w:pPr>
              <w:pStyle w:val="formtext"/>
              <w:snapToGrid w:val="false"/>
              <w:ind w:start="113" w:end="113"/>
              <w:jc w:val="both"/>
              <w:rPr/>
            </w:pPr>
            <w:r>
              <w:rPr>
                <w:lang w:val="fr-FR"/>
              </w:rPr>
              <w:t>Cette situation présente un certain nombre de risques. De l’interruption du système traditionnel de transmission découle d'abord celui d’une perte de connaissances techniques détenues par les générations actuelles, si l’on ne se préoccupe pas de les recueillir et de les transmettre.</w:t>
            </w:r>
          </w:p>
          <w:p>
            <w:pPr>
              <w:pStyle w:val="formtext"/>
              <w:snapToGrid w:val="false"/>
              <w:ind w:start="113" w:end="113"/>
              <w:jc w:val="both"/>
              <w:rPr>
                <w:lang w:val="fr-FR"/>
              </w:rPr>
            </w:pPr>
            <w:r>
              <w:rPr>
                <w:lang w:val="fr-FR"/>
              </w:rPr>
              <w:t xml:space="preserve">Certains acteurs sont en outre tentés de penser qu'une prise de monopole sur l’activité de la tapisserie d’Aubusson est aujourd’hui possible. Faire reposer tout le savoir-faire sur un interlocuteur unique n’est cependant pas la voie retenue par les collectivités locales ni par les acteurs de la profession (consulaires et syndicaux). </w:t>
            </w:r>
          </w:p>
          <w:p>
            <w:pPr>
              <w:pStyle w:val="formtext"/>
              <w:snapToGrid w:val="false"/>
              <w:ind w:start="113" w:end="113"/>
              <w:jc w:val="both"/>
              <w:rPr/>
            </w:pPr>
            <w:r>
              <w:rPr>
                <w:lang w:val="fr-FR"/>
              </w:rPr>
              <w:t>Pour bénéficier du statut fiscal d’œuvres d’art originales défini en 1967, il est d’usage de tisser chaque carton en six exemplaires et deux exemplaires d’artiste. La tapisserie d’Aubusson permet donc au public d’acquérir des œuvres d’artistes de grand renom, pour des prix significatifs mais néanmoins inférieurs aux œuvres originales exécutées de la main même de l’artiste.</w:t>
            </w:r>
          </w:p>
          <w:p>
            <w:pPr>
              <w:pStyle w:val="formtext"/>
              <w:snapToGrid w:val="false"/>
              <w:ind w:start="113" w:end="113"/>
              <w:jc w:val="both"/>
              <w:rPr/>
            </w:pPr>
            <w:r>
              <w:rPr>
                <w:lang w:val="fr-FR"/>
              </w:rPr>
              <w:t>L’achat de tapisseries d’Aubusson suppose des moyens financiers et culturels importants, ainsi que de vastes espaces d’exposition. Les classes sociales favorisées, les institutions et notamment les États, forment donc depuis des siècles une part importante de la clientèle. La large diffusion de produits dérivés et d’imitations de toutes sortes montre néanmoins que la tapisserie d’Aubusson suscite l'intérêt et la sympathie d'un vaste public.</w:t>
            </w:r>
          </w:p>
          <w:p>
            <w:pPr>
              <w:pStyle w:val="formtext"/>
              <w:snapToGrid w:val="false"/>
              <w:ind w:start="113" w:end="113"/>
              <w:jc w:val="both"/>
              <w:rPr/>
            </w:pPr>
            <w:r>
              <w:rPr>
                <w:lang w:val="fr-FR"/>
              </w:rPr>
              <w:t>Il est donc important de maintenir une exigence tant en terme de connexion à la création contemporaine qu’en terme de maîtrise du savoir-faire, et de traiter simultanément ces deux aspects : considérer le seul savoir-faire comme « l’alpha et l’oméga » de la tapisserie est un risque pour la communauté professionnelle qui se déconnecterait durablement de l’actualité de la création, aujourd'hui seule possibilité de débouchés économiques. Cela suppose de faire émerger rapidement une identité contemporaine d’Aubusson.</w:t>
            </w:r>
          </w:p>
          <w:p>
            <w:pPr>
              <w:pStyle w:val="formtext"/>
              <w:snapToGrid w:val="false"/>
              <w:ind w:start="113" w:end="113"/>
              <w:jc w:val="both"/>
              <w:rPr/>
            </w:pPr>
            <w:r>
              <w:rPr>
                <w:lang w:val="fr-FR"/>
              </w:rPr>
              <w:t>En outre, le contexte actuel de crise et de réductions budgétaires conséquentes peut affaiblir la commande publique de l’État en matière de tapisseries. Les baisses de budget des institutions culturelles pourraient également avoir un impact sur le chiffre d’affaires des restaurateurs de tapisserie du secteur.</w:t>
            </w:r>
          </w:p>
          <w:p>
            <w:pPr>
              <w:pStyle w:val="formtext"/>
              <w:snapToGrid w:val="false"/>
              <w:spacing w:before="80" w:after="80"/>
              <w:ind w:start="113" w:end="113"/>
              <w:jc w:val="both"/>
              <w:rPr/>
            </w:pPr>
            <w:r>
              <w:rPr>
                <w:lang w:val="fr-FR"/>
              </w:rPr>
              <w:t>Enfin, il existe un danger pour certaines activités connexes, notamment dans le domaine des filatures et des teintureries dont le savoir-faire n'est plus détenu que par quelques personnes. Le récent décès d’un chef d’entreprise de l’Allier, à quelques dizaines de kilomètres d’Aubusson, a ainsi entraîné la fermeture de la dernière laverie française de laine, préjudiciable à l’approvisionnement des filatures aubussonnaises.</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C.3.</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Contribution aux buts de la Liste</w:t>
            </w:r>
          </w:p>
          <w:p>
            <w:pPr>
              <w:pStyle w:val="Info2"/>
              <w:spacing w:before="0" w:after="120"/>
              <w:rPr>
                <w:lang w:val="fr-FR"/>
              </w:rPr>
            </w:pPr>
            <w:r>
              <w:rPr>
                <w:lang w:val="fr-FR"/>
              </w:rPr>
              <w:t>Expliquez de quelle manière l’inscription de l’élément sur la Liste a contribué à assurer la visibilité du patrimoine culturel matériel et à sensibiliser les populations au niveau local, national et international, à son importance, mais aussi à promouvoir le respect de la diversité culturelle, de la créativité humaine et du respect mutuel auprès de communautés, de groupes et d’individus.</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L'inscription de la Tapisserie d'Aubusson sur la Liste représentative du patrimoine immatériel de l'humanité suscite parmi les habitants un grand sentiment de fierté. Les réunions de quartier organisées par la Ville témoignent que la tapisserie fait à nouveau partie des préoccupations de la population et des acteurs économiques locaux, ce qui n'était plus le cas depuis plusieurs années. Les commerçants ont ainsi placé dans leur vitrine une affiche représentant une tapisserie, et leur association a organisé un « pot d'accueil » à l'attention des artistes lauréats des appels à création contemporaine de la Cité de la tapisserie. </w:t>
            </w:r>
          </w:p>
          <w:p>
            <w:pPr>
              <w:pStyle w:val="formtext"/>
              <w:snapToGrid w:val="false"/>
              <w:ind w:start="113" w:end="113"/>
              <w:jc w:val="both"/>
              <w:rPr/>
            </w:pPr>
            <w:r>
              <w:rPr>
                <w:lang w:val="fr-FR"/>
              </w:rPr>
              <w:t>L'inscription a ainsi permis de remettre au cœur du territoire le savoir-faire et la connexion d’Aubusson à la création contemporaine. L’appel à projet de création de tapisseries contemporaines (présenté dans le dossier de candidature en 2009) a été mis en place, permettant de relier la création au savoir-faire, de faire connaître la démarche à l’international, de réinvestir l’intérêt des écoles d’art et de la jeune création française et européenne.</w:t>
            </w:r>
          </w:p>
          <w:p>
            <w:pPr>
              <w:pStyle w:val="formtext"/>
              <w:snapToGrid w:val="false"/>
              <w:spacing w:before="80" w:after="80"/>
              <w:ind w:start="113" w:end="113"/>
              <w:jc w:val="both"/>
              <w:rPr/>
            </w:pPr>
            <w:r>
              <w:rPr>
                <w:lang w:val="fr-FR"/>
              </w:rPr>
              <w:t xml:space="preserve">Plusieurs actions ont permis de mixer des expressions artistiques différentes (tapisserie et art numérique, tapisserie et architecture, tapisserie et photographie, tapisserie et design) et d’ouvrir ainsi les lissiers au dialogue avec d’autres champs culturels tout en valorisant leurs propres connaissances techniques.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C.4.</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Efforts pour promouvoir ou renforcer l’élément</w:t>
            </w:r>
          </w:p>
          <w:p>
            <w:pPr>
              <w:pStyle w:val="Info2"/>
              <w:keepNext w:val="true"/>
              <w:spacing w:lineRule="exact" w:line="260" w:before="0" w:after="120"/>
              <w:jc w:val="both"/>
              <w:rPr/>
            </w:pPr>
            <w:r>
              <w:rPr>
                <w:lang w:val="fr-FR"/>
              </w:rPr>
              <w:t>Décrivez les mesures qui ont été prises aux fins de la promotion et du renforcement de l’élément, en donnant le détail de toutes celles qui se sont révélées nécessaires en conséquence de son inscription.</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lang w:val="fr-FR"/>
              </w:rPr>
            </w:pPr>
            <w:r>
              <w:rPr>
                <w:lang w:val="fr-FR"/>
              </w:rPr>
              <w:t>La mise en œuvre de la Cité de la tapisserie est considérée par les responsables politiques locaux comme une réponse forte à l'inscription sur la Liste représentative. Son action se fonde sur trois axes qui répondent aux préoccupations de sauvegarde et de mise en valeur du patrimoine culturel immatériel :</w:t>
            </w:r>
          </w:p>
          <w:p>
            <w:pPr>
              <w:pStyle w:val="formtext"/>
              <w:snapToGrid w:val="false"/>
              <w:ind w:start="113" w:end="113"/>
              <w:jc w:val="both"/>
              <w:rPr>
                <w:lang w:val="fr-FR"/>
              </w:rPr>
            </w:pPr>
            <w:r>
              <w:rPr>
                <w:lang w:val="fr-FR"/>
              </w:rPr>
              <w:t>Rénovation et agrandissement du Musée de la tapisserie, qui constitue le référent de la Cité. Un nouveau projet scientifique et culturel a été rédigé, qui fait de l'inscription sur la Liste représentative un axe fondamental et remet ainsi le savoir-faire de la tapisserie d’Aubusson au cœur des préoccupations du Musée : un programme de collectage d’éléments matériels liés aux différents savoir-faire de la communauté professionnelle a été lancé, et un programme de numérisation du patrimoine culturel immatériel conservé au centre de documentation de la tapisserie a été réalisé (plusieurs dizaines de films et vidéos remontant pour certains à 1946 ; une centaine d’heures d’enquêtes orales ethnographiques et d'interviews ; un millier de documents iconographiques). Une nouvelle section d’exposition permanente est envisagée, consacrée à l’universalité de la technique de la tapisserie. Le projet architectural et muséographique est à l’étude pour une ouverture de la Cité de la tapisserie en 2015 sur les lieux de l’ancienne Ecole Nationale d’Art Décoratif désormais fermée.</w:t>
            </w:r>
          </w:p>
          <w:p>
            <w:pPr>
              <w:pStyle w:val="formtext"/>
              <w:snapToGrid w:val="false"/>
              <w:ind w:start="113" w:end="113"/>
              <w:jc w:val="both"/>
              <w:rPr/>
            </w:pPr>
            <w:r>
              <w:rPr>
                <w:lang w:val="fr-FR"/>
              </w:rPr>
              <w:t>Relance de la création contemporaine avec un appel à projet international, financé par le fonds régional de création de tapisseries contemporaines mis en place en 2010 avec l'objectif de reconnecter Aubusson à la création contemporaine et de communiquer sur les œuvres tissées dans ce cadre. La communication ainsi que les choix pertinents du jury constitué lors des deux premières éditions a permis de donner très rapidement une notoriété à ce concours annuel désormais repéré par la jeune création européenne et dans toutes les écoles d’art françaises. Les œuvres tissées sont déjà très demandées et doivent partir dans différentes manifestations ou institutions françaises et internationales (Paris, Hué au Viet-Nam, Hangzhou en Chine, Tokyo, contact en cours avec le Metropolitan Museum of Art à New-York). Le potentiel communiquant de l’œuvre lauréate de la première édition (« Peau de Licorne » par Nicolas Buffe) a déjà permis à cette tapisserie de figurer dans le journal Le Figaro ainsi que dans Le Monde, et d’être retenue par l’Institut National des Métiers d’Art comme représentative du renouveau des métiers d’art en France.</w:t>
            </w:r>
          </w:p>
          <w:p>
            <w:pPr>
              <w:pStyle w:val="formtext"/>
              <w:snapToGrid w:val="false"/>
              <w:ind w:start="113" w:end="113"/>
              <w:jc w:val="both"/>
              <w:rPr/>
            </w:pPr>
            <w:r>
              <w:rPr>
                <w:lang w:val="fr-FR"/>
              </w:rPr>
              <w:t>Accompagnement de la filière professionnelle, d'abord par la relance d’une formation de lissier, après 28 années d’interruption. Ce projet se double d’un travail de formalisation des savoir-faire de la tapisserie, jusque là transmis oralement sans qu’aucune pédagogie n’ait été publiée (ce qui est assez surprenant de la part d’une Ecole nationale fondée en 1884). La fondation Hermès a décidé de financer la formation d’un formateur en tapisserie, ainsi que la mise en place de masterclasses. Par ailleurs, la Cité a contribué à faire prendre conscience que les différents métiers, de la filature au teinturier, du restaurateur au lissier, appartiennent tous à la même communauté professionnelle qui contribue à caractériser la tapisserie d’Aubusson. La commande de photographies à la plasticienne Sophie Zénon, « les mains d’Aubusson », ou au vidéaste Romain Evrard, « patrimoines cachés d’Aubusson », a permis une mise en visibilité des savoir-faire, une appropriation par la population, et une hybridation des médium autour de la tapisserie d’Aubusson. Enfin différents professionnels se sont adressés à la Cité pour la constitution de dossiers « Maître d’art » ou Entreprise du Patrimoine Vivant (labellisation Musées de France pour des restaurateurs textiles).</w:t>
            </w:r>
          </w:p>
          <w:p>
            <w:pPr>
              <w:pStyle w:val="formtext"/>
              <w:snapToGrid w:val="false"/>
              <w:ind w:start="113" w:end="113"/>
              <w:jc w:val="both"/>
              <w:rPr>
                <w:lang w:val="fr-FR"/>
              </w:rPr>
            </w:pPr>
            <w:r>
              <w:rPr>
                <w:lang w:val="fr-FR"/>
              </w:rPr>
              <w:t>Développement de partenariats avec des institutions de formation liées directement à la tapisserie ou plus largement à la création et aux métiers d’art : Centre international de Tournai, Académie Royale de Bruxelles, Atelier National d’Art Textile de Paris, Cité du Design de Saint-Etienne, Ecole d’Architecture de Clermont-Ferrand, Lycée Duperré à Paris, etc. Ces partenariats engendrent une programmation annuelle de workshops particulièrement féconds. Relance des partenariats établis lors de la création du Musée au sein du Centre Jean Lurçat d'Aubusson et interrompus depuis les années 2000 : universités de Bordeaux, d’Aix, de Toulouse, de Clermont-Ferrand, Musée des tissus de Lyon, Musée des Arts Décoratifs de Paris, Musée d’Angers, Textilmuseum de Saint-Gall, Bowes Museum, Metropolitan Museum, etc.</w:t>
            </w:r>
          </w:p>
          <w:p>
            <w:pPr>
              <w:pStyle w:val="formtext"/>
              <w:snapToGrid w:val="false"/>
              <w:spacing w:before="80" w:after="80"/>
              <w:ind w:start="113" w:end="113"/>
              <w:jc w:val="both"/>
              <w:rPr>
                <w:lang w:val="fr-FR"/>
              </w:rPr>
            </w:pPr>
            <w:r>
              <w:rPr>
                <w:lang w:val="fr-FR"/>
              </w:rPr>
              <w:t>D’autres actions plus ponctuelles ont été menées, tel le colloque « Enjeux et modalités de gestion  d’un patrimoine culturel immatériel » sous le patronage de la Commission française pour l’Unesco et avec le soutien du Ministère de la Culture et de la Communication (28-29 juin 2012).</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rPr/>
            </w:pPr>
            <w:r>
              <w:rPr/>
              <w:t>C.5.</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w:t>
            </w:r>
          </w:p>
          <w:p>
            <w:pPr>
              <w:pStyle w:val="Info2"/>
              <w:keepNext w:val="true"/>
              <w:spacing w:lineRule="exact" w:line="260" w:before="0" w:after="120"/>
              <w:jc w:val="both"/>
              <w:rPr/>
            </w:pPr>
            <w:r>
              <w:rPr>
                <w:rFonts w:eastAsia="SimSun;宋体"/>
                <w:lang w:val="fr-FR"/>
              </w:rPr>
              <w:t>Décrivez la participation des communautés, des groupes et des individus à la sauvegarde de l’élément et indiquez s’ils ont la volonté de continuer à le sauvegarder.</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rFonts w:cs="Arial"/>
                <w:lang w:val="fr-FR"/>
              </w:rPr>
            </w:pPr>
            <w:r>
              <w:rPr>
                <w:rFonts w:cs="Arial"/>
                <w:lang w:val="fr-FR"/>
              </w:rPr>
              <w:t>Depuis 2009, des actions significatives ont été portées par différents acteurs :</w:t>
            </w:r>
          </w:p>
          <w:p>
            <w:pPr>
              <w:pStyle w:val="Paragraphedeliste1"/>
              <w:widowControl/>
              <w:numPr>
                <w:ilvl w:val="0"/>
                <w:numId w:val="2"/>
              </w:numPr>
              <w:ind w:hanging="233" w:start="397" w:end="0"/>
              <w:jc w:val="both"/>
              <w:rPr>
                <w:rFonts w:eastAsia="SimSun;宋体" w:cs="Arial"/>
                <w:sz w:val="22"/>
                <w:szCs w:val="22"/>
                <w:lang w:val="fr-FR"/>
              </w:rPr>
            </w:pPr>
            <w:r>
              <w:rPr>
                <w:rFonts w:eastAsia="SimSun;宋体" w:cs="Arial"/>
                <w:sz w:val="22"/>
                <w:szCs w:val="22"/>
                <w:lang w:val="fr-FR"/>
              </w:rPr>
              <w:t>Plusieurs anciens lissiers retraités se sont impliqués dans la formation de lissiers, pour certains dans un cadre bénévole.</w:t>
            </w:r>
          </w:p>
          <w:p>
            <w:pPr>
              <w:pStyle w:val="Paragraphedeliste1"/>
              <w:widowControl/>
              <w:numPr>
                <w:ilvl w:val="0"/>
                <w:numId w:val="2"/>
              </w:numPr>
              <w:ind w:hanging="233" w:start="397" w:end="0"/>
              <w:jc w:val="both"/>
              <w:rPr>
                <w:rFonts w:eastAsia="SimSun;宋体" w:cs="Arial"/>
                <w:sz w:val="22"/>
                <w:szCs w:val="22"/>
                <w:lang w:val="fr-FR"/>
              </w:rPr>
            </w:pPr>
            <w:r>
              <w:rPr>
                <w:rFonts w:eastAsia="SimSun;宋体" w:cs="Arial"/>
                <w:sz w:val="22"/>
                <w:szCs w:val="22"/>
                <w:lang w:val="fr-FR"/>
              </w:rPr>
              <w:t>Une amicale des anciens lissiers et professionnels de la tapisserie s’est constituée en 2010. Elle a notamment relancé, chaque 4 décembre, la traditionnelle fête de la Sainte-Barbe, patronne des lissiers aubussonnais.</w:t>
            </w:r>
          </w:p>
          <w:p>
            <w:pPr>
              <w:pStyle w:val="Paragraphedeliste1"/>
              <w:widowControl/>
              <w:numPr>
                <w:ilvl w:val="0"/>
                <w:numId w:val="2"/>
              </w:numPr>
              <w:ind w:hanging="233" w:start="397" w:end="0"/>
              <w:jc w:val="both"/>
              <w:rPr>
                <w:rFonts w:eastAsia="SimSun;宋体" w:cs="Arial"/>
                <w:sz w:val="22"/>
                <w:szCs w:val="22"/>
                <w:lang w:val="fr-FR"/>
              </w:rPr>
            </w:pPr>
            <w:r>
              <w:rPr>
                <w:rFonts w:eastAsia="SimSun;宋体" w:cs="Arial"/>
                <w:sz w:val="22"/>
                <w:szCs w:val="22"/>
                <w:lang w:val="fr-FR"/>
              </w:rPr>
              <w:t>Une demande populaire et spontanée est apparue depuis 2011 pour recréer une association des Amis de la Cité, succédant à la défunte association des Amis du Musée de la tapisserie. Plusieurs dizaines de personnes ont déjà fait connaitre leur souhait d’en devenir membre.</w:t>
            </w:r>
          </w:p>
          <w:p>
            <w:pPr>
              <w:pStyle w:val="Paragraphedeliste1"/>
              <w:widowControl/>
              <w:numPr>
                <w:ilvl w:val="0"/>
                <w:numId w:val="2"/>
              </w:numPr>
              <w:ind w:hanging="233" w:start="397" w:end="0"/>
              <w:jc w:val="both"/>
              <w:rPr>
                <w:rFonts w:eastAsia="SimSun;宋体" w:cs="Arial"/>
                <w:sz w:val="22"/>
                <w:szCs w:val="22"/>
                <w:lang w:val="fr-FR"/>
              </w:rPr>
            </w:pPr>
            <w:r>
              <w:rPr>
                <w:rFonts w:eastAsia="SimSun;宋体" w:cs="Arial"/>
                <w:sz w:val="22"/>
                <w:szCs w:val="22"/>
                <w:lang w:val="fr-FR"/>
              </w:rPr>
              <w:t>Depuis 2010 s’est développée l’association Am’Carta, regroupant des dizaines de bénévoles volontaires pour faire vivre l’Atelier-musée du carton de tapisserie, initiative privée de valorisation du savoir-faire des peintres cartonniers de tapisserie. Les locaux de l’Atelier-musée du carton ont ouvert en septembre 2012.</w:t>
            </w:r>
          </w:p>
          <w:p>
            <w:pPr>
              <w:pStyle w:val="formtext"/>
              <w:snapToGrid w:val="false"/>
              <w:spacing w:before="80" w:after="80"/>
              <w:ind w:start="113" w:end="113"/>
              <w:jc w:val="both"/>
              <w:rPr>
                <w:rFonts w:cs="Arial"/>
                <w:lang w:val="fr-FR"/>
              </w:rPr>
            </w:pPr>
            <w:r>
              <w:rPr>
                <w:rFonts w:cs="Arial"/>
                <w:lang w:val="fr-FR"/>
              </w:rPr>
              <w:t>Il est à noter que la « tombée de métier » (fin du tissage) de la « Peau de licorne » en octobre 2011 a réuni plus de 250 personnes au Musée.</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rPr/>
            </w:pPr>
            <w:r>
              <w:rPr/>
              <w:t>C.6.</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Contexte institutionnel</w:t>
            </w:r>
          </w:p>
          <w:p>
            <w:pPr>
              <w:pStyle w:val="Info2"/>
              <w:rPr>
                <w:lang w:val="fr-FR"/>
              </w:rPr>
            </w:pPr>
            <w:r>
              <w:rPr>
                <w:lang w:val="fr-FR"/>
              </w:rPr>
              <w:t>Informations concernant le contexte institutionnel de l’élément inscrit sur la Liste représentative, y compris :</w:t>
            </w:r>
          </w:p>
          <w:p>
            <w:pPr>
              <w:pStyle w:val="num02tab"/>
              <w:numPr>
                <w:ilvl w:val="0"/>
                <w:numId w:val="9"/>
              </w:numPr>
              <w:suppressAutoHyphens w:val="true"/>
              <w:ind w:hanging="360" w:start="377" w:end="113"/>
              <w:rPr>
                <w:lang w:val="fr-FR"/>
              </w:rPr>
            </w:pPr>
            <w:r>
              <w:rPr>
                <w:lang w:val="fr-FR"/>
              </w:rPr>
              <w:t>le ou les organisme(s) compétent(s) impliqué(s) dans sa gestion et/ou sa sauvegarde ;</w:t>
            </w:r>
          </w:p>
          <w:p>
            <w:pPr>
              <w:pStyle w:val="num02tab"/>
              <w:numPr>
                <w:ilvl w:val="0"/>
                <w:numId w:val="9"/>
              </w:numPr>
              <w:suppressAutoHyphens w:val="true"/>
              <w:spacing w:before="0" w:after="120"/>
              <w:ind w:hanging="360" w:start="377" w:end="113"/>
              <w:rPr>
                <w:lang w:val="fr-FR"/>
              </w:rPr>
            </w:pPr>
            <w:r>
              <w:rPr>
                <w:lang w:val="fr-FR"/>
              </w:rPr>
              <w:t>la ou les organisation(s) de la communauté ou du groupe concernée(s) par l’élément et sa sauvegarde.</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 syndicat mixte de la Cité internationale de la tapisserie et de l’art tissé (Cité de la tapisserie - 13 avenue des lissiers - BP 89 - 23 200 AUBUSSON - [téléphone retiré] – [courriel retiré]). Établissement public local constitué depuis le 1er janvier 2010 avec le Conseil général de la Creuse, le Conseil régional du Limousin, la Communauté de Communes Aubusson-Felletin, il reçoit le plein et entier soutien de l’Etat (administration préfectorale de Creuse, Direction Régionale des Affaires Culturelles du Limousin). Les organismes consulaires et représentatifs participent à ses travaux. La Cité de la tapisserie est voulue par les pouvoirs publics comme un élément de réponse fort à l'inscription sur la Liste du patrimoine culturel immatériel : elle assure le portage du projet d’agrandissement et de rénovation du Musée, la formation de lissiers, la relance de la création de tapisseries contemporaines.</w:t>
            </w:r>
          </w:p>
          <w:p>
            <w:pPr>
              <w:pStyle w:val="formtext"/>
              <w:snapToGrid w:val="false"/>
              <w:ind w:start="113" w:end="113"/>
              <w:jc w:val="both"/>
              <w:rPr/>
            </w:pPr>
            <w:r>
              <w:rPr>
                <w:lang w:val="fr-FR"/>
              </w:rPr>
              <w:t>Le Syndicat des professionnels de la tapisserie et du tapis (Patrick Guillot - Impasse des Genêts - La Rebeyrette - 23200 AUBUSSON – [téléphone retiré] –  [courriel retiré]) a tout de suite cherché à mettre en lisibilité cette communauté professionnelle, notamment en réalisant un site Internet présentant pour la première fois les différents métiers de la tapisserie.</w:t>
            </w:r>
          </w:p>
          <w:p>
            <w:pPr>
              <w:pStyle w:val="formtext"/>
              <w:snapToGrid w:val="false"/>
              <w:ind w:start="113" w:end="113"/>
              <w:jc w:val="both"/>
              <w:rPr/>
            </w:pPr>
            <w:r>
              <w:rPr>
                <w:lang w:val="fr-FR"/>
              </w:rPr>
              <w:t>L’amicale des lissiers (Chantal Chirac - Atelier-musée du Carton - Pont de la Terrade - 23200 AUBUSSON – [téléphone retiré] – [courriel retiré]) a notamment relancé la fête traditionnelle de la Sainte-Barbe.</w:t>
            </w:r>
          </w:p>
          <w:p>
            <w:pPr>
              <w:pStyle w:val="formtext"/>
              <w:snapToGrid w:val="false"/>
              <w:spacing w:before="80" w:after="80"/>
              <w:ind w:start="113" w:end="113"/>
              <w:jc w:val="both"/>
              <w:rPr/>
            </w:pPr>
            <w:r>
              <w:rPr>
                <w:lang w:val="fr-FR"/>
              </w:rPr>
              <w:t>Le présent formulaire été renseigné sur la base des informations fournies par la Cité de la Tapisserie et de l'Art tissé à Aubusson, en concertation avec le Musée de la Tapisserie d'Aubusson.</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rPr/>
            </w:pPr>
            <w:r>
              <w:rPr/>
              <w:t>C.7.</w:t>
            </w:r>
          </w:p>
        </w:tc>
        <w:tc>
          <w:tcPr>
            <w:tcW w:w="9078"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 à l’établissement du présent rapport</w:t>
            </w:r>
          </w:p>
          <w:p>
            <w:pPr>
              <w:pStyle w:val="Info2"/>
              <w:spacing w:before="0" w:after="120"/>
              <w:rPr>
                <w:lang w:val="fr-FR"/>
              </w:rPr>
            </w:pPr>
            <w:r>
              <w:rPr>
                <w:lang w:val="fr-FR"/>
              </w:rPr>
              <w:t>Décrivez les mesures qui ont été prises pour assurer la plus large participation possible des communautés, des groupes et, le cas échéant, des individus concernés pendant la préparation du présent rapport pour chaque élément concerné.</w:t>
            </w:r>
          </w:p>
        </w:tc>
      </w:tr>
      <w:tr>
        <w:trPr/>
        <w:tc>
          <w:tcPr>
            <w:tcW w:w="9858"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 document relatif à la mise en œuvre des mesures du plan de sauvegarde a été rédigé par les porteurs mêmes du dossier de candidature, les informations ont été recueillies et revues ensuite par le CFPCI et le Ministère de la culture.</w:t>
            </w:r>
          </w:p>
        </w:tc>
      </w:tr>
    </w:tbl>
    <w:p>
      <w:pPr>
        <w:pStyle w:val="Normal"/>
        <w:rPr>
          <w:lang w:val="fr-FR"/>
        </w:rPr>
      </w:pPr>
      <w:r>
        <w:rPr>
          <w:lang w:val="fr-FR"/>
        </w:rPr>
      </w:r>
      <w:r>
        <w:br w:type="page"/>
      </w:r>
    </w:p>
    <w:p>
      <w:pPr>
        <w:pStyle w:val="Normal"/>
        <w:rPr>
          <w:lang w:val="fr-FR"/>
        </w:rPr>
      </w:pPr>
      <w:r>
        <w:rPr>
          <w:lang w:val="fr-FR"/>
        </w:rPr>
      </w:r>
    </w:p>
    <w:tbl>
      <w:tblPr>
        <w:tblW w:w="9853" w:type="dxa"/>
        <w:jc w:val="start"/>
        <w:tblInd w:w="-159" w:type="dxa"/>
        <w:tblLayout w:type="fixed"/>
        <w:tblCellMar>
          <w:top w:w="0" w:type="dxa"/>
          <w:start w:w="0" w:type="dxa"/>
          <w:bottom w:w="0" w:type="dxa"/>
          <w:end w:w="0" w:type="dxa"/>
        </w:tblCellMar>
      </w:tblPr>
      <w:tblGrid>
        <w:gridCol w:w="780"/>
        <w:gridCol w:w="9073"/>
      </w:tblGrid>
      <w:tr>
        <w:trPr/>
        <w:tc>
          <w:tcPr>
            <w:tcW w:w="780" w:type="dxa"/>
            <w:tcBorders>
              <w:top w:val="single" w:sz="4" w:space="0" w:color="000000"/>
              <w:start w:val="single" w:sz="4" w:space="0" w:color="000000"/>
              <w:bottom w:val="single" w:sz="4" w:space="0" w:color="000000"/>
            </w:tcBorders>
            <w:shd w:fill="CCCCCC" w:val="clear"/>
          </w:tcPr>
          <w:p>
            <w:pPr>
              <w:pStyle w:val="Grille02"/>
              <w:snapToGrid w:val="false"/>
              <w:spacing w:before="120" w:after="120"/>
              <w:jc w:val="end"/>
              <w:rPr/>
            </w:pPr>
            <w:r>
              <w:rPr/>
              <w:t>C.</w:t>
            </w:r>
          </w:p>
        </w:tc>
        <w:tc>
          <w:tcPr>
            <w:tcW w:w="9073" w:type="dxa"/>
            <w:tcBorders>
              <w:top w:val="single" w:sz="4" w:space="0" w:color="000000"/>
              <w:bottom w:val="single" w:sz="4" w:space="0" w:color="000000"/>
              <w:end w:val="single" w:sz="4" w:space="0" w:color="000000"/>
            </w:tcBorders>
            <w:shd w:fill="CCCCCC" w:val="clear"/>
          </w:tcPr>
          <w:p>
            <w:pPr>
              <w:pStyle w:val="Grille01"/>
              <w:snapToGrid w:val="false"/>
              <w:spacing w:before="120" w:after="120"/>
              <w:rPr>
                <w:rFonts w:eastAsia="SimSun;宋体" w:cs="Arial"/>
                <w:bCs/>
                <w:szCs w:val="22"/>
                <w:lang w:val="fr-FR"/>
              </w:rPr>
            </w:pPr>
            <w:r>
              <w:rPr>
                <w:rFonts w:eastAsia="SimSun;宋体" w:cs="Arial"/>
                <w:bCs/>
                <w:szCs w:val="22"/>
                <w:lang w:val="fr-FR"/>
              </w:rPr>
              <w:t>Statut des éléments inscrits sur la Liste représentative</w:t>
            </w:r>
          </w:p>
          <w:p>
            <w:pPr>
              <w:pStyle w:val="Info2"/>
              <w:rPr/>
            </w:pPr>
            <w:r>
              <w:rPr>
                <w:lang w:val="fr-FR"/>
              </w:rPr>
              <w:t xml:space="preserve">Veuillez fournir l’ensemble des informations demandées ci-après pour chacun des éléments du patrimoine culturel immatériel présents sur le territoire de l’État qui ont été inscrits sur la Liste représentative. Pour décrire l’état </w:t>
            </w:r>
            <w:r>
              <w:rPr>
                <w:b/>
                <w:bCs/>
                <w:lang w:val="fr-FR"/>
              </w:rPr>
              <w:t>actuel</w:t>
            </w:r>
            <w:r>
              <w:rPr>
                <w:lang w:val="fr-FR"/>
              </w:rPr>
              <w:t xml:space="preserve"> de l’élément, vous prendrez pour base le dossier de proposition d’inscription et ne rendez compte que des changements pertinents survenus depuis la date de l’inscription sur la Liste ou depuis le dernier rapport établi. Les dossiers de proposition d’inscription et les précédents rapports peuvent être consultés sur le Web (www.unesco.org/culture/ich) ou, sur demande, au Secrétariat.</w:t>
            </w:r>
          </w:p>
          <w:p>
            <w:pPr>
              <w:pStyle w:val="Info2"/>
              <w:keepNext w:val="true"/>
              <w:spacing w:lineRule="exact" w:line="260" w:before="0" w:after="120"/>
              <w:jc w:val="both"/>
              <w:rPr/>
            </w:pPr>
            <w:r>
              <w:rPr>
                <w:lang w:val="fr-FR"/>
              </w:rPr>
              <w:t>L’État partie s’efforce d’assurer la plus large participation possible des communautés, des groupes et, le cas échéant, des individus concernés au cours du processus de préparation de chaque rapport et il lui est demandé au point C.7 ci-après de décrire de quelle manière il y est parvenu.</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3" w:type="dxa"/>
            <w:tcBorders>
              <w:top w:val="single" w:sz="4" w:space="0" w:color="000000"/>
              <w:bottom w:val="single" w:sz="4" w:space="0" w:color="000000"/>
              <w:end w:val="single" w:sz="4" w:space="0" w:color="000000"/>
            </w:tcBorders>
          </w:tcPr>
          <w:p>
            <w:pPr>
              <w:pStyle w:val="Grille02"/>
              <w:snapToGrid w:val="false"/>
              <w:spacing w:before="120" w:after="120"/>
              <w:ind w:start="113" w:end="113"/>
              <w:rPr>
                <w:lang w:val="fr-FR"/>
              </w:rPr>
            </w:pPr>
            <w:r>
              <w:rPr>
                <w:lang w:val="fr-FR"/>
              </w:rPr>
              <w:t xml:space="preserve">Nom de l’élément : </w:t>
            </w:r>
            <w:r>
              <w:rPr>
                <w:b w:val="false"/>
                <w:lang w:val="fr-FR"/>
              </w:rPr>
              <w:t>L’équitation de tradition française</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3" w:type="dxa"/>
            <w:tcBorders>
              <w:top w:val="single" w:sz="4" w:space="0" w:color="000000"/>
              <w:bottom w:val="single" w:sz="4" w:space="0" w:color="000000"/>
              <w:end w:val="single" w:sz="4" w:space="0" w:color="000000"/>
            </w:tcBorders>
          </w:tcPr>
          <w:p>
            <w:pPr>
              <w:pStyle w:val="Grille02"/>
              <w:snapToGrid w:val="false"/>
              <w:spacing w:before="120" w:after="120"/>
              <w:ind w:start="113" w:end="113"/>
              <w:rPr/>
            </w:pPr>
            <w:r>
              <w:rPr/>
              <w:t>Inscrit en :2011</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C.1.</w:t>
            </w:r>
          </w:p>
        </w:tc>
        <w:tc>
          <w:tcPr>
            <w:tcW w:w="9073"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Fonctions sociales et culturelles</w:t>
            </w:r>
          </w:p>
          <w:p>
            <w:pPr>
              <w:pStyle w:val="Info2"/>
              <w:keepNext w:val="true"/>
              <w:spacing w:lineRule="exact" w:line="260" w:before="0" w:after="120"/>
              <w:jc w:val="both"/>
              <w:rPr/>
            </w:pPr>
            <w:r>
              <w:rPr>
                <w:iCs w:val="false"/>
                <w:lang w:val="fr-FR"/>
              </w:rPr>
              <w:t>Expliquez les fonctions et les significations sociales et culturelles de l’élément aujourd’hui, dans le groupe de population d’où il est originaire et pour ce groupe, les caractéristiques de ses gardiens et de ses praticiens et décrivez, entre autres, toute catégorie de personnes exerçant un rôle ou des responsabilités spécifiques vis-à-vis de l’élément. Il faut mentionner tout changement pertinent susceptible d’avoir des répercussions sur le critère d’inscription R.1 (« </w:t>
            </w:r>
            <w:r>
              <w:rPr>
                <w:lang w:val="fr-FR"/>
              </w:rPr>
              <w:t>L’élément est constitutif du patrimoine culturel immatériel tel que défini à l’article 2 de la Convention »).</w:t>
            </w:r>
          </w:p>
        </w:tc>
      </w:tr>
      <w:tr>
        <w:trPr/>
        <w:tc>
          <w:tcPr>
            <w:tcW w:w="9853"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L'équitation de tradition française, caractérisée par la « légèreté », est fondée sur le rapport harmonieux entre cavalier et monture. Plus qu’une simple technique, il s'agit d'une éducation, d'une gymnastique et d'un art. Elle est pratiquée par les écuyers du Cadre Noir de Saumur, au sein de l’École Nationale d’Équitation, et par une communauté beaucoup plus vaste de cavaliers qui ont choisi de respecter sa doctrine.  Les écuyers sont la garantie de la pérennité du maintien de la tradition par leurs présentations.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C.2.</w:t>
            </w:r>
          </w:p>
        </w:tc>
        <w:tc>
          <w:tcPr>
            <w:tcW w:w="9073"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Analyse de la viabilité de l’élément et risques auxquels il est actuellement exposé</w:t>
            </w:r>
          </w:p>
          <w:p>
            <w:pPr>
              <w:pStyle w:val="Info2"/>
              <w:keepNext w:val="true"/>
              <w:spacing w:lineRule="exact" w:line="260" w:before="0" w:after="120"/>
              <w:jc w:val="both"/>
              <w:rPr/>
            </w:pPr>
            <w:r>
              <w:rPr>
                <w:bCs/>
                <w:iCs w:val="false"/>
                <w:lang w:val="fr-FR"/>
              </w:rPr>
              <w:t>Décrivez le degré de viabilité actuelle de l’élément, en particulier la fréquence et l’étendue de sa pratique, la force des modes de transmission traditionnels, la composition démographique des praticiens et des publics et sa durabilité. Veuillez aussi identifier et décrire les facteurs qui, le cas échéant, constituent une menace pour la pérennité de la transmission et de la représentation de l’élément et indiquez le degré de gravité et de proximité de tels facteurs.</w:t>
            </w:r>
          </w:p>
        </w:tc>
      </w:tr>
      <w:tr>
        <w:trPr/>
        <w:tc>
          <w:tcPr>
            <w:tcW w:w="9853"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L’inscription de l'Équitation de tradition française sur la Liste représentative du patrimoine culturel immatériel de l'humanité a suscité une curiosité pour des pratiques désormais clairement identifiées et reconnues ainsi qu’une demande de formation. Elle a également favorisé l’appropriation par des acteurs divers des procédés et de l’esprit de la tradition française de l’équitation, renforçant leur sentiment d’appartenance à la communauté des praticiens. </w:t>
            </w:r>
          </w:p>
          <w:p>
            <w:pPr>
              <w:pStyle w:val="formtext"/>
              <w:snapToGrid w:val="false"/>
              <w:ind w:start="113" w:end="113"/>
              <w:jc w:val="both"/>
              <w:rPr/>
            </w:pPr>
            <w:r>
              <w:rPr>
                <w:lang w:val="fr-FR"/>
              </w:rPr>
              <w:t>Ces évolutions à l’intérieur comme à l'extérieur du Cadre Noir peuvent être l'occasion de réfléchir à une relation renouvelée entre l’École Nationale d’Équitation (très structurée au sein de l’Institut français du cheval et de l’équitation) et des praticiens aux statuts et intérêts divers mais tous désireux de promouvoir et de développer des pratiques équestres dans l’esprit de la tradition française.</w:t>
            </w:r>
          </w:p>
          <w:p>
            <w:pPr>
              <w:pStyle w:val="formtext"/>
              <w:snapToGrid w:val="false"/>
              <w:ind w:start="113" w:end="113"/>
              <w:jc w:val="both"/>
              <w:rPr>
                <w:lang w:val="fr-FR"/>
              </w:rPr>
            </w:pPr>
            <w:r>
              <w:rPr>
                <w:lang w:val="fr-FR"/>
              </w:rPr>
              <w:t>Il faudra veiller à ce que ce développement n'engendre pas d’exclusions pour non-conformité à la doctrine et de procès en légitimité, ou encore d'utilisation commerciale du « label ».</w:t>
            </w:r>
          </w:p>
          <w:p>
            <w:pPr>
              <w:pStyle w:val="formtext"/>
              <w:snapToGrid w:val="false"/>
              <w:ind w:start="113" w:end="113"/>
              <w:jc w:val="both"/>
              <w:rPr/>
            </w:pPr>
            <w:r>
              <w:rPr>
                <w:lang w:val="fr-FR"/>
              </w:rPr>
              <w:t>Les capacités d'intervention, de représentation, de formation du Cadre Noir doivent être maintenues face au risque de désengagement de l'État.</w:t>
            </w:r>
          </w:p>
          <w:p>
            <w:pPr>
              <w:pStyle w:val="formtext"/>
              <w:snapToGrid w:val="false"/>
              <w:ind w:start="113" w:end="113"/>
              <w:jc w:val="both"/>
              <w:rPr>
                <w:lang w:val="fr-FR"/>
              </w:rPr>
            </w:pPr>
            <w:r>
              <w:rPr>
                <w:rFonts w:eastAsia="Arial"/>
                <w:lang w:val="fr-FR"/>
              </w:rPr>
              <w:t xml:space="preserve"> </w:t>
            </w:r>
            <w:r>
              <w:rPr>
                <w:lang w:val="fr-FR"/>
              </w:rPr>
              <w:t>Cela implique aussi de défendre la diversité des pratiques de l'équitation de tradition française tout en en gardant les lignes directrices.</w:t>
            </w:r>
          </w:p>
          <w:p>
            <w:pPr>
              <w:pStyle w:val="formtext"/>
              <w:snapToGrid w:val="false"/>
              <w:spacing w:before="80" w:after="80"/>
              <w:ind w:start="113" w:end="113"/>
              <w:jc w:val="both"/>
              <w:rPr>
                <w:lang w:val="fr-FR"/>
              </w:rPr>
            </w:pPr>
            <w:r>
              <w:rPr>
                <w:lang w:val="fr-FR"/>
              </w:rPr>
              <w:t>Pour assurer la pérennité de la transmission de ce label  l’élément doit conserver sa dimension esthétique (élégance, discrétion des moyens) qui lui donne son  style  caractéristique de l'équitation de tradition française.</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C.3.</w:t>
            </w:r>
          </w:p>
        </w:tc>
        <w:tc>
          <w:tcPr>
            <w:tcW w:w="9073"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Contribution aux buts de la Liste</w:t>
            </w:r>
          </w:p>
          <w:p>
            <w:pPr>
              <w:pStyle w:val="Info2"/>
              <w:keepNext w:val="true"/>
              <w:spacing w:lineRule="exact" w:line="260" w:before="0" w:after="120"/>
              <w:jc w:val="both"/>
              <w:rPr/>
            </w:pPr>
            <w:r>
              <w:rPr>
                <w:lang w:val="fr-FR"/>
              </w:rPr>
              <w:t>Expliquez de quelle manière l’inscription de l’élément sur la Liste a contribué à assurer la visibilité du patrimoine culturel matériel et à sensibiliser les populations au niveau local, national et international, à son importance, mais aussi à promouvoir le respect de la diversité culturelle, de la créativité humaine et du respect mutuel auprès de communautés, de groupes et d’individus.</w:t>
            </w:r>
          </w:p>
        </w:tc>
      </w:tr>
      <w:tr>
        <w:trPr/>
        <w:tc>
          <w:tcPr>
            <w:tcW w:w="9853"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L’inscription de l’Équitation de tradition française sur la Liste représentative du patrimoine culturel immatériel de l’humanité a renforcé le sentiment d’appartenance des écuyers du Cadre Noir à une communauté dont la pratique reconnue mondialement est liée à la culture française dans son ensemble. Ces derniers ne se sentent désormais plus seuls responsables du maintien de la tradition, mais au contraire membres d’une communauté beaucoup plus vaste possédant des expressions différentes qu’ils sont amenés à accepter comme une vraie richesse. </w:t>
            </w:r>
          </w:p>
          <w:p>
            <w:pPr>
              <w:pStyle w:val="formtext"/>
              <w:snapToGrid w:val="false"/>
              <w:ind w:start="113" w:end="113"/>
              <w:jc w:val="both"/>
              <w:rPr/>
            </w:pPr>
            <w:r>
              <w:rPr>
                <w:lang w:val="fr-FR"/>
              </w:rPr>
              <w:t>L'inscription a aussi un effet positif chez les cavaliers amateurs ou professionnels, aux tempéraments plus sensible à l’art ou au sport et qui, plus ou moins isolés et éparpillés sur le territoire français ou à l’étranger, se sentent légitimés dans leur pratique différente de l'équitation.</w:t>
            </w:r>
          </w:p>
          <w:p>
            <w:pPr>
              <w:pStyle w:val="formtext"/>
              <w:snapToGrid w:val="false"/>
              <w:ind w:start="113" w:end="113"/>
              <w:jc w:val="both"/>
              <w:rPr>
                <w:lang w:val="fr-FR"/>
              </w:rPr>
            </w:pPr>
            <w:r>
              <w:rPr>
                <w:lang w:val="fr-FR"/>
              </w:rPr>
              <w:t>La venue des cavaliers individuels à Saumur et la diffusion par les Écuyers en déplacement à l'extérieur permet de transmettre le patrimoine et sensibiliser à son respect.</w:t>
            </w:r>
          </w:p>
          <w:p>
            <w:pPr>
              <w:pStyle w:val="formtext"/>
              <w:snapToGrid w:val="false"/>
              <w:ind w:start="113" w:end="113"/>
              <w:jc w:val="both"/>
              <w:rPr>
                <w:lang w:val="fr-FR"/>
              </w:rPr>
            </w:pPr>
            <w:r>
              <w:rPr>
                <w:lang w:val="fr-FR"/>
              </w:rPr>
              <w:t>La dimension culturelle de l'activité du Cadre Noir peut se développer avec une formation spécifique des jeunes écuyers, et par la production de documents spécifiques de tous types.</w:t>
            </w:r>
          </w:p>
          <w:p>
            <w:pPr>
              <w:pStyle w:val="formtext"/>
              <w:snapToGrid w:val="false"/>
              <w:spacing w:before="80" w:after="80"/>
              <w:ind w:start="113" w:end="113"/>
              <w:jc w:val="both"/>
              <w:rPr/>
            </w:pPr>
            <w:r>
              <w:rPr>
                <w:lang w:val="fr-FR"/>
              </w:rPr>
              <w:t xml:space="preserve">Ainsi l'inscription au patrimoine culturel immatériel doit aider à fédérer autour de la tradition.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C.4.</w:t>
            </w:r>
          </w:p>
        </w:tc>
        <w:tc>
          <w:tcPr>
            <w:tcW w:w="9073"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Efforts pour promouvoir ou renforcer l’élément</w:t>
            </w:r>
          </w:p>
          <w:p>
            <w:pPr>
              <w:pStyle w:val="Info2"/>
              <w:spacing w:before="0" w:after="120"/>
              <w:rPr>
                <w:lang w:val="fr-FR"/>
              </w:rPr>
            </w:pPr>
            <w:r>
              <w:rPr>
                <w:lang w:val="fr-FR"/>
              </w:rPr>
              <w:t>Décrivez les mesures qui ont été prises aux fins de la promotion et du renforcement de l’élément, en donnant le détail de toutes celles qui se sont révélées nécessaires en conséquence de son inscription.</w:t>
            </w:r>
          </w:p>
        </w:tc>
      </w:tr>
      <w:tr>
        <w:trPr/>
        <w:tc>
          <w:tcPr>
            <w:tcW w:w="9853"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 xml:space="preserve">L’annonce de l'inscription de l'Équitation de tradition française a coïncidé avec un important colloque organisé en décembre 2011 à l’école nationale d’Équitation (Saumur), avec le Ministère de la Culture et de la Communication, réunissant des professionnels du patrimoine et des cavaliers autour des « patrimoines de l’équitation française ». Ce calendrier a permis une bonne couverture médiatique de l'inscription, donnant ainsi une visibilité à la notion de patrimoine culturel immatériel et à la Convention de 2003.  </w:t>
            </w:r>
          </w:p>
          <w:p>
            <w:pPr>
              <w:pStyle w:val="formtext"/>
              <w:snapToGrid w:val="false"/>
              <w:ind w:start="113" w:end="113"/>
              <w:jc w:val="both"/>
              <w:rPr/>
            </w:pPr>
            <w:r>
              <w:rPr>
                <w:lang w:val="fr-FR"/>
              </w:rPr>
              <w:t xml:space="preserve">En octobre 2012, un gala réunissant les quatre grandes écoles européennes d'équitation a lieu à Paris-Bercy, permettant à ces dernières de valoriser leurs spécificités dans le respect mutuel, les différences de pratiques étant d'abord perçues comme une source d'enrichissement </w:t>
            </w:r>
          </w:p>
          <w:p>
            <w:pPr>
              <w:pStyle w:val="formtext"/>
              <w:snapToGrid w:val="false"/>
              <w:ind w:start="113" w:end="113"/>
              <w:jc w:val="both"/>
              <w:rPr/>
            </w:pPr>
            <w:r>
              <w:rPr>
                <w:lang w:val="fr-FR"/>
              </w:rPr>
              <w:t xml:space="preserve">A la suite de l'inscription de l'Équitation de tradition française sur la Liste représentative du patrimoine culturel immatériel de l'humanité, un comité de suivi, constitué d’une quinzaine de membres, a été mis en place au sein de l’école Nationale d’Équitation. Ce comité s’est déjà réuni trois fois entre janvier et septembre 2012. </w:t>
            </w:r>
          </w:p>
          <w:p>
            <w:pPr>
              <w:pStyle w:val="formtext"/>
              <w:snapToGrid w:val="false"/>
              <w:ind w:start="113" w:end="113"/>
              <w:jc w:val="both"/>
              <w:rPr/>
            </w:pPr>
            <w:r>
              <w:rPr>
                <w:lang w:val="fr-FR"/>
              </w:rPr>
              <w:t>Dans le cadre des mesures de sauvegarde et de valorisation de l'élément, l’école Nationale d’Équitation a programmé diverses manifestations et activités :</w:t>
            </w:r>
          </w:p>
          <w:p>
            <w:pPr>
              <w:pStyle w:val="formtext"/>
              <w:snapToGrid w:val="false"/>
              <w:ind w:start="113" w:end="113"/>
              <w:jc w:val="both"/>
              <w:rPr>
                <w:lang w:val="fr-FR"/>
              </w:rPr>
            </w:pPr>
            <w:r>
              <w:rPr>
                <w:lang w:val="fr-FR"/>
              </w:rPr>
              <w:t>un cours d’équitation de tradition française d’expression bauchériste, et le tournage d’un film sur cette technique . Il est proposé de renouveler ces stages, d'inviter des intervenants extérieurs, de former au travail à la main ( ou travail à pied ), au travail aux longues rênes</w:t>
            </w:r>
          </w:p>
          <w:p>
            <w:pPr>
              <w:pStyle w:val="formtext"/>
              <w:snapToGrid w:val="false"/>
              <w:ind w:start="113" w:end="113"/>
              <w:jc w:val="both"/>
              <w:rPr>
                <w:lang w:val="fr-FR"/>
              </w:rPr>
            </w:pPr>
            <w:r>
              <w:rPr>
                <w:lang w:val="fr-FR"/>
              </w:rPr>
              <w:t>la collecte audio-vidéo de témoignages d’écuyers se réclamant de cette communauté</w:t>
            </w:r>
          </w:p>
          <w:p>
            <w:pPr>
              <w:pStyle w:val="formtext"/>
              <w:snapToGrid w:val="false"/>
              <w:ind w:start="113" w:end="113"/>
              <w:jc w:val="both"/>
              <w:rPr>
                <w:lang w:val="fr-FR"/>
              </w:rPr>
            </w:pPr>
            <w:r>
              <w:rPr>
                <w:lang w:val="fr-FR"/>
              </w:rPr>
              <w:t>la tenue d’un symposium en juin 2013</w:t>
            </w:r>
          </w:p>
          <w:p>
            <w:pPr>
              <w:pStyle w:val="formtext"/>
              <w:snapToGrid w:val="false"/>
              <w:ind w:start="113" w:end="113"/>
              <w:jc w:val="both"/>
              <w:rPr/>
            </w:pPr>
            <w:r>
              <w:rPr>
                <w:lang w:val="fr-FR"/>
              </w:rPr>
              <w:t>la constitution d’un groupe de chercheurs pour faire une pré-étude sur le thème « bien-être et flexibilité du cheval », avec l'objectif de rendre objectivable le concept de « légèreté »</w:t>
            </w:r>
          </w:p>
          <w:p>
            <w:pPr>
              <w:pStyle w:val="formtext"/>
              <w:snapToGrid w:val="false"/>
              <w:ind w:start="113" w:end="113"/>
              <w:jc w:val="both"/>
              <w:rPr>
                <w:lang w:val="fr-FR"/>
              </w:rPr>
            </w:pPr>
            <w:r>
              <w:rPr>
                <w:lang w:val="fr-FR"/>
              </w:rPr>
              <w:t>des présentations et démonstrations dans le cadre des Journées européennes du patrimoine en 2013, à l'occasion des 10 ans de la Convention pour la sauvegarde du PCI.</w:t>
            </w:r>
          </w:p>
          <w:p>
            <w:pPr>
              <w:pStyle w:val="formtext"/>
              <w:snapToGrid w:val="false"/>
              <w:ind w:start="113" w:end="113"/>
              <w:jc w:val="both"/>
              <w:rPr/>
            </w:pPr>
            <w:r>
              <w:rPr>
                <w:lang w:val="fr-FR"/>
              </w:rPr>
              <w:t>Des activités didactiques seront proposées par l'intermédiaire des chevaux dressés par les écuyers, afin de montrer la spécificité de l’équitation de tradition française ( exemple des sauteurs aux piliers )</w:t>
            </w:r>
          </w:p>
          <w:p>
            <w:pPr>
              <w:pStyle w:val="formtext"/>
              <w:snapToGrid w:val="false"/>
              <w:spacing w:before="80" w:after="80"/>
              <w:ind w:start="113" w:end="113"/>
              <w:jc w:val="both"/>
              <w:rPr>
                <w:lang w:val="fr-FR"/>
              </w:rPr>
            </w:pPr>
            <w:r>
              <w:rPr>
                <w:lang w:val="fr-FR"/>
              </w:rPr>
              <w:t xml:space="preserve">Les éléments matériels du patrimoine seront associés : selle à la française, bride, gants, coupe des bottes, coupe de la tunique, afin de soutenir un artisanat menacé par les fabrications industrielles, tout en tenant compte de l'évolution des techniques, car leur amélioration se fait dans la perspective de faciliter la relation cavalier/cheval.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C.5.</w:t>
            </w:r>
          </w:p>
        </w:tc>
        <w:tc>
          <w:tcPr>
            <w:tcW w:w="9073"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w:t>
            </w:r>
          </w:p>
          <w:p>
            <w:pPr>
              <w:pStyle w:val="Info2"/>
              <w:keepNext w:val="true"/>
              <w:spacing w:lineRule="exact" w:line="260" w:before="0" w:after="120"/>
              <w:jc w:val="both"/>
              <w:rPr/>
            </w:pPr>
            <w:r>
              <w:rPr>
                <w:rFonts w:eastAsia="SimSun;宋体"/>
                <w:lang w:val="fr-FR"/>
              </w:rPr>
              <w:t>Décrivez la participation des communautés, des groupes et des individus à la sauvegarde de l’élément et indiquez s’ils ont la volonté de continuer à le sauvegarder.</w:t>
            </w:r>
          </w:p>
        </w:tc>
      </w:tr>
      <w:tr>
        <w:trPr/>
        <w:tc>
          <w:tcPr>
            <w:tcW w:w="9853"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Les écuyers du Cadre Noir sont impliqués dans le comité de suivi de l'inscription de l'Équitation de tradition française, ainsi que plusieurs cavaliers indépendants.</w:t>
            </w:r>
          </w:p>
          <w:p>
            <w:pPr>
              <w:pStyle w:val="formtext"/>
              <w:snapToGrid w:val="false"/>
              <w:ind w:start="113" w:end="113"/>
              <w:jc w:val="both"/>
              <w:rPr/>
            </w:pPr>
            <w:r>
              <w:rPr>
                <w:lang w:val="fr-FR"/>
              </w:rPr>
              <w:t>La relation au sujet du label UNESCO sera développée avec les groupes intéressés : Amis du cadre Noir, association Allege Ideal, association pour l'Équitation de légèreté, sous réserve de leur participation désintéressée.</w:t>
            </w:r>
          </w:p>
          <w:p>
            <w:pPr>
              <w:pStyle w:val="formtext"/>
              <w:snapToGrid w:val="false"/>
              <w:spacing w:before="80" w:after="80"/>
              <w:ind w:start="113" w:end="113"/>
              <w:jc w:val="both"/>
              <w:rPr/>
            </w:pPr>
            <w:r>
              <w:rPr>
                <w:lang w:val="fr-FR"/>
              </w:rPr>
              <w:t>Un soutien sera apporté à l'initiative privée comme celle d'organiser un colloque sur le Général Lhotte (en projet) ou d'associer des personnalités ayant œuvré pour la défense du patrimoine.</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C.6.</w:t>
            </w:r>
          </w:p>
        </w:tc>
        <w:tc>
          <w:tcPr>
            <w:tcW w:w="9073"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Contexte institutionnel</w:t>
            </w:r>
          </w:p>
          <w:p>
            <w:pPr>
              <w:pStyle w:val="Info2"/>
              <w:rPr>
                <w:lang w:val="fr-FR"/>
              </w:rPr>
            </w:pPr>
            <w:r>
              <w:rPr>
                <w:lang w:val="fr-FR"/>
              </w:rPr>
              <w:t>Informations concernant le contexte institutionnel de l’élément inscrit sur la Liste représentative, y compris :</w:t>
            </w:r>
          </w:p>
          <w:p>
            <w:pPr>
              <w:pStyle w:val="num02tab"/>
              <w:numPr>
                <w:ilvl w:val="0"/>
                <w:numId w:val="10"/>
              </w:numPr>
              <w:suppressAutoHyphens w:val="true"/>
              <w:ind w:hanging="360" w:start="372" w:end="113"/>
              <w:rPr>
                <w:lang w:val="fr-FR"/>
              </w:rPr>
            </w:pPr>
            <w:r>
              <w:rPr>
                <w:lang w:val="fr-FR"/>
              </w:rPr>
              <w:t>le ou les organisme(s) compétent(s) impliqué(s) dans sa gestion et/ou sa sauvegarde ;</w:t>
            </w:r>
          </w:p>
          <w:p>
            <w:pPr>
              <w:pStyle w:val="num02tab"/>
              <w:numPr>
                <w:ilvl w:val="0"/>
                <w:numId w:val="10"/>
              </w:numPr>
              <w:suppressAutoHyphens w:val="true"/>
              <w:spacing w:before="0" w:after="120"/>
              <w:ind w:hanging="360" w:start="372" w:end="113"/>
              <w:rPr>
                <w:lang w:val="fr-FR"/>
              </w:rPr>
            </w:pPr>
            <w:r>
              <w:rPr>
                <w:lang w:val="fr-FR"/>
              </w:rPr>
              <w:t>la ou les organisation(s) de la communauté ou du groupe concernée(s) par l’élément et sa sauvegarde.</w:t>
            </w:r>
          </w:p>
        </w:tc>
      </w:tr>
      <w:tr>
        <w:trPr/>
        <w:tc>
          <w:tcPr>
            <w:tcW w:w="9853"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pPr>
            <w:r>
              <w:rPr>
                <w:lang w:val="fr-FR"/>
              </w:rPr>
              <w:t>Le Cadre Noir de Saumur chargé de participer au rayonnement de l'équitation française tout en formant les cadres supérieurs de la filière et en soutenant le haut niveau sportif (écuyer en chef : Jean-Michel Faure- école Nationale d'Équitation - BP 207-49411 SAUMUR cedex)</w:t>
            </w:r>
          </w:p>
          <w:p>
            <w:pPr>
              <w:pStyle w:val="formtext"/>
              <w:snapToGrid w:val="false"/>
              <w:ind w:start="113" w:end="113"/>
              <w:jc w:val="both"/>
              <w:rPr/>
            </w:pPr>
            <w:r>
              <w:rPr>
                <w:lang w:val="fr-FR"/>
              </w:rPr>
              <w:t xml:space="preserve">L'Institut Français du Cheval et de l'Équitation (IFCE), établissement public dont le Conseil d'administration comprend, outre des représentants de l'État, des compétiteurs de haut niveau, des membres de la fédération française d'équitation, des enseignants, des éleveurs, des représentants d'association de races (Christian Vanier, directeur général de l’IFCE – Terrefort - BP 207- 49411 Saumur Cedex) </w:t>
            </w:r>
          </w:p>
          <w:p>
            <w:pPr>
              <w:pStyle w:val="formtext"/>
              <w:snapToGrid w:val="false"/>
              <w:spacing w:before="80" w:after="80"/>
              <w:ind w:start="113" w:end="113"/>
              <w:jc w:val="both"/>
              <w:rPr/>
            </w:pPr>
            <w:r>
              <w:rPr>
                <w:lang w:val="fr-FR"/>
              </w:rPr>
              <w:t>Le présent formulaire a été renseigné sur la base des informations fournies par l'école Nationale d'Equitation/Institut français du cheval et de l'équitation.</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C.7.</w:t>
            </w:r>
          </w:p>
        </w:tc>
        <w:tc>
          <w:tcPr>
            <w:tcW w:w="9073" w:type="dxa"/>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 à l’établissement du présent rapport</w:t>
            </w:r>
          </w:p>
          <w:p>
            <w:pPr>
              <w:pStyle w:val="Info2"/>
              <w:keepNext w:val="true"/>
              <w:spacing w:lineRule="exact" w:line="260" w:before="0" w:after="120"/>
              <w:jc w:val="both"/>
              <w:rPr/>
            </w:pPr>
            <w:r>
              <w:rPr>
                <w:lang w:val="fr-FR"/>
              </w:rPr>
              <w:t>Décrivez les mesures qui ont été prises pour assurer la plus large participation possible des communautés, des groupes et, le cas échéant, des individus concernés pendant la préparation du présent rapport pour chaque élément concerné.</w:t>
            </w:r>
          </w:p>
        </w:tc>
      </w:tr>
      <w:tr>
        <w:trPr/>
        <w:tc>
          <w:tcPr>
            <w:tcW w:w="9853" w:type="dxa"/>
            <w:gridSpan w:val="2"/>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rPr/>
            </w:pPr>
            <w:r>
              <w:rPr>
                <w:lang w:val="fr-FR"/>
              </w:rPr>
              <w:t>Le document relatif à la mise en œuvre des mesures du plan de sauvegarde a été rédigé par les porteurs mêmes du dossier de candidature, les informations ont été recueillies et revues ensuite par le CFPCI et le Ministère de la culture.</w:t>
            </w:r>
          </w:p>
        </w:tc>
      </w:tr>
    </w:tbl>
    <w:p>
      <w:pPr>
        <w:pStyle w:val="Normal"/>
        <w:rPr>
          <w:lang w:val="fr-FR"/>
        </w:rPr>
      </w:pPr>
      <w:r>
        <w:rPr>
          <w:lang w:val="fr-FR"/>
        </w:rPr>
      </w:r>
      <w:r>
        <w:br w:type="page"/>
      </w:r>
    </w:p>
    <w:p>
      <w:pPr>
        <w:pStyle w:val="Normal"/>
        <w:rPr>
          <w:lang w:val="fr-FR"/>
        </w:rPr>
      </w:pPr>
      <w:r>
        <w:rPr>
          <w:lang w:val="fr-FR"/>
        </w:rPr>
      </w:r>
    </w:p>
    <w:tbl>
      <w:tblPr>
        <w:tblW w:w="9853" w:type="dxa"/>
        <w:jc w:val="start"/>
        <w:tblInd w:w="-159" w:type="dxa"/>
        <w:tblLayout w:type="fixed"/>
        <w:tblCellMar>
          <w:top w:w="0" w:type="dxa"/>
          <w:start w:w="0" w:type="dxa"/>
          <w:bottom w:w="0" w:type="dxa"/>
          <w:end w:w="0" w:type="dxa"/>
        </w:tblCellMar>
      </w:tblPr>
      <w:tblGrid>
        <w:gridCol w:w="780"/>
        <w:gridCol w:w="37"/>
        <w:gridCol w:w="8959"/>
        <w:gridCol w:w="60"/>
        <w:gridCol w:w="17"/>
      </w:tblGrid>
      <w:tr>
        <w:trPr/>
        <w:tc>
          <w:tcPr>
            <w:tcW w:w="780" w:type="dxa"/>
            <w:tcBorders>
              <w:top w:val="single" w:sz="4" w:space="0" w:color="000000"/>
              <w:start w:val="single" w:sz="4" w:space="0" w:color="000000"/>
              <w:bottom w:val="single" w:sz="4" w:space="0" w:color="000000"/>
            </w:tcBorders>
            <w:shd w:fill="CCCCCC" w:val="clear"/>
          </w:tcPr>
          <w:p>
            <w:pPr>
              <w:pStyle w:val="Grille02"/>
              <w:snapToGrid w:val="false"/>
              <w:spacing w:before="120" w:after="120"/>
              <w:jc w:val="end"/>
              <w:rPr/>
            </w:pPr>
            <w:r>
              <w:rPr/>
              <w:t>C.</w:t>
            </w:r>
          </w:p>
        </w:tc>
        <w:tc>
          <w:tcPr>
            <w:tcW w:w="9073" w:type="dxa"/>
            <w:gridSpan w:val="3"/>
            <w:tcBorders>
              <w:top w:val="single" w:sz="4" w:space="0" w:color="000000"/>
              <w:bottom w:val="single" w:sz="4" w:space="0" w:color="000000"/>
              <w:end w:val="single" w:sz="4" w:space="0" w:color="000000"/>
            </w:tcBorders>
            <w:shd w:fill="CCCCCC" w:val="clear"/>
          </w:tcPr>
          <w:p>
            <w:pPr>
              <w:pStyle w:val="Grille01"/>
              <w:snapToGrid w:val="false"/>
              <w:spacing w:before="120" w:after="120"/>
              <w:rPr>
                <w:rFonts w:eastAsia="SimSun;宋体" w:cs="Arial"/>
                <w:bCs/>
                <w:szCs w:val="22"/>
                <w:lang w:val="fr-FR"/>
              </w:rPr>
            </w:pPr>
            <w:r>
              <w:rPr>
                <w:rFonts w:eastAsia="SimSun;宋体" w:cs="Arial"/>
                <w:bCs/>
                <w:szCs w:val="22"/>
                <w:lang w:val="fr-FR"/>
              </w:rPr>
              <w:t>Statut des éléments inscrits sur la Liste représentative</w:t>
            </w:r>
          </w:p>
          <w:p>
            <w:pPr>
              <w:pStyle w:val="Info2"/>
              <w:rPr/>
            </w:pPr>
            <w:r>
              <w:rPr>
                <w:lang w:val="fr-FR"/>
              </w:rPr>
              <w:t xml:space="preserve">Veuillez fournir l’ensemble des informations demandées ci-après pour chacun des éléments du patrimoine culturel immatériel présents sur le territoire de l’État qui ont été inscrits sur la Liste représentative. Pour décrire l’état </w:t>
            </w:r>
            <w:r>
              <w:rPr>
                <w:b/>
                <w:bCs/>
                <w:lang w:val="fr-FR"/>
              </w:rPr>
              <w:t>actuel</w:t>
            </w:r>
            <w:r>
              <w:rPr>
                <w:lang w:val="fr-FR"/>
              </w:rPr>
              <w:t xml:space="preserve"> de l’élément, vous prendrez pour base le dossier de proposition d’inscription et ne rendez compte que des changements pertinents survenus depuis la date de l’inscription sur la Liste ou depuis le dernier rapport établi. Les dossiers de proposition d’inscription et les précédents rapports peuvent être consultés sur le Web (www.unesco.org/culture/ich) ou, sur demande, au Secrétariat.</w:t>
            </w:r>
          </w:p>
          <w:p>
            <w:pPr>
              <w:pStyle w:val="Info2"/>
              <w:keepNext w:val="true"/>
              <w:spacing w:lineRule="exact" w:line="260" w:before="0" w:after="120"/>
              <w:jc w:val="both"/>
              <w:rPr/>
            </w:pPr>
            <w:r>
              <w:rPr>
                <w:lang w:val="fr-FR"/>
              </w:rPr>
              <w:t>L’État partie s’efforce d’assurer la plus large participation possible des communautés, des groupes et, le cas échéant, des individus concernés au cours du processus de préparation de chaque rapport et il lui est demandé au point C.7 ci-après de décrire de quelle manière il y est parvenu.</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3" w:type="dxa"/>
            <w:gridSpan w:val="3"/>
            <w:tcBorders>
              <w:top w:val="single" w:sz="4" w:space="0" w:color="000000"/>
              <w:bottom w:val="single" w:sz="4" w:space="0" w:color="000000"/>
              <w:end w:val="single" w:sz="4" w:space="0" w:color="000000"/>
            </w:tcBorders>
          </w:tcPr>
          <w:p>
            <w:pPr>
              <w:pStyle w:val="Grille02"/>
              <w:snapToGrid w:val="false"/>
              <w:spacing w:before="120" w:after="120"/>
              <w:ind w:start="113" w:end="113"/>
              <w:rPr>
                <w:lang w:val="fr-FR"/>
              </w:rPr>
            </w:pPr>
            <w:r>
              <w:rPr>
                <w:lang w:val="fr-FR"/>
              </w:rPr>
              <w:t xml:space="preserve">Nom de l’élément : </w:t>
            </w:r>
            <w:r>
              <w:rPr>
                <w:b w:val="false"/>
                <w:lang w:val="fr-FR"/>
              </w:rPr>
              <w:t>Géants et dragons processionnels de Belgique et de France</w:t>
            </w:r>
          </w:p>
        </w:tc>
      </w:tr>
      <w:tr>
        <w:trPr/>
        <w:tc>
          <w:tcPr>
            <w:tcW w:w="780" w:type="dxa"/>
            <w:tcBorders>
              <w:top w:val="single" w:sz="4" w:space="0" w:color="000000"/>
              <w:start w:val="single" w:sz="4" w:space="0" w:color="000000"/>
              <w:bottom w:val="single" w:sz="4" w:space="0" w:color="000000"/>
            </w:tcBorders>
          </w:tcPr>
          <w:p>
            <w:pPr>
              <w:pStyle w:val="Grille02"/>
              <w:snapToGrid w:val="false"/>
              <w:spacing w:before="120" w:after="120"/>
              <w:jc w:val="end"/>
              <w:rPr>
                <w:lang w:val="fr-FR"/>
              </w:rPr>
            </w:pPr>
            <w:r>
              <w:rPr>
                <w:lang w:val="fr-FR"/>
              </w:rPr>
            </w:r>
          </w:p>
        </w:tc>
        <w:tc>
          <w:tcPr>
            <w:tcW w:w="9073" w:type="dxa"/>
            <w:gridSpan w:val="3"/>
            <w:tcBorders>
              <w:top w:val="single" w:sz="4" w:space="0" w:color="000000"/>
              <w:bottom w:val="single" w:sz="4" w:space="0" w:color="000000"/>
              <w:end w:val="single" w:sz="4" w:space="0" w:color="000000"/>
            </w:tcBorders>
          </w:tcPr>
          <w:p>
            <w:pPr>
              <w:pStyle w:val="Grille02"/>
              <w:snapToGrid w:val="false"/>
              <w:spacing w:before="120" w:after="120"/>
              <w:ind w:start="113" w:end="113"/>
              <w:rPr/>
            </w:pPr>
            <w:r>
              <w:rPr/>
              <w:t>Inscrit en :2008</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C.1.</w:t>
            </w:r>
          </w:p>
        </w:tc>
        <w:tc>
          <w:tcPr>
            <w:tcW w:w="9073" w:type="dxa"/>
            <w:gridSpan w:val="3"/>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Fonctions sociales et culturelles</w:t>
            </w:r>
          </w:p>
          <w:p>
            <w:pPr>
              <w:pStyle w:val="Info2"/>
              <w:keepNext w:val="true"/>
              <w:spacing w:lineRule="exact" w:line="260" w:before="0" w:after="120"/>
              <w:jc w:val="both"/>
              <w:rPr/>
            </w:pPr>
            <w:r>
              <w:rPr>
                <w:iCs w:val="false"/>
                <w:lang w:val="fr-FR"/>
              </w:rPr>
              <w:t>Expliquez les fonctions et les significations sociales et culturelles de l’élément aujourd’hui, dans le groupe de population d’où il est originaire et pour ce groupe, les caractéristiques de ses gardiens et de ses praticiens et décrivez, entre autres, toute catégorie de personnes exerçant un rôle ou des responsabilités spécifiques vis-à-vis de l’élément. Il faut mentionner tout changement pertinent susceptible d’avoir des répercussions sur le critère d’inscription R.1 (« </w:t>
            </w:r>
            <w:r>
              <w:rPr>
                <w:lang w:val="fr-FR"/>
              </w:rPr>
              <w:t>L’élément est constitutif du patrimoine culturel immatériel tel que défini à l’article 2 de la Convention »).</w:t>
            </w:r>
          </w:p>
        </w:tc>
      </w:tr>
      <w:tr>
        <w:trPr/>
        <w:tc>
          <w:tcPr>
            <w:tcW w:w="9853" w:type="dxa"/>
            <w:gridSpan w:val="4"/>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lang w:val="fr-FR"/>
              </w:rPr>
            </w:pPr>
            <w:r>
              <w:rPr>
                <w:rFonts w:cs="Arial"/>
                <w:color w:val="000000"/>
                <w:lang w:val="fr-FR"/>
              </w:rPr>
              <w:t>L'élément, partagé avec la Belgique, inclut pour la France les fêtes de la Tarasque à Tarascon, le carnaval de Pézenas et son Poulain, les fêtes de Gayant à Douai, ainsi que le carnaval de Cassel et ses géants, Reuze papa et Reuze maman. Ces figures et animaux gigantesques sont parfaitement intégrés au milieu urbain où ils sont nés voici plusieurs siècles. Ils conservent pour les habitants une importante valeur symbolique et identitaire : on parle ainsi parfois d' « animaux totémiques » pour le Poulain et la Tarasque, tandis que les Douaisiens se nomment eux-mêmes les « enfants de Gayant ». Les géants représentent en effet des animaux, des monstres ou des personnages historiques ou mythiques qui ont trait à l’origine légendaire, à l'histoire ou à la vie de la cité. Suivis par la foule, ils interprètent des scènes en référence à l'histoire ou à la légende locales et dansent dans les rues, accompagnés de fanfares et de leurs « compagnons » (géants) ou de leur « chevaleret » (animaux). Au-delà de leurs spécificités formelles, ces géants humains, animaux et dragons présentent donc une proximité fonctionnelle. Les fêtes dans lesquelles ils entrent en scène jouent un rôle très important dans la vie des communautés locales et sont attendues impatiemment chaque année. Ces fêtes sont aussi l'occasion de rassemblements familiaux.</w:t>
              <w:br/>
              <w:t xml:space="preserve">Les porteurs de géants sont d'origine sociale diverse (ouvriers, employés, enseignants, agents des services publics, commerçants...) mais ils constituent des groupes très soudés par des liens familiaux ou amicaux. Leur recrutement obéit à des règles rigoureuses, à la fois sur le plan technique et humain. Les effigies gigantesques appartiennent à des collectivités (Villes) ou des associations qui ont notamment en charge leur entretien. Celui-ci mobilise les savoir-faire spécifiques d'artistes géantiers et d'artisans. Quant aux habitants, ils participent très largement aux différentes étapes des festivités et de leurs préparatifs. </w:t>
              <w:b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C.2.</w:t>
            </w:r>
          </w:p>
        </w:tc>
        <w:tc>
          <w:tcPr>
            <w:tcW w:w="9073" w:type="dxa"/>
            <w:gridSpan w:val="3"/>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Analyse de la viabilité de l’élément et risques auxquels il est actuellement exposé</w:t>
            </w:r>
          </w:p>
          <w:p>
            <w:pPr>
              <w:pStyle w:val="Info2"/>
              <w:keepNext w:val="true"/>
              <w:spacing w:lineRule="exact" w:line="260" w:before="0" w:after="120"/>
              <w:jc w:val="both"/>
              <w:rPr/>
            </w:pPr>
            <w:r>
              <w:rPr>
                <w:bCs/>
                <w:iCs w:val="false"/>
                <w:lang w:val="fr-FR"/>
              </w:rPr>
              <w:t>Décrivez le degré de viabilité actuelle de l’élément, en particulier la fréquence et l’étendue de sa pratique, la force des modes de transmission traditionnels, la composition démographique des praticiens et des publics et sa durabilité. Veuillez aussi identifier et décrire les facteurs qui, le cas échéant, constituent une menace pour la pérennité de la transmission et de la représentation de l’élément et indiquez le degré de gravité et de proximité de tels facteurs.</w:t>
            </w:r>
          </w:p>
        </w:tc>
      </w:tr>
      <w:tr>
        <w:trPr/>
        <w:tc>
          <w:tcPr>
            <w:tcW w:w="9853" w:type="dxa"/>
            <w:gridSpan w:val="4"/>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lang w:val="fr-FR"/>
              </w:rPr>
            </w:pPr>
            <w:r>
              <w:rPr>
                <w:rFonts w:cs="Arial"/>
                <w:lang w:val="fr-FR"/>
              </w:rPr>
              <w:t>L'élément témoigne d'un important dynamisme : les figures gigantesques s’animent chaque année à la date prévue pour leurs fêtes respectives, et l'ensemble des pratiques qui leur sont associées demeurent aujourd'hui très vivantes. Les manifestations, recréées chaque année, reproduisent les rituels tout en s'adaptant au contexte actuel.</w:t>
              <w:br/>
              <w:t xml:space="preserve">Les habitants sont très attachés à leurs géants humains et animaux. Les figures gigantesques sont entretenues et restaurées avec soin par les associations qui en ont la charge. La transmission aux jeunes générations se fait par imprégnation puisque les enfants prennent part aux festivités. A Cassel par exemple, elle est renforcée par l’organisation d’un carnaval enfantin. Les candidats porteurs sont nombreux, et leur recrutement doit donc faire l'objet d'une sélection (de même que pour les figurants, les musiciens...). Cela n'est toutefois pas le cas à Pézenas où certaines sorties du Poulain ont failli être annulées faute de porteurs. </w:t>
              <w:br/>
              <w:t xml:space="preserve">Le public est de plus en plus nombreux et enthousiaste suite à la reconnaissance comme chef-d’œuvre du patrimoine oral et immatériel de l'humanité en 2005, puis à l’inscription sur la Liste représentative. </w:t>
              <w:br/>
              <w:t>Ainsi à Douai, le public des fêtes de Gayant est estimé à 80 000 personnes, originaires de la région en majorité. Mais l'événement attire désormais des publics venant d'autres régions de France ou de l'étranger (Belgique, Pays-Bas, Angleterre).</w:t>
              <w:br/>
              <w:t xml:space="preserve">L'afflux de touristes pourrait donc avoir des conséquences négatives sur la forme et le sens de l'élément, voire entraîner sa marchandisation. Toutefois les organisateurs, attentifs à ces risques, sont attachés à préserver ce qui fait la spécificité des manifestations et leur sens pour les communautés locales.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C.3.</w:t>
            </w:r>
          </w:p>
        </w:tc>
        <w:tc>
          <w:tcPr>
            <w:tcW w:w="9073" w:type="dxa"/>
            <w:gridSpan w:val="3"/>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Contribution aux buts de la Liste</w:t>
            </w:r>
          </w:p>
          <w:p>
            <w:pPr>
              <w:pStyle w:val="Info2"/>
              <w:keepNext w:val="true"/>
              <w:spacing w:lineRule="exact" w:line="260" w:before="0" w:after="120"/>
              <w:jc w:val="both"/>
              <w:rPr/>
            </w:pPr>
            <w:r>
              <w:rPr>
                <w:lang w:val="fr-FR"/>
              </w:rPr>
              <w:t>Expliquez de quelle manière l’inscription de l’élément sur la Liste a contribué à assurer la visibilité du patrimoine culturel matériel et à sensibiliser les populations au niveau local, national et international, à son importance, mais aussi à promouvoir le respect de la diversité culturelle, de la créativité humaine et du respect mutuel auprès de communautés, de groupes et d’individus.</w:t>
            </w:r>
          </w:p>
        </w:tc>
      </w:tr>
      <w:tr>
        <w:trPr/>
        <w:tc>
          <w:tcPr>
            <w:tcW w:w="9853" w:type="dxa"/>
            <w:gridSpan w:val="4"/>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lang w:val="fr-FR"/>
              </w:rPr>
            </w:pPr>
            <w:r>
              <w:rPr>
                <w:rFonts w:cs="Arial"/>
                <w:lang w:val="fr-FR"/>
              </w:rPr>
              <w:t xml:space="preserve">Les festivités associées à l'élément étant annuelles, chaque nouvelle édition est l'occasion de communiquer autour du patrimoine culturel immatériel. </w:t>
              <w:br/>
              <w:t>Le caractère bi-national de l'élément inscrit a permis de développer des contacts étroits avec la Belgique, notamment avec la Maison des Géants d’Ath. La revue "Géants d’ici et d’ailleurs" de la Maison des Géants a ainsi publié plusieurs articles sur les figures gigantesques de France, et sur le patrimoine culturel immatériel. Quant au calendrier des géants, édité chaque année par la Maison des Géants et largement diffusé, il inclut les sorties de géants et d'animaux totémiques en France et signale ceux qui sont inscrits sur la Liste représentative.</w:t>
              <w:br/>
              <w:t>A Douai, les Fêtes de Gayant sont également l'occasion de célébrer l'amitié internationale. Les villes jumelées sont représentées (Belgique, Allemagne, Angleterre, États-Unis, Pologne, Burkina Faso). Les villes de Recklinghausen (Allemagne), de Harrow (Grande-Bretagne) ou de Dedougou (Burkina Faso) participent également au cortège avec des groupes musicaux. A l'occasion des anniversaires de jumelage avec Recklingausen et Harrow, les géants ont été exceptionnellement transportés dans ces deux villes afin d'être présentés à leurs habitants.</w:t>
              <w:br/>
              <w:t>Toutefois les communautés n'ont pas toujours été informées de l'intégration à la Liste représentative des anciens chefs d'œuvre et de ses implications, constituant un frein à une communication appropriée concernant le patrimoine culturel immatériel et à sa visibilité.</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C.4.</w:t>
            </w:r>
          </w:p>
        </w:tc>
        <w:tc>
          <w:tcPr>
            <w:tcW w:w="9073" w:type="dxa"/>
            <w:gridSpan w:val="3"/>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Efforts pour promouvoir ou renforcer l’élément</w:t>
            </w:r>
          </w:p>
          <w:p>
            <w:pPr>
              <w:pStyle w:val="Info2"/>
              <w:spacing w:before="0" w:after="120"/>
              <w:rPr>
                <w:lang w:val="fr-FR"/>
              </w:rPr>
            </w:pPr>
            <w:r>
              <w:rPr>
                <w:lang w:val="fr-FR"/>
              </w:rPr>
              <w:t>Décrivez les mesures qui ont été prises aux fins de la promotion et du renforcement de l’élément, en donnant le détail de toutes celles qui se sont révélées nécessaires en conséquence de son inscription.</w:t>
            </w:r>
          </w:p>
        </w:tc>
      </w:tr>
      <w:tr>
        <w:trPr/>
        <w:tc>
          <w:tcPr>
            <w:tcW w:w="9853" w:type="dxa"/>
            <w:gridSpan w:val="4"/>
            <w:tcBorders>
              <w:top w:val="single" w:sz="4" w:space="0" w:color="000000"/>
              <w:start w:val="single" w:sz="4" w:space="0" w:color="000000"/>
              <w:bottom w:val="single" w:sz="4" w:space="0" w:color="000000"/>
              <w:end w:val="single" w:sz="4" w:space="0" w:color="000000"/>
            </w:tcBorders>
          </w:tcPr>
          <w:p>
            <w:pPr>
              <w:pStyle w:val="formtext"/>
              <w:snapToGrid w:val="false"/>
              <w:spacing w:before="80" w:after="0"/>
              <w:ind w:start="113" w:end="113"/>
              <w:jc w:val="both"/>
              <w:rPr>
                <w:rFonts w:cs="Arial"/>
                <w:lang w:val="fr-FR"/>
              </w:rPr>
            </w:pPr>
            <w:r>
              <w:rPr>
                <w:rFonts w:cs="Arial"/>
                <w:lang w:val="fr-FR"/>
              </w:rPr>
              <w:t>Le cas des Géants et dragons processionnels est particulier au regard des autres éléments français inscrits sur la Liste représentative puisqu'ils ont d'abord été proclamés chefs d'oeuvre du patrimoine oral et immatériel de l'humanité (2005). Le dossier de candidature ne prévoyait donc pas de mesures de sauvegarde.</w:t>
              <w:br/>
              <w:br/>
              <w:t>Toutefois, des actions sont évidemment menées par les communautés concernées.</w:t>
              <w:br/>
              <w:t>La Ville de Douai met en œuvre des moyens matériels et humains, pour un budget annuel d'environ 12 000€. Une équipe de 6 personnes s'occupe de l'entretien courant des géants et de leur local : habillage, déshabillage, nettoyage, rangement, petites interventions, tandis que les travaux plus importants sont confiés à des professionnels (coiffeurs, manneliers, peintres...). Un rassemblement des géants est organisé par l'office de tourisme de Douai, le samedi qui précède la sortie de la Famille Gayant. Le géant Binbin participe à l'exposition "la perception du temps" au musée du Louvre-Lens (4 décembre 2012-20 octobre 2013). Cette exposition permettra au grand public de découvrir également le tableau de Watteau (1780) "La famille du Grand Gayant de Douai". Un film intitulé "A pas de géants" est diffusé quotidiennement à l'office de tourisme et ailleurs lors des manifestations douaisiennes. Des visites sont également organisées par l'office de tourisme à la maison des géants de Douai.</w:t>
              <w:br/>
              <w:br/>
              <w:t>A Cassel, dès 2000, des copies des Géants datant de 1827 et 1860 ont été réalisées afin de préserver les originaux. Avec le plasticien Stéphane Deleurence, les géants ont été précisément moulés pour une reproduction à l’identique. Les originaux sont déposés au Musée Départemental de Flandre mais restent propriété de la Ville. La tradition est également préservée : peu de sorties et les géants ne sont visibles que durant la période de carnaval (y compris au Musée départemental de Flandre qui les accueille : une cloison amovible les cache en dehors des périodes carnavalesques). Plusieurs expositions de photographies ont été organisées afin de promouvoir les géants et leur carnaval (fonds anciens et photographies récentes) ; une exposition extérieure sur bâches a par exemple lieu à l'été 2012 sur le thème du carnaval hier et aujourd’hui.</w:t>
              <w:br/>
              <w:br/>
              <w:t>Une exposition sur les animaux totémiques a été réalisée à la Maison des métiers d'Art de Pézenas, et une autre au Musée du Biterrois (Béziers).</w:t>
              <w:br/>
              <w:br/>
              <w:t xml:space="preserve">Par ailleurs, un inventaire des géants du Nord sera réalisé à partir du début de l'année 2013 dans le cadre d'un appel à projets du ministère de la Culture et de la Communication pour l'inventaire national du patrimoine culturel immatériel. Le projet coordonné par le Centre français du patrimoine culturel immatériel sera réalisé en collaboration avec les associations de géants et la Maison des Géants d'Ath. En effet les anciens « chefs-d’œuvre » n'ayant pas été soumis à l'obligation de figurer dans un inventaire national comme c'est le cas des éléments candidats à la Liste représentative, les géants ne sont pas à ce jour recensés dans l'inventaire du patrimoine culturel immatériel en France, initié en 2008 et coordonné par le ministère de la Culture et de la Communication. </w:t>
              <w:b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C.5.</w:t>
            </w:r>
          </w:p>
        </w:tc>
        <w:tc>
          <w:tcPr>
            <w:tcW w:w="9073" w:type="dxa"/>
            <w:gridSpan w:val="3"/>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w:t>
            </w:r>
          </w:p>
          <w:p>
            <w:pPr>
              <w:pStyle w:val="Info2"/>
              <w:keepNext w:val="true"/>
              <w:spacing w:lineRule="exact" w:line="260" w:before="0" w:after="120"/>
              <w:jc w:val="both"/>
              <w:rPr/>
            </w:pPr>
            <w:r>
              <w:rPr>
                <w:rFonts w:eastAsia="SimSun;宋体"/>
                <w:lang w:val="fr-FR"/>
              </w:rPr>
              <w:t>Décrivez la participation des communautés, des groupes et des individus à la sauvegarde de l’élément et indiquez s’ils ont la volonté de continuer à le sauvegarder.</w:t>
            </w:r>
          </w:p>
        </w:tc>
      </w:tr>
      <w:tr>
        <w:trPr/>
        <w:tc>
          <w:tcPr>
            <w:tcW w:w="9853" w:type="dxa"/>
            <w:gridSpan w:val="4"/>
            <w:tcBorders>
              <w:top w:val="single" w:sz="4" w:space="0" w:color="000000"/>
              <w:start w:val="single" w:sz="4" w:space="0" w:color="000000"/>
              <w:bottom w:val="single" w:sz="4" w:space="0" w:color="000000"/>
              <w:end w:val="single" w:sz="4" w:space="0" w:color="000000"/>
            </w:tcBorders>
          </w:tcPr>
          <w:p>
            <w:pPr>
              <w:pStyle w:val="formtext"/>
              <w:snapToGrid w:val="false"/>
              <w:spacing w:before="80" w:after="0"/>
              <w:ind w:start="113" w:end="113"/>
              <w:jc w:val="both"/>
              <w:rPr>
                <w:lang w:val="fr-FR"/>
              </w:rPr>
            </w:pPr>
            <w:r>
              <w:rPr>
                <w:rFonts w:cs="Arial"/>
                <w:lang w:val="fr-FR"/>
              </w:rPr>
              <w:t xml:space="preserve">Associations, Villes et élus, public... prennent part largement et activement aux festivités et à leur préparation, ainsi qu'à l'entretien des géants. </w:t>
              <w:br/>
              <w:br/>
              <w:t xml:space="preserve">A Douai par exemple, les géants de la Famille Gayant sont portés par une corporation hiérarchisée et structurée, composée de 50 membres (porteurs, quêteurs et chefs de protocole). Au sein de cette corporation, un comité élu se réunit régulièrement (3 à 4 fois par an) afin de prévoir l'entretien des géants, d'améliorer sans cesse les circuits de déplacements des géants dans la ville pour être au plus près des habitants : rencontres dans les quartiers, invitations par les habitants, aubades, rencontres avec les enfants des centres de loisirs…Certains participent également à l'entretien courant des géants au sein d'un groupe dans lequel s'impliquent d'autres Douaisiens. </w:t>
              <w:br/>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C.6.</w:t>
            </w:r>
          </w:p>
        </w:tc>
        <w:tc>
          <w:tcPr>
            <w:tcW w:w="9073" w:type="dxa"/>
            <w:gridSpan w:val="3"/>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Contexte institutionnel</w:t>
            </w:r>
          </w:p>
          <w:p>
            <w:pPr>
              <w:pStyle w:val="Info2"/>
              <w:rPr/>
            </w:pPr>
            <w:r>
              <w:rPr>
                <w:lang w:val="fr-FR"/>
              </w:rPr>
              <w:t>Informations concernant le contexte institutionnel de l’élément inscrit sur la Liste représentative, y compris :</w:t>
            </w:r>
          </w:p>
          <w:p>
            <w:pPr>
              <w:pStyle w:val="num02tab"/>
              <w:numPr>
                <w:ilvl w:val="0"/>
                <w:numId w:val="18"/>
              </w:numPr>
              <w:suppressAutoHyphens w:val="true"/>
              <w:ind w:hanging="360" w:start="372" w:end="113"/>
              <w:rPr>
                <w:lang w:val="fr-FR"/>
              </w:rPr>
            </w:pPr>
            <w:r>
              <w:rPr>
                <w:lang w:val="fr-FR"/>
              </w:rPr>
              <w:t>le ou les organisme(s) compétent(s) impliqué(s) dans sa gestion et/ou sa sauvegarde ;</w:t>
            </w:r>
          </w:p>
          <w:p>
            <w:pPr>
              <w:pStyle w:val="num02tab"/>
              <w:numPr>
                <w:ilvl w:val="0"/>
                <w:numId w:val="18"/>
              </w:numPr>
              <w:suppressAutoHyphens w:val="true"/>
              <w:spacing w:before="0" w:after="120"/>
              <w:ind w:hanging="360" w:start="372" w:end="113"/>
              <w:rPr>
                <w:lang w:val="fr-FR"/>
              </w:rPr>
            </w:pPr>
            <w:r>
              <w:rPr>
                <w:lang w:val="fr-FR"/>
              </w:rPr>
              <w:t>la ou les organisation(s) de la communauté ou du groupe concernée(s) par l’élément et sa sauvegarde.</w:t>
            </w:r>
          </w:p>
        </w:tc>
      </w:tr>
      <w:tr>
        <w:trPr/>
        <w:tc>
          <w:tcPr>
            <w:tcW w:w="9853" w:type="dxa"/>
            <w:gridSpan w:val="4"/>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jc w:val="both"/>
              <w:rPr>
                <w:lang w:val="fr-FR"/>
              </w:rPr>
            </w:pPr>
            <w:r>
              <w:rPr>
                <w:rFonts w:eastAsia="TimesNewRomanPSMT" w:cs="TimesNewRomanPSMT"/>
                <w:lang w:val="fr-FR"/>
              </w:rPr>
              <w:t>La Ville de Cassel représentée par son Maire, René DECODTS, l’adjoint chargé des fêtes, Francis HOLIN, l’adjoint chargé de la communication et du tourisme, Eric HAEUW (téléphone [téléphone retiré] - [courriel retiré]) assure la pérennité matérielle des éléments. L’association « Les amis de reuze papa et reuze maman » assure, en collaboration avec la Ville, l’organisation des deux carnavals, en particulier en recrutant les porteurs de Géants et de Grosses têtes. Elle est la gardienne de la tradition et chaque décision est prise en concertation (Président : André DEBUSSCHE)</w:t>
              <w:br/>
              <w:br/>
              <w:t>La Ville de Douai représentée par son Maire, Jacques VERNIER, et la Directrice du service communication, fêtes et vie associative, Michèle MORAISIN (téléphone [téléphone retiré] - [courriel retiré]) gère l'entretien et la restauration des géants, ainsi que l'organisation des Fêtes de Gayant en juillet, en collaboration avec la corporation des porteurs des géants.</w:t>
              <w:br/>
              <w:br/>
              <w:t>L'association des amis du Poulain de Pézenas (Président : Stéphan BRIARD ; Vice-Président et meneur du Poulain : Albert LOPEZ) inclut les porteurs et les musiciens ; elle a en charge les animations concernant les sorties du Poulain. La Ville de Pézenas représentée par son Maire, Alain VOGEL SINGER (téléphone [téléphone retiré] - [courriel retiré]).</w:t>
              <w:br/>
              <w:br/>
              <w:t>La Ville de Tarascon représentée par son Maire, Charles FABRE, et l’association des chevaliers de la Tarasque ou « Tarascaïres » qui « poussent la Tarasque » lors des fêtes (Président : Christian GUIOT).</w:t>
              <w:br/>
              <w:br/>
              <w:t xml:space="preserve">Le présent formulaire a été renseigné grâce aux contributions de la Ville de Cassel, celle de la Ville de Douai (à laquelle ont été associés en interne l'office de tourisme de Douai, la corporation des porteurs et les techniciens de la Ville), recueillies par le Centre français du patrimoine culturel immatériel, et avec la collaboration de la Maison des Géants à Ath. </w:t>
            </w:r>
          </w:p>
        </w:tc>
      </w:tr>
      <w:tr>
        <w:trPr/>
        <w:tc>
          <w:tcPr>
            <w:tcW w:w="780" w:type="dxa"/>
            <w:tcBorders>
              <w:top w:val="single" w:sz="4" w:space="0" w:color="000000"/>
              <w:start w:val="single" w:sz="4" w:space="0" w:color="000000"/>
              <w:bottom w:val="single" w:sz="4" w:space="0" w:color="000000"/>
            </w:tcBorders>
            <w:shd w:fill="E0E0E0" w:val="clear"/>
          </w:tcPr>
          <w:p>
            <w:pPr>
              <w:pStyle w:val="Grille02"/>
              <w:snapToGrid w:val="false"/>
              <w:spacing w:before="120" w:after="120"/>
              <w:jc w:val="end"/>
              <w:rPr/>
            </w:pPr>
            <w:r>
              <w:rPr/>
              <w:t>C.7.</w:t>
            </w:r>
          </w:p>
        </w:tc>
        <w:tc>
          <w:tcPr>
            <w:tcW w:w="9073" w:type="dxa"/>
            <w:gridSpan w:val="3"/>
            <w:tcBorders>
              <w:top w:val="single" w:sz="4" w:space="0" w:color="000000"/>
              <w:bottom w:val="single" w:sz="4" w:space="0" w:color="000000"/>
              <w:end w:val="single" w:sz="4" w:space="0" w:color="000000"/>
            </w:tcBorders>
            <w:shd w:fill="E0E0E0" w:val="clear"/>
          </w:tcPr>
          <w:p>
            <w:pPr>
              <w:pStyle w:val="Grille02"/>
              <w:snapToGrid w:val="false"/>
              <w:spacing w:before="120" w:after="120"/>
              <w:ind w:start="113" w:end="113"/>
              <w:rPr>
                <w:lang w:val="fr-FR"/>
              </w:rPr>
            </w:pPr>
            <w:r>
              <w:rPr>
                <w:lang w:val="fr-FR"/>
              </w:rPr>
              <w:t>Participation des communautés à l’établissement du présent rapport</w:t>
            </w:r>
          </w:p>
          <w:p>
            <w:pPr>
              <w:pStyle w:val="Info2"/>
              <w:spacing w:before="0" w:after="120"/>
              <w:rPr>
                <w:lang w:val="fr-FR"/>
              </w:rPr>
            </w:pPr>
            <w:r>
              <w:rPr>
                <w:lang w:val="fr-FR"/>
              </w:rPr>
              <w:t>Décrivez les mesures qui ont été prises pour assurer la plus large participation possible des communautés, des groupes et, le cas échéant, des individus concernés pendant la préparation du présent rapport pour chaque élément concerné.</w:t>
            </w:r>
          </w:p>
        </w:tc>
      </w:tr>
      <w:tr>
        <w:trPr/>
        <w:tc>
          <w:tcPr>
            <w:tcW w:w="9853" w:type="dxa"/>
            <w:gridSpan w:val="4"/>
            <w:tcBorders>
              <w:top w:val="single" w:sz="4" w:space="0" w:color="000000"/>
              <w:start w:val="single" w:sz="4" w:space="0" w:color="000000"/>
              <w:bottom w:val="single" w:sz="4" w:space="0" w:color="000000"/>
              <w:end w:val="single" w:sz="4" w:space="0" w:color="000000"/>
            </w:tcBorders>
          </w:tcPr>
          <w:p>
            <w:pPr>
              <w:pStyle w:val="formtext"/>
              <w:snapToGrid w:val="false"/>
              <w:spacing w:before="80" w:after="80"/>
              <w:ind w:start="113" w:end="113"/>
              <w:rPr/>
            </w:pPr>
            <w:r>
              <w:rPr>
                <w:lang w:val="fr-FR"/>
              </w:rPr>
              <w:t>Le document relatif à la mise en œuvre des mesures du plan de sauvegarde a été rédigé par les porteurs mêmes du dossier de candidature, les informations ont été recueillies et revues ensuite par le CFPCI et le Ministère de la culture.</w:t>
            </w:r>
          </w:p>
        </w:tc>
      </w:tr>
      <w:tr>
        <w:trPr/>
        <w:tc>
          <w:tcPr>
            <w:tcW w:w="817" w:type="dxa"/>
            <w:gridSpan w:val="2"/>
            <w:tcBorders>
              <w:top w:val="single" w:sz="4" w:space="0" w:color="000000"/>
              <w:start w:val="single" w:sz="4" w:space="0" w:color="000000"/>
              <w:bottom w:val="single" w:sz="4" w:space="0" w:color="000000"/>
            </w:tcBorders>
            <w:shd w:fill="CCCCCC" w:val="clear"/>
          </w:tcPr>
          <w:p>
            <w:pPr>
              <w:pStyle w:val="Grille02"/>
              <w:spacing w:before="120" w:after="120"/>
              <w:jc w:val="end"/>
              <w:rPr>
                <w:lang w:val="fr-FR"/>
              </w:rPr>
            </w:pPr>
            <w:r>
              <w:rPr>
                <w:lang w:val="fr-FR"/>
              </w:rPr>
              <w:t>D.</w:t>
            </w:r>
          </w:p>
        </w:tc>
        <w:tc>
          <w:tcPr>
            <w:tcW w:w="8959" w:type="dxa"/>
            <w:tcBorders>
              <w:top w:val="single" w:sz="4" w:space="0" w:color="000000"/>
              <w:bottom w:val="single" w:sz="4" w:space="0" w:color="000000"/>
              <w:end w:val="single" w:sz="4" w:space="0" w:color="000000"/>
            </w:tcBorders>
            <w:shd w:fill="CCCCCC" w:val="clear"/>
          </w:tcPr>
          <w:p>
            <w:pPr>
              <w:pStyle w:val="Grille01"/>
              <w:spacing w:before="120" w:after="120"/>
              <w:rPr>
                <w:rFonts w:eastAsia="SimSun;宋体" w:cs="Arial"/>
                <w:szCs w:val="22"/>
                <w:lang w:val="fr-FR"/>
              </w:rPr>
            </w:pPr>
            <w:r>
              <w:rPr>
                <w:rFonts w:eastAsia="SimSun;宋体" w:cs="Arial"/>
                <w:szCs w:val="22"/>
                <w:lang w:val="fr-FR"/>
              </w:rPr>
              <w:t>Signature au nom de l’État partie</w:t>
            </w:r>
          </w:p>
          <w:p>
            <w:pPr>
              <w:pStyle w:val="Info2"/>
              <w:spacing w:before="0" w:after="120"/>
              <w:ind w:start="113" w:end="113"/>
              <w:rPr>
                <w:lang w:val="fr-FR"/>
              </w:rPr>
            </w:pPr>
            <w:r>
              <w:rPr>
                <w:rFonts w:eastAsia="SimSun;宋体"/>
                <w:lang w:val="fr-FR"/>
              </w:rPr>
              <w:t>Le rapport doit se terminer par la signature originale du fonctionnaire compétent pour le signer au nom de l’État, accompagnée de son nom, de son titre et de la date de soumission.</w:t>
            </w:r>
          </w:p>
        </w:tc>
        <w:tc>
          <w:tcPr>
            <w:tcW w:w="60" w:type="dxa"/>
            <w:tcBorders/>
          </w:tcPr>
          <w:p>
            <w:pPr>
              <w:pStyle w:val="Normal"/>
              <w:snapToGrid w:val="false"/>
              <w:rPr>
                <w:lang w:val="fr-FR"/>
              </w:rPr>
            </w:pPr>
            <w:r>
              <w:rPr>
                <w:lang w:val="fr-FR"/>
              </w:rPr>
            </w:r>
          </w:p>
        </w:tc>
      </w:tr>
      <w:tr>
        <w:trPr/>
        <w:tc>
          <w:tcPr>
            <w:tcW w:w="9776" w:type="dxa"/>
            <w:gridSpan w:val="3"/>
            <w:tcBorders>
              <w:top w:val="single" w:sz="4" w:space="0" w:color="000000"/>
              <w:start w:val="single" w:sz="4" w:space="0" w:color="000000"/>
              <w:bottom w:val="single" w:sz="4" w:space="0" w:color="000000"/>
              <w:end w:val="single" w:sz="4" w:space="0" w:color="000000"/>
            </w:tcBorders>
          </w:tcPr>
          <w:tbl>
            <w:tblPr>
              <w:tblW w:w="9398" w:type="dxa"/>
              <w:jc w:val="start"/>
              <w:tblInd w:w="0" w:type="dxa"/>
              <w:tblLayout w:type="fixed"/>
              <w:tblCellMar>
                <w:top w:w="0" w:type="dxa"/>
                <w:start w:w="57" w:type="dxa"/>
                <w:bottom w:w="0" w:type="dxa"/>
                <w:end w:w="57" w:type="dxa"/>
              </w:tblCellMar>
            </w:tblPr>
            <w:tblGrid>
              <w:gridCol w:w="2009"/>
              <w:gridCol w:w="7389"/>
            </w:tblGrid>
            <w:tr>
              <w:trPr/>
              <w:tc>
                <w:tcPr>
                  <w:tcW w:w="2009" w:type="dxa"/>
                  <w:tcBorders/>
                </w:tcPr>
                <w:p>
                  <w:pPr>
                    <w:pStyle w:val="Rponse"/>
                    <w:spacing w:lineRule="auto" w:line="240" w:before="120" w:after="120"/>
                    <w:jc w:val="end"/>
                    <w:rPr>
                      <w:sz w:val="20"/>
                      <w:szCs w:val="20"/>
                    </w:rPr>
                  </w:pPr>
                  <w:r>
                    <w:rPr>
                      <w:sz w:val="20"/>
                      <w:szCs w:val="20"/>
                    </w:rPr>
                    <w:t>Nom :</w:t>
                  </w:r>
                </w:p>
              </w:tc>
              <w:tc>
                <w:tcPr>
                  <w:tcW w:w="7389" w:type="dxa"/>
                  <w:tcBorders/>
                  <w:vAlign w:val="center"/>
                </w:tcPr>
                <w:p>
                  <w:pPr>
                    <w:pStyle w:val="Rponse"/>
                    <w:spacing w:lineRule="auto" w:line="240" w:before="120" w:after="120"/>
                    <w:jc w:val="start"/>
                    <w:rPr/>
                  </w:pPr>
                  <w:r>
                    <w:fldChar w:fldCharType="begin">
                      <w:ffData>
                        <w:name w:val="Texte57"/>
                        <w:enabled/>
                        <w:calcOnExit w:val="0"/>
                        <w:textInput/>
                      </w:ffData>
                    </w:fldChar>
                  </w:r>
                  <w:r>
                    <w:rPr>
                      <w:rFonts w:eastAsia="SimSun;宋体" w:cs="Times New Roman"/>
                    </w:rPr>
                    <w:instrText xml:space="preserve"> FORMTEXT </w:instrText>
                  </w:r>
                  <w:r>
                    <w:rPr>
                      <w:rFonts w:eastAsia="SimSun;宋体" w:cs="Times New Roman"/>
                    </w:rPr>
                  </w:r>
                  <w:r>
                    <w:rPr>
                      <w:rFonts w:eastAsia="SimSun;宋体" w:cs="Times New Roman"/>
                    </w:rPr>
                    <w:fldChar w:fldCharType="separate"/>
                  </w:r>
                  <w:r>
                    <w:rPr>
                      <w:rFonts w:eastAsia="SimSun;宋体" w:cs="Times New Roman"/>
                    </w:rPr>
                    <w:t>     </w:t>
                  </w:r>
                  <w:r/>
                  <w:r>
                    <w:rPr>
                      <w:rFonts w:eastAsia="SimSun;宋体" w:cs="Times New Roman"/>
                    </w:rPr>
                    <w:fldChar w:fldCharType="end"/>
                  </w:r>
                  <w:r>
                    <w:rPr>
                      <w:rFonts w:eastAsia="SimSun;宋体" w:cs="Times New Roman"/>
                    </w:rPr>
                  </w:r>
                </w:p>
              </w:tc>
            </w:tr>
            <w:tr>
              <w:trPr/>
              <w:tc>
                <w:tcPr>
                  <w:tcW w:w="2009" w:type="dxa"/>
                  <w:tcBorders/>
                </w:tcPr>
                <w:p>
                  <w:pPr>
                    <w:pStyle w:val="Rponse"/>
                    <w:spacing w:lineRule="auto" w:line="240" w:before="120" w:after="120"/>
                    <w:jc w:val="end"/>
                    <w:rPr>
                      <w:sz w:val="20"/>
                      <w:szCs w:val="20"/>
                    </w:rPr>
                  </w:pPr>
                  <w:r>
                    <w:rPr>
                      <w:iCs/>
                      <w:sz w:val="20"/>
                      <w:szCs w:val="20"/>
                    </w:rPr>
                    <w:t>Titre :</w:t>
                  </w:r>
                </w:p>
              </w:tc>
              <w:tc>
                <w:tcPr>
                  <w:tcW w:w="7389" w:type="dxa"/>
                  <w:tcBorders/>
                  <w:vAlign w:val="center"/>
                </w:tcPr>
                <w:p>
                  <w:pPr>
                    <w:pStyle w:val="Rponse"/>
                    <w:spacing w:lineRule="auto" w:line="240" w:before="120" w:after="120"/>
                    <w:jc w:val="start"/>
                    <w:rPr/>
                  </w:pPr>
                  <w:r>
                    <w:fldChar w:fldCharType="begin">
                      <w:ffData>
                        <w:name w:val="Texte58"/>
                        <w:enabled/>
                        <w:calcOnExit w:val="0"/>
                        <w:textInput/>
                      </w:ffData>
                    </w:fldChar>
                  </w:r>
                  <w:r>
                    <w:rPr>
                      <w:rFonts w:eastAsia="SimSun;宋体" w:cs="Times New Roman"/>
                    </w:rPr>
                    <w:instrText xml:space="preserve"> FORMTEXT </w:instrText>
                  </w:r>
                  <w:r>
                    <w:rPr>
                      <w:rFonts w:eastAsia="SimSun;宋体" w:cs="Times New Roman"/>
                    </w:rPr>
                  </w:r>
                  <w:r>
                    <w:rPr>
                      <w:rFonts w:eastAsia="SimSun;宋体" w:cs="Times New Roman"/>
                    </w:rPr>
                    <w:fldChar w:fldCharType="separate"/>
                  </w:r>
                  <w:r>
                    <w:rPr>
                      <w:rFonts w:eastAsia="SimSun;宋体" w:cs="Times New Roman"/>
                    </w:rPr>
                    <w:t>     </w:t>
                  </w:r>
                  <w:r/>
                  <w:r>
                    <w:rPr>
                      <w:rFonts w:eastAsia="SimSun;宋体" w:cs="Times New Roman"/>
                    </w:rPr>
                    <w:fldChar w:fldCharType="end"/>
                  </w:r>
                  <w:r>
                    <w:rPr>
                      <w:rFonts w:eastAsia="SimSun;宋体" w:cs="Times New Roman"/>
                    </w:rPr>
                  </w:r>
                </w:p>
              </w:tc>
            </w:tr>
            <w:tr>
              <w:trPr/>
              <w:tc>
                <w:tcPr>
                  <w:tcW w:w="2009" w:type="dxa"/>
                  <w:tcBorders/>
                </w:tcPr>
                <w:p>
                  <w:pPr>
                    <w:pStyle w:val="Rponse"/>
                    <w:spacing w:lineRule="auto" w:line="240" w:before="120" w:after="120"/>
                    <w:jc w:val="end"/>
                    <w:rPr>
                      <w:sz w:val="20"/>
                      <w:szCs w:val="20"/>
                    </w:rPr>
                  </w:pPr>
                  <w:r>
                    <w:rPr>
                      <w:iCs/>
                      <w:sz w:val="20"/>
                      <w:szCs w:val="20"/>
                    </w:rPr>
                    <w:t>Date :</w:t>
                  </w:r>
                </w:p>
              </w:tc>
              <w:tc>
                <w:tcPr>
                  <w:tcW w:w="7389" w:type="dxa"/>
                  <w:tcBorders/>
                  <w:vAlign w:val="center"/>
                </w:tcPr>
                <w:p>
                  <w:pPr>
                    <w:pStyle w:val="Rponse"/>
                    <w:spacing w:lineRule="auto" w:line="240" w:before="120" w:after="120"/>
                    <w:jc w:val="start"/>
                    <w:rPr/>
                  </w:pPr>
                  <w:r>
                    <w:fldChar w:fldCharType="begin">
                      <w:ffData>
                        <w:name w:val="Texte59"/>
                        <w:enabled/>
                        <w:calcOnExit w:val="0"/>
                        <w:textInput/>
                      </w:ffData>
                    </w:fldChar>
                  </w:r>
                  <w:r>
                    <w:rPr>
                      <w:rFonts w:eastAsia="SimSun;宋体" w:cs="Times New Roman"/>
                    </w:rPr>
                    <w:instrText xml:space="preserve"> FORMTEXT </w:instrText>
                  </w:r>
                  <w:r>
                    <w:rPr>
                      <w:rFonts w:eastAsia="SimSun;宋体" w:cs="Times New Roman"/>
                    </w:rPr>
                  </w:r>
                  <w:r>
                    <w:rPr>
                      <w:rFonts w:eastAsia="SimSun;宋体" w:cs="Times New Roman"/>
                    </w:rPr>
                    <w:fldChar w:fldCharType="separate"/>
                  </w:r>
                  <w:r>
                    <w:rPr>
                      <w:rFonts w:eastAsia="SimSun;宋体" w:cs="Times New Roman"/>
                    </w:rPr>
                    <w:t>     </w:t>
                  </w:r>
                  <w:r/>
                  <w:r>
                    <w:rPr>
                      <w:rFonts w:eastAsia="SimSun;宋体" w:cs="Times New Roman"/>
                    </w:rPr>
                    <w:fldChar w:fldCharType="end"/>
                  </w:r>
                  <w:r>
                    <w:rPr>
                      <w:rFonts w:eastAsia="SimSun;宋体" w:cs="Times New Roman"/>
                    </w:rPr>
                  </w:r>
                </w:p>
              </w:tc>
            </w:tr>
            <w:tr>
              <w:trPr/>
              <w:tc>
                <w:tcPr>
                  <w:tcW w:w="2009" w:type="dxa"/>
                  <w:tcBorders/>
                </w:tcPr>
                <w:p>
                  <w:pPr>
                    <w:pStyle w:val="Rponse"/>
                    <w:spacing w:lineRule="auto" w:line="240" w:before="120" w:after="120"/>
                    <w:jc w:val="end"/>
                    <w:rPr>
                      <w:sz w:val="20"/>
                      <w:szCs w:val="20"/>
                    </w:rPr>
                  </w:pPr>
                  <w:r>
                    <w:rPr>
                      <w:iCs/>
                      <w:sz w:val="20"/>
                      <w:szCs w:val="20"/>
                    </w:rPr>
                    <w:t>Signature :</w:t>
                  </w:r>
                </w:p>
              </w:tc>
              <w:tc>
                <w:tcPr>
                  <w:tcW w:w="7389" w:type="dxa"/>
                  <w:tcBorders/>
                  <w:vAlign w:val="center"/>
                </w:tcPr>
                <w:p>
                  <w:pPr>
                    <w:pStyle w:val="Rponse"/>
                    <w:spacing w:lineRule="auto" w:line="240" w:before="120" w:after="120"/>
                    <w:jc w:val="start"/>
                    <w:rPr/>
                  </w:pPr>
                  <w:r>
                    <w:fldChar w:fldCharType="begin">
                      <w:ffData>
                        <w:name w:val="Texte60"/>
                        <w:enabled/>
                        <w:calcOnExit w:val="0"/>
                        <w:textInput/>
                      </w:ffData>
                    </w:fldChar>
                  </w:r>
                  <w:r>
                    <w:rPr>
                      <w:rFonts w:eastAsia="SimSun;宋体" w:cs="Times New Roman"/>
                    </w:rPr>
                    <w:instrText xml:space="preserve"> FORMTEXT </w:instrText>
                  </w:r>
                  <w:r>
                    <w:rPr>
                      <w:rFonts w:eastAsia="SimSun;宋体" w:cs="Times New Roman"/>
                    </w:rPr>
                  </w:r>
                  <w:r>
                    <w:rPr>
                      <w:rFonts w:eastAsia="SimSun;宋体" w:cs="Times New Roman"/>
                    </w:rPr>
                    <w:fldChar w:fldCharType="separate"/>
                  </w:r>
                  <w:r>
                    <w:rPr>
                      <w:rFonts w:eastAsia="SimSun;宋体" w:cs="Times New Roman"/>
                    </w:rPr>
                    <w:t>     </w:t>
                  </w:r>
                  <w:r/>
                  <w:r>
                    <w:rPr>
                      <w:rFonts w:eastAsia="SimSun;宋体" w:cs="Times New Roman"/>
                    </w:rPr>
                    <w:fldChar w:fldCharType="end"/>
                  </w:r>
                  <w:r>
                    <w:rPr>
                      <w:rFonts w:eastAsia="SimSun;宋体" w:cs="Times New Roman"/>
                    </w:rPr>
                  </w:r>
                </w:p>
              </w:tc>
            </w:tr>
          </w:tbl>
          <w:p>
            <w:pPr>
              <w:pStyle w:val="formtext"/>
              <w:spacing w:before="80" w:after="80"/>
              <w:ind w:start="113" w:end="113"/>
              <w:rPr>
                <w:lang w:val="fr-FR"/>
              </w:rPr>
            </w:pPr>
            <w:r>
              <w:rPr>
                <w:lang w:val="fr-FR"/>
              </w:rPr>
            </w:r>
          </w:p>
        </w:tc>
        <w:tc>
          <w:tcPr>
            <w:tcW w:w="60" w:type="dxa"/>
            <w:tcBorders/>
          </w:tcPr>
          <w:p>
            <w:pPr>
              <w:pStyle w:val="Normal"/>
              <w:snapToGrid w:val="false"/>
              <w:rPr>
                <w:lang w:val="fr-FR"/>
              </w:rPr>
            </w:pPr>
            <w:r>
              <w:rPr>
                <w:lang w:val="fr-FR"/>
              </w:rPr>
            </w:r>
          </w:p>
        </w:tc>
      </w:tr>
    </w:tbl>
    <w:p>
      <w:pPr>
        <w:pStyle w:val="Inter1"/>
        <w:keepNext w:val="false"/>
        <w:spacing w:before="240" w:after="120"/>
        <w:rPr>
          <w:iCs/>
          <w:sz w:val="20"/>
          <w:szCs w:val="20"/>
          <w:lang w:val="fr-FR"/>
        </w:rPr>
      </w:pPr>
      <w:r>
        <w:rPr>
          <w:iCs/>
          <w:sz w:val="20"/>
          <w:szCs w:val="20"/>
          <w:lang w:val="fr-F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397" w:top="959" w:footer="284"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Wingdings">
    <w:charset w:val="02"/>
    <w:family w:val="auto"/>
    <w:pitch w:val="variable"/>
  </w:font>
  <w:font w:name="OpenSymbol">
    <w:altName w:val="Arial Unicode MS"/>
    <w:charset w:val="00" w:characterSet="windows-1252"/>
    <w:family w:val="auto"/>
    <w:pitch w:val="variable"/>
  </w:font>
  <w:font w:name="Liberation Sans">
    <w:altName w:val="Arial"/>
    <w:charset w:val="00" w:characterSet="iso-8859-1"/>
    <w:family w:val="swiss"/>
    <w:pitch w:val="variable"/>
  </w:font>
  <w:font w:name="Tahoma">
    <w:charset w:val="00" w:characterSet="windows-1252"/>
    <w:family w:val="swiss"/>
    <w:pitch w:val="variable"/>
  </w:font>
  <w:font w:name="Imprint MT Shadow">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cs="Arial"/>
        <w:sz w:val="16"/>
        <w:szCs w:val="16"/>
        <w:lang w:val="fr-FR"/>
      </w:rPr>
      <w:t xml:space="preserve">Rapport périodique n° 00824/France – page </w:t>
    </w:r>
    <w:r>
      <w:rPr>
        <w:rFonts w:cs="Arial"/>
        <w:sz w:val="16"/>
        <w:szCs w:val="16"/>
      </w:rPr>
      <w:fldChar w:fldCharType="begin"/>
    </w:r>
    <w:r>
      <w:rPr>
        <w:sz w:val="16"/>
        <w:szCs w:val="16"/>
        <w:rFonts w:cs="Arial"/>
      </w:rPr>
      <w:instrText xml:space="preserve"> PAGE </w:instrText>
    </w:r>
    <w:r>
      <w:rPr>
        <w:sz w:val="16"/>
        <w:szCs w:val="16"/>
        <w:rFonts w:cs="Arial"/>
      </w:rPr>
      <w:fldChar w:fldCharType="separate"/>
    </w:r>
    <w:r>
      <w:rPr>
        <w:sz w:val="16"/>
        <w:szCs w:val="16"/>
        <w:rFonts w:cs="Arial"/>
      </w:rPr>
      <w:t>78</w:t>
    </w:r>
    <w:r>
      <w:rPr>
        <w:sz w:val="16"/>
        <w:szCs w:val="16"/>
        <w:rFonts w:cs="Arial"/>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cs="Arial"/>
        <w:sz w:val="16"/>
        <w:szCs w:val="16"/>
        <w:lang w:val="fr-FR"/>
      </w:rPr>
      <w:t xml:space="preserve">Rapport périodique n° 00824/France – page </w:t>
    </w:r>
    <w:r>
      <w:rPr>
        <w:rFonts w:cs="Arial"/>
        <w:sz w:val="16"/>
        <w:szCs w:val="16"/>
      </w:rPr>
      <w:fldChar w:fldCharType="begin"/>
    </w:r>
    <w:r>
      <w:rPr>
        <w:sz w:val="16"/>
        <w:szCs w:val="16"/>
        <w:rFonts w:cs="Arial"/>
      </w:rPr>
      <w:instrText xml:space="preserve"> PAGE </w:instrText>
    </w:r>
    <w:r>
      <w:rPr>
        <w:sz w:val="16"/>
        <w:szCs w:val="16"/>
        <w:rFonts w:cs="Arial"/>
      </w:rPr>
      <w:fldChar w:fldCharType="separate"/>
    </w:r>
    <w:r>
      <w:rPr>
        <w:sz w:val="16"/>
        <w:szCs w:val="16"/>
        <w:rFonts w:cs="Arial"/>
      </w:rPr>
      <w:t>79</w:t>
    </w:r>
    <w:r>
      <w:rPr>
        <w:sz w:val="16"/>
        <w:szCs w:val="16"/>
        <w:rFonts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jc w:val="end"/>
      <w:rPr>
        <w:rStyle w:val="Hyperlink"/>
        <w:rFonts w:cs="Arial"/>
        <w:sz w:val="14"/>
        <w:szCs w:val="14"/>
        <w:lang w:val="fr-FR"/>
      </w:rPr>
    </w:pPr>
    <w:r>
      <w:rPr>
        <w:lang w:val="fr-FR"/>
      </w:rPr>
    </w:r>
  </w:p>
  <w:p>
    <w:pPr>
      <w:pStyle w:val="Header"/>
      <w:jc w:val="end"/>
      <w:rPr/>
    </w:pPr>
    <w:r>
      <w:rPr>
        <w:rFonts w:cs="Arial"/>
        <w:sz w:val="16"/>
        <w:szCs w:val="16"/>
        <w:lang w:val="fr-FR"/>
      </w:rPr>
      <w:t xml:space="preserve">Rapport périodique n° 00824/France – page </w:t>
    </w:r>
    <w:r>
      <w:rPr>
        <w:rFonts w:cs="Arial"/>
        <w:sz w:val="16"/>
        <w:szCs w:val="16"/>
      </w:rPr>
      <w:fldChar w:fldCharType="begin"/>
    </w:r>
    <w:r>
      <w:rPr>
        <w:sz w:val="16"/>
        <w:szCs w:val="16"/>
        <w:rFonts w:cs="Arial"/>
      </w:rPr>
      <w:instrText xml:space="preserve"> PAGE </w:instrText>
    </w:r>
    <w:r>
      <w:rPr>
        <w:sz w:val="16"/>
        <w:szCs w:val="16"/>
        <w:rFonts w:cs="Arial"/>
      </w:rPr>
      <w:fldChar w:fldCharType="separate"/>
    </w:r>
    <w:r>
      <w:rPr>
        <w:sz w:val="16"/>
        <w:szCs w:val="16"/>
        <w:rFonts w:cs="Arial"/>
      </w:rPr>
      <w:t>1</w:t>
    </w:r>
    <w:r>
      <w:rPr>
        <w:sz w:val="16"/>
        <w:szCs w:val="16"/>
        <w:rFonts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040" w:type="dxa"/>
      <w:jc w:val="start"/>
      <w:tblInd w:w="-972" w:type="dxa"/>
      <w:tblLayout w:type="fixed"/>
      <w:tblCellMar>
        <w:top w:w="0" w:type="dxa"/>
        <w:start w:w="108" w:type="dxa"/>
        <w:bottom w:w="0" w:type="dxa"/>
        <w:end w:w="108" w:type="dxa"/>
      </w:tblCellMar>
    </w:tblPr>
    <w:tblGrid>
      <w:gridCol w:w="5056"/>
      <w:gridCol w:w="5984"/>
    </w:tblGrid>
    <w:tr>
      <w:trPr>
        <w:trHeight w:val="2268" w:hRule="exact"/>
      </w:trPr>
      <w:tc>
        <w:tcPr>
          <w:tcW w:w="5056" w:type="dxa"/>
          <w:tcBorders/>
        </w:tcPr>
        <w:p>
          <w:pPr>
            <w:pStyle w:val="Normal"/>
            <w:snapToGrid w:val="false"/>
            <w:rPr>
              <w:sz w:val="20"/>
              <w:szCs w:val="20"/>
              <w:lang w:val="en-GB" w:eastAsia="en-US"/>
            </w:rPr>
          </w:pPr>
          <w:r>
            <w:rPr>
              <w:sz w:val="20"/>
              <w:szCs w:val="20"/>
              <w:lang w:val="en-GB" w:eastAsia="en-US"/>
            </w:rPr>
            <w:drawing>
              <wp:anchor behindDoc="1" distT="0" distB="0" distL="114935" distR="114935" simplePos="0" locked="0" layoutInCell="1" allowOverlap="1" relativeHeight="2">
                <wp:simplePos x="0" y="0"/>
                <wp:positionH relativeFrom="column">
                  <wp:posOffset>379730</wp:posOffset>
                </wp:positionH>
                <wp:positionV relativeFrom="paragraph">
                  <wp:posOffset>5080</wp:posOffset>
                </wp:positionV>
                <wp:extent cx="1955800" cy="144462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14" t="-19" r="-14" b="-19"/>
                        <a:stretch>
                          <a:fillRect/>
                        </a:stretch>
                      </pic:blipFill>
                      <pic:spPr bwMode="auto">
                        <a:xfrm>
                          <a:off x="0" y="0"/>
                          <a:ext cx="1955800" cy="1444625"/>
                        </a:xfrm>
                        <a:prstGeom prst="rect">
                          <a:avLst/>
                        </a:prstGeom>
                      </pic:spPr>
                    </pic:pic>
                  </a:graphicData>
                </a:graphic>
              </wp:anchor>
            </w:drawing>
          </w:r>
        </w:p>
      </w:tc>
      <w:tc>
        <w:tcPr>
          <w:tcW w:w="5984" w:type="dxa"/>
          <w:tcBorders/>
        </w:tcPr>
        <w:p>
          <w:pPr>
            <w:pStyle w:val="Normal"/>
            <w:spacing w:before="0" w:after="1080"/>
            <w:jc w:val="end"/>
            <w:rPr>
              <w:b/>
              <w:sz w:val="40"/>
              <w:szCs w:val="40"/>
              <w:lang w:val="fr-FR" w:eastAsia="en-US"/>
            </w:rPr>
          </w:pPr>
          <w:r>
            <w:rPr>
              <w:b/>
              <w:sz w:val="40"/>
              <w:szCs w:val="40"/>
              <w:lang w:val="fr-FR"/>
            </w:rPr>
            <w:t>Rapport périodique</w:t>
          </w:r>
        </w:p>
        <w:p>
          <w:pPr>
            <w:pStyle w:val="Normal"/>
            <w:spacing w:before="0" w:after="1080"/>
            <w:jc w:val="end"/>
            <w:rPr>
              <w:b/>
              <w:sz w:val="22"/>
              <w:szCs w:val="22"/>
              <w:lang w:val="fr-FR" w:eastAsia="en-US"/>
            </w:rPr>
          </w:pPr>
          <w:r>
            <w:rPr>
              <w:b/>
              <w:sz w:val="22"/>
              <w:szCs w:val="22"/>
              <w:lang w:val="fr-FR" w:eastAsia="en-US"/>
            </w:rPr>
            <w:t>Original : français</w:t>
          </w:r>
        </w:p>
      </w:tc>
    </w:tr>
  </w:tbl>
  <w:p>
    <w:pPr>
      <w:pStyle w:val="Header"/>
      <w:rPr>
        <w:szCs w:val="2"/>
        <w:lang w:val="fr-FR"/>
      </w:rPr>
    </w:pPr>
    <w:r>
      <w:rPr>
        <w:szCs w:val="2"/>
        <w:lang w:val="fr-F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397"/>
        </w:tabs>
        <w:ind w:start="397" w:hanging="397"/>
      </w:pPr>
      <w:rPr/>
    </w:lvl>
    <w:lvl w:ilvl="1">
      <w:start w:val="1"/>
      <w:pStyle w:val="Heading2"/>
      <w:numFmt w:val="lowerLetter"/>
      <w:lvlText w:val="%1.%2"/>
      <w:lvlJc w:val="start"/>
      <w:pPr>
        <w:tabs>
          <w:tab w:val="num" w:pos="397"/>
        </w:tabs>
        <w:ind w:start="397" w:hanging="397"/>
      </w:pPr>
      <w:rPr/>
    </w:lvl>
    <w:lvl w:ilvl="2">
      <w:start w:val="1"/>
      <w:pStyle w:val="Heading3"/>
      <w:numFmt w:val="decimal"/>
      <w:lvlText w:val="%1.%2.%3"/>
      <w:lvlJc w:val="start"/>
      <w:pPr>
        <w:tabs>
          <w:tab w:val="num" w:pos="720"/>
        </w:tabs>
        <w:ind w:start="720" w:hanging="720"/>
      </w:pPr>
      <w:rPr/>
    </w:lvl>
    <w:lvl w:ilvl="3">
      <w:start w:val="1"/>
      <w:pStyle w:val="Heading4"/>
      <w:numFmt w:val="decimal"/>
      <w:lvlText w:val="%1.%2.%3.%4"/>
      <w:lvlJc w:val="start"/>
      <w:pPr>
        <w:tabs>
          <w:tab w:val="num" w:pos="864"/>
        </w:tabs>
        <w:ind w:start="864" w:hanging="864"/>
      </w:pPr>
      <w:rPr/>
    </w:lvl>
    <w:lvl w:ilvl="4">
      <w:start w:val="1"/>
      <w:pStyle w:val="Heading5"/>
      <w:numFmt w:val="decimal"/>
      <w:lvlText w:val="%1.%2.%3.%4.%5"/>
      <w:lvlJc w:val="start"/>
      <w:pPr>
        <w:tabs>
          <w:tab w:val="num" w:pos="1008"/>
        </w:tabs>
        <w:ind w:start="1008" w:hanging="1008"/>
      </w:pPr>
      <w:rPr/>
    </w:lvl>
    <w:lvl w:ilvl="5">
      <w:start w:val="1"/>
      <w:pStyle w:val="Heading6"/>
      <w:numFmt w:val="decimal"/>
      <w:lvlText w:val="%1.%2.%3.%4.%5.%6"/>
      <w:lvlJc w:val="start"/>
      <w:pPr>
        <w:tabs>
          <w:tab w:val="num" w:pos="1152"/>
        </w:tabs>
        <w:ind w:start="1152" w:hanging="1152"/>
      </w:pPr>
      <w:rPr/>
    </w:lvl>
    <w:lvl w:ilvl="6">
      <w:start w:val="1"/>
      <w:pStyle w:val="Heading7"/>
      <w:numFmt w:val="decimal"/>
      <w:lvlText w:val="%1.%2.%3.%4.%5.%6.%7"/>
      <w:lvlJc w:val="start"/>
      <w:pPr>
        <w:tabs>
          <w:tab w:val="num" w:pos="1296"/>
        </w:tabs>
        <w:ind w:start="1296" w:hanging="1296"/>
      </w:pPr>
      <w:rPr/>
    </w:lvl>
    <w:lvl w:ilvl="7">
      <w:start w:val="1"/>
      <w:pStyle w:val="Heading8"/>
      <w:numFmt w:val="decimal"/>
      <w:lvlText w:val="%1.%2.%3.%4.%5.%6.%7.%8"/>
      <w:lvlJc w:val="start"/>
      <w:pPr>
        <w:tabs>
          <w:tab w:val="num" w:pos="1440"/>
        </w:tabs>
        <w:ind w:start="1440" w:hanging="1440"/>
      </w:pPr>
      <w:rPr/>
    </w:lvl>
    <w:lvl w:ilvl="8">
      <w:start w:val="1"/>
      <w:pStyle w:val="Heading9"/>
      <w:numFmt w:val="decimal"/>
      <w:lvlText w:val="%1.%2.%3.%4.%5.%6.%7.%8.%9"/>
      <w:lvlJc w:val="start"/>
      <w:pPr>
        <w:tabs>
          <w:tab w:val="num" w:pos="1584"/>
        </w:tabs>
        <w:ind w:start="1584" w:hanging="1584"/>
      </w:pPr>
      <w:rPr/>
    </w:lvl>
  </w:abstractNum>
  <w:abstractNum w:abstractNumId="2">
    <w:lvl w:ilvl="0">
      <w:start w:val="1"/>
      <w:numFmt w:val="lowerLetter"/>
      <w:lvlText w:val="%1."/>
      <w:lvlJc w:val="start"/>
      <w:pPr>
        <w:tabs>
          <w:tab w:val="num" w:pos="680"/>
        </w:tabs>
        <w:ind w:start="397" w:hanging="397"/>
      </w:pPr>
    </w:lvl>
  </w:abstractNum>
  <w:abstractNum w:abstractNumId="3">
    <w:lvl w:ilvl="0">
      <w:start w:val="1"/>
      <w:numFmt w:val="lowerLetter"/>
      <w:lvlText w:val="%1."/>
      <w:lvlJc w:val="start"/>
      <w:pPr>
        <w:tabs>
          <w:tab w:val="num" w:pos="397"/>
        </w:tabs>
        <w:ind w:start="397" w:hanging="284"/>
      </w:pPr>
    </w:lvl>
  </w:abstractNum>
  <w:abstractNum w:abstractNumId="4">
    <w:lvl w:ilvl="0">
      <w:start w:val="1"/>
      <w:numFmt w:val="lowerLetter"/>
      <w:lvlText w:val="%1."/>
      <w:lvlJc w:val="start"/>
      <w:pPr>
        <w:tabs>
          <w:tab w:val="num" w:pos="397"/>
        </w:tabs>
        <w:ind w:start="397" w:hanging="284"/>
      </w:pPr>
    </w:lvl>
    <w:lvl w:ilvl="1">
      <w:start w:val="1"/>
      <w:numFmt w:val="lowerLetter"/>
      <w:lvlText w:val="%2."/>
      <w:lvlJc w:val="start"/>
      <w:pPr>
        <w:tabs>
          <w:tab w:val="num" w:pos="1440"/>
        </w:tabs>
        <w:ind w:start="1440" w:hanging="360"/>
      </w:pPr>
    </w:lvl>
    <w:lvl w:ilvl="2">
      <w:start w:val="1"/>
      <w:numFmt w:val="lowerRoman"/>
      <w:lvlText w:val="%3."/>
      <w:lvlJc w:val="start"/>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start"/>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start"/>
      <w:pPr>
        <w:tabs>
          <w:tab w:val="num" w:pos="6480"/>
        </w:tabs>
        <w:ind w:start="6480" w:hanging="180"/>
      </w:pPr>
    </w:lvl>
  </w:abstractNum>
  <w:abstractNum w:abstractNumId="5">
    <w:lvl w:ilvl="0">
      <w:start w:val="1"/>
      <w:numFmt w:val="lowerLetter"/>
      <w:lvlText w:val="%1."/>
      <w:lvlJc w:val="start"/>
      <w:pPr>
        <w:tabs>
          <w:tab w:val="num" w:pos="397"/>
        </w:tabs>
        <w:ind w:start="397" w:hanging="284"/>
      </w:pPr>
    </w:lvl>
    <w:lvl w:ilvl="1">
      <w:start w:val="1"/>
      <w:numFmt w:val="lowerLetter"/>
      <w:lvlText w:val="%2."/>
      <w:lvlJc w:val="start"/>
      <w:pPr>
        <w:tabs>
          <w:tab w:val="num" w:pos="1440"/>
        </w:tabs>
        <w:ind w:start="1440" w:hanging="360"/>
      </w:pPr>
    </w:lvl>
    <w:lvl w:ilvl="2">
      <w:start w:val="1"/>
      <w:numFmt w:val="lowerRoman"/>
      <w:lvlText w:val="%3."/>
      <w:lvlJc w:val="start"/>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start"/>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start"/>
      <w:pPr>
        <w:tabs>
          <w:tab w:val="num" w:pos="6480"/>
        </w:tabs>
        <w:ind w:start="6480" w:hanging="180"/>
      </w:pPr>
    </w:lvl>
  </w:abstractNum>
  <w:abstractNum w:abstractNumId="6">
    <w:lvl w:ilvl="0">
      <w:start w:val="1"/>
      <w:numFmt w:val="lowerLetter"/>
      <w:lvlText w:val="%1."/>
      <w:lvlJc w:val="start"/>
      <w:pPr>
        <w:tabs>
          <w:tab w:val="num" w:pos="397"/>
        </w:tabs>
        <w:ind w:start="397" w:hanging="284"/>
      </w:pPr>
    </w:lvl>
    <w:lvl w:ilvl="1">
      <w:start w:val="1"/>
      <w:numFmt w:val="lowerLetter"/>
      <w:lvlText w:val="%2."/>
      <w:lvlJc w:val="start"/>
      <w:pPr>
        <w:tabs>
          <w:tab w:val="num" w:pos="1440"/>
        </w:tabs>
        <w:ind w:start="1440" w:hanging="360"/>
      </w:pPr>
    </w:lvl>
    <w:lvl w:ilvl="2">
      <w:start w:val="1"/>
      <w:numFmt w:val="lowerRoman"/>
      <w:lvlText w:val="%3."/>
      <w:lvlJc w:val="start"/>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start"/>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start"/>
      <w:pPr>
        <w:tabs>
          <w:tab w:val="num" w:pos="6480"/>
        </w:tabs>
        <w:ind w:start="6480" w:hanging="180"/>
      </w:pPr>
    </w:lvl>
  </w:abstractNum>
  <w:abstractNum w:abstractNumId="7">
    <w:lvl w:ilvl="0">
      <w:start w:val="1"/>
      <w:numFmt w:val="lowerLetter"/>
      <w:lvlText w:val="%1."/>
      <w:lvlJc w:val="start"/>
      <w:pPr>
        <w:tabs>
          <w:tab w:val="num" w:pos="397"/>
        </w:tabs>
        <w:ind w:start="397" w:hanging="284"/>
      </w:pPr>
    </w:lvl>
    <w:lvl w:ilvl="1">
      <w:start w:val="1"/>
      <w:numFmt w:val="lowerLetter"/>
      <w:lvlText w:val="%2."/>
      <w:lvlJc w:val="start"/>
      <w:pPr>
        <w:tabs>
          <w:tab w:val="num" w:pos="1440"/>
        </w:tabs>
        <w:ind w:start="1440" w:hanging="360"/>
      </w:pPr>
    </w:lvl>
    <w:lvl w:ilvl="2">
      <w:start w:val="1"/>
      <w:numFmt w:val="lowerRoman"/>
      <w:lvlText w:val="%3."/>
      <w:lvlJc w:val="start"/>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start"/>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start"/>
      <w:pPr>
        <w:tabs>
          <w:tab w:val="num" w:pos="6480"/>
        </w:tabs>
        <w:ind w:start="6480" w:hanging="180"/>
      </w:pPr>
    </w:lvl>
  </w:abstractNum>
  <w:abstractNum w:abstractNumId="8">
    <w:lvl w:ilvl="0">
      <w:start w:val="1"/>
      <w:numFmt w:val="lowerLetter"/>
      <w:lvlText w:val="%1."/>
      <w:lvlJc w:val="start"/>
      <w:pPr>
        <w:tabs>
          <w:tab w:val="num" w:pos="0"/>
        </w:tabs>
        <w:ind w:start="720" w:hanging="360"/>
      </w:pPr>
      <w:rPr/>
    </w:lvl>
  </w:abstractNum>
  <w:abstractNum w:abstractNumId="9">
    <w:lvl w:ilvl="0">
      <w:start w:val="1"/>
      <w:numFmt w:val="lowerLetter"/>
      <w:lvlText w:val="%1."/>
      <w:lvlJc w:val="start"/>
      <w:pPr>
        <w:tabs>
          <w:tab w:val="num" w:pos="0"/>
        </w:tabs>
        <w:ind w:start="720" w:hanging="360"/>
      </w:pPr>
      <w:rPr/>
    </w:lvl>
  </w:abstractNum>
  <w:abstractNum w:abstractNumId="10">
    <w:lvl w:ilvl="0">
      <w:start w:val="1"/>
      <w:numFmt w:val="lowerLetter"/>
      <w:lvlText w:val="%1."/>
      <w:lvlJc w:val="start"/>
      <w:pPr>
        <w:tabs>
          <w:tab w:val="num" w:pos="0"/>
        </w:tabs>
        <w:ind w:start="720" w:hanging="360"/>
      </w:pPr>
      <w:rPr/>
    </w:lvl>
  </w:abstractNum>
  <w:abstractNum w:abstractNumId="11">
    <w:lvl w:ilvl="0">
      <w:start w:val="1"/>
      <w:numFmt w:val="decimal"/>
      <w:lvlText w:val="%1."/>
      <w:lvlJc w:val="start"/>
      <w:pPr>
        <w:tabs>
          <w:tab w:val="num" w:pos="794"/>
        </w:tabs>
        <w:ind w:start="794" w:hanging="397"/>
      </w:pPr>
      <w:rPr/>
    </w:lvl>
    <w:lvl w:ilvl="1">
      <w:start w:val="1"/>
      <w:numFmt w:val="bullet"/>
      <w:lvlText w:val=""/>
      <w:lvlJc w:val="start"/>
      <w:pPr>
        <w:tabs>
          <w:tab w:val="num" w:pos="397"/>
        </w:tabs>
        <w:ind w:start="794" w:hanging="0"/>
      </w:pPr>
      <w:rPr>
        <w:rFonts w:ascii="Symbol" w:hAnsi="Symbol" w:cs="Symbol" w:hint="default"/>
        <w:sz w:val="20"/>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12">
    <w:lvl w:ilvl="0">
      <w:start w:val="1"/>
      <w:numFmt w:val="lowerLetter"/>
      <w:lvlText w:val="%1."/>
      <w:lvlJc w:val="start"/>
      <w:pPr>
        <w:tabs>
          <w:tab w:val="num" w:pos="0"/>
        </w:tabs>
        <w:ind w:start="720" w:hanging="360"/>
      </w:pPr>
      <w:rPr/>
    </w:lvl>
  </w:abstractNum>
  <w:abstractNum w:abstractNumId="13">
    <w:lvl w:ilvl="0">
      <w:start w:val="1"/>
      <w:numFmt w:val="lowerLetter"/>
      <w:lvlText w:val="%1."/>
      <w:lvlJc w:val="start"/>
      <w:pPr>
        <w:tabs>
          <w:tab w:val="num" w:pos="0"/>
        </w:tabs>
        <w:ind w:start="720" w:hanging="360"/>
      </w:pPr>
      <w:rPr/>
    </w:lvl>
  </w:abstractNum>
  <w:abstractNum w:abstractNumId="14">
    <w:lvl w:ilvl="0">
      <w:start w:val="1"/>
      <w:numFmt w:val="lowerLetter"/>
      <w:lvlText w:val="%1."/>
      <w:lvlJc w:val="start"/>
      <w:pPr>
        <w:tabs>
          <w:tab w:val="num" w:pos="0"/>
        </w:tabs>
        <w:ind w:start="720" w:hanging="360"/>
      </w:pPr>
      <w:rPr/>
    </w:lvl>
  </w:abstractNum>
  <w:abstractNum w:abstractNumId="15">
    <w:lvl w:ilvl="0">
      <w:start w:val="1"/>
      <w:numFmt w:val="lowerLetter"/>
      <w:lvlText w:val="%1."/>
      <w:lvlJc w:val="start"/>
      <w:pPr>
        <w:tabs>
          <w:tab w:val="num" w:pos="0"/>
        </w:tabs>
        <w:ind w:start="720" w:hanging="360"/>
      </w:pPr>
      <w:rPr/>
    </w:lvl>
  </w:abstractNum>
  <w:abstractNum w:abstractNumId="16">
    <w:lvl w:ilvl="0">
      <w:start w:val="1"/>
      <w:numFmt w:val="bullet"/>
      <w:lvlText w:val=""/>
      <w:lvlJc w:val="start"/>
      <w:pPr>
        <w:tabs>
          <w:tab w:val="num" w:pos="794"/>
        </w:tabs>
        <w:ind w:start="397" w:firstLine="397"/>
      </w:pPr>
      <w:rPr>
        <w:rFonts w:ascii="Wingdings" w:hAnsi="Wingdings" w:cs="Wingdings" w:hint="default"/>
      </w:rPr>
    </w:lvl>
  </w:abstractNum>
  <w:abstractNum w:abstractNumId="17">
    <w:lvl w:ilvl="0">
      <w:start w:val="1"/>
      <w:numFmt w:val="decimal"/>
      <w:lvlText w:val="%1."/>
      <w:lvlJc w:val="start"/>
      <w:pPr>
        <w:tabs>
          <w:tab w:val="num" w:pos="1134"/>
        </w:tabs>
        <w:ind w:start="1134" w:hanging="567"/>
      </w:pPr>
      <w:rPr/>
    </w:lvl>
  </w:abstractNum>
  <w:abstractNum w:abstractNumId="18">
    <w:lvl w:ilvl="0">
      <w:start w:val="1"/>
      <w:numFmt w:val="lowerLetter"/>
      <w:lvlText w:val="%1."/>
      <w:lvlJc w:val="start"/>
      <w:pPr>
        <w:tabs>
          <w:tab w:val="num" w:pos="0"/>
        </w:tabs>
        <w:ind w:start="720" w:hanging="360"/>
      </w:pPr>
      <w:rPr/>
    </w:lvl>
  </w:abstractNum>
  <w:abstractNum w:abstractNumId="19">
    <w:lvl w:ilvl="0">
      <w:start w:val="1"/>
      <w:numFmt w:val="lowerLetter"/>
      <w:lvlText w:val="%1."/>
      <w:lvlJc w:val="start"/>
      <w:pPr>
        <w:tabs>
          <w:tab w:val="num" w:pos="397"/>
        </w:tabs>
        <w:ind w:start="397" w:hanging="397"/>
      </w:pPr>
      <w:rPr>
        <w:lang w:val="fr-F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mirrorMargins/>
  <w:defaultTabStop w:val="680"/>
  <w:autoHyphenation w:val="true"/>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b/>
      <w:kern w:val="2"/>
      <w:sz w:val="32"/>
      <w:szCs w:val="32"/>
    </w:rPr>
  </w:style>
  <w:style w:type="paragraph" w:styleId="Heading2">
    <w:name w:val="Heading 2"/>
    <w:basedOn w:val="Normal"/>
    <w:next w:val="Normal"/>
    <w:qFormat/>
    <w:pPr>
      <w:keepNext w:val="true"/>
      <w:numPr>
        <w:ilvl w:val="1"/>
        <w:numId w:val="1"/>
      </w:numPr>
      <w:spacing w:before="240" w:after="60"/>
      <w:outlineLvl w:val="1"/>
    </w:pPr>
    <w:rPr>
      <w:b/>
      <w:i/>
      <w:sz w:val="28"/>
      <w:szCs w:val="28"/>
    </w:rPr>
  </w:style>
  <w:style w:type="paragraph" w:styleId="Heading3">
    <w:name w:val="Heading 3"/>
    <w:basedOn w:val="Normal"/>
    <w:next w:val="Normal"/>
    <w:qFormat/>
    <w:pPr>
      <w:keepNext w:val="true"/>
      <w:numPr>
        <w:ilvl w:val="2"/>
        <w:numId w:val="1"/>
      </w:numPr>
      <w:spacing w:before="240" w:after="60"/>
      <w:outlineLvl w:val="2"/>
    </w:pPr>
    <w:rPr>
      <w:b/>
      <w:sz w:val="26"/>
      <w:szCs w:val="26"/>
    </w:rPr>
  </w:style>
  <w:style w:type="paragraph" w:styleId="Heading4">
    <w:name w:val="Heading 4"/>
    <w:basedOn w:val="Normal"/>
    <w:next w:val="Normal"/>
    <w:qFormat/>
    <w:pPr>
      <w:keepNext w:val="true"/>
      <w:numPr>
        <w:ilvl w:val="3"/>
        <w:numId w:val="1"/>
      </w:numPr>
      <w:spacing w:before="240" w:after="60"/>
      <w:outlineLvl w:val="3"/>
    </w:pPr>
    <w:rPr>
      <w:b/>
      <w:sz w:val="28"/>
      <w:szCs w:val="28"/>
    </w:rPr>
  </w:style>
  <w:style w:type="paragraph" w:styleId="Heading5">
    <w:name w:val="Heading 5"/>
    <w:basedOn w:val="Normal"/>
    <w:next w:val="Normal"/>
    <w:qFormat/>
    <w:pPr>
      <w:numPr>
        <w:ilvl w:val="4"/>
        <w:numId w:val="1"/>
      </w:numPr>
      <w:spacing w:before="240" w:after="60"/>
      <w:outlineLvl w:val="4"/>
    </w:pPr>
    <w:rPr>
      <w:b/>
      <w:i/>
      <w:sz w:val="26"/>
      <w:szCs w:val="26"/>
    </w:rPr>
  </w:style>
  <w:style w:type="paragraph" w:styleId="Heading6">
    <w:name w:val="Heading 6"/>
    <w:basedOn w:val="Normal"/>
    <w:next w:val="Normal"/>
    <w:qFormat/>
    <w:pPr>
      <w:numPr>
        <w:ilvl w:val="5"/>
        <w:numId w:val="1"/>
      </w:numPr>
      <w:spacing w:before="240" w:after="60"/>
      <w:outlineLvl w:val="5"/>
    </w:pPr>
    <w:rPr>
      <w:b/>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sz w:val="22"/>
      <w:szCs w:val="22"/>
    </w:rPr>
  </w:style>
  <w:style w:type="character" w:styleId="WW8Num9z0">
    <w:name w:val="WW8Num9z0"/>
    <w:qFormat/>
    <w:rPr>
      <w:rFonts w:ascii="Wingdings" w:hAnsi="Wingdings" w:cs="OpenSymbol"/>
    </w:rPr>
  </w:style>
  <w:style w:type="character" w:styleId="WW8Num9z1">
    <w:name w:val="WW8Num9z1"/>
    <w:qFormat/>
    <w:rPr>
      <w:rFonts w:ascii="OpenSymbol" w:hAnsi="OpenSymbol" w:cs="OpenSymbol"/>
    </w:rPr>
  </w:style>
  <w:style w:type="character" w:styleId="WW8Num9z3">
    <w:name w:val="WW8Num9z3"/>
    <w:qFormat/>
    <w:rPr>
      <w:rFonts w:ascii="Symbol" w:hAnsi="Symbol" w:cs="OpenSymbol"/>
    </w:rPr>
  </w:style>
  <w:style w:type="character" w:styleId="WW8Num10z0">
    <w:name w:val="WW8Num10z0"/>
    <w:qFormat/>
    <w:rPr>
      <w:rFonts w:ascii="Symbol" w:hAnsi="Symbol" w:cs="OpenSymbol"/>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4z1">
    <w:name w:val="WW8Num14z1"/>
    <w:qFormat/>
    <w:rPr>
      <w:rFonts w:ascii="Symbol" w:hAnsi="Symbol" w:cs="Symbol"/>
      <w:sz w:val="20"/>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rFonts w:ascii="Wingdings" w:hAnsi="Wingdings" w:cs="Wingdings"/>
    </w:rPr>
  </w:style>
  <w:style w:type="character" w:styleId="WW8Num20z1">
    <w:name w:val="WW8Num20z1"/>
    <w:qFormat/>
    <w:rPr>
      <w:rFonts w:ascii="Symbol" w:hAnsi="Symbol" w:cs="Symbol"/>
      <w:sz w:val="20"/>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lang w:val="fr-FR"/>
    </w:rPr>
  </w:style>
  <w:style w:type="character" w:styleId="Policepardfaut">
    <w:name w:val="Police par défaut"/>
    <w:qFormat/>
    <w:rPr/>
  </w:style>
  <w:style w:type="character" w:styleId="FootnoteCharacters">
    <w:name w:val="Footnote Characters"/>
    <w:qFormat/>
    <w:rPr>
      <w:vertAlign w:val="superscript"/>
    </w:rPr>
  </w:style>
  <w:style w:type="character" w:styleId="Emphasis">
    <w:name w:val="Emphasis"/>
    <w:qFormat/>
    <w:rPr>
      <w:i/>
      <w:iCs/>
    </w:rPr>
  </w:style>
  <w:style w:type="character" w:styleId="Hyperlink">
    <w:name w:val="Hyperlink"/>
    <w:rPr>
      <w:color w:val="0000FF"/>
      <w:u w:val="single"/>
    </w:rPr>
  </w:style>
  <w:style w:type="character" w:styleId="Marquedecommentaire">
    <w:name w:val="Marque de commentaire"/>
    <w:qFormat/>
    <w:rPr>
      <w:sz w:val="16"/>
      <w:szCs w:val="16"/>
    </w:rPr>
  </w:style>
  <w:style w:type="character" w:styleId="FollowedHyperlink">
    <w:name w:val="FollowedHyperlink"/>
    <w:rPr>
      <w:color w:val="800080"/>
      <w:u w:val="single"/>
    </w:rPr>
  </w:style>
  <w:style w:type="character" w:styleId="PageNumber">
    <w:name w:val="Page Number"/>
    <w:basedOn w:val="Policepardfaut"/>
    <w:rPr/>
  </w:style>
  <w:style w:type="character" w:styleId="LineNumber">
    <w:name w:val="Line Number"/>
    <w:basedOn w:val="Policepardfaut"/>
    <w:rPr/>
  </w:style>
  <w:style w:type="character" w:styleId="Strong">
    <w:name w:val="Strong"/>
    <w:qFormat/>
    <w:rPr>
      <w:b/>
      <w:bCs/>
    </w:rPr>
  </w:style>
  <w:style w:type="character" w:styleId="En-tteCar">
    <w:name w:val="En-tête Car"/>
    <w:qFormat/>
    <w:rPr>
      <w:rFonts w:ascii="Arial" w:hAnsi="Arial" w:cs="Arial"/>
      <w:sz w:val="24"/>
      <w:szCs w:val="24"/>
      <w:lang w:val="en-US"/>
    </w:rPr>
  </w:style>
  <w:style w:type="character" w:styleId="shorttext">
    <w:name w:val="short_text"/>
    <w:basedOn w:val="Policepardfaut"/>
    <w:qFormat/>
    <w:rPr/>
  </w:style>
  <w:style w:type="character" w:styleId="hps">
    <w:name w:val="hps"/>
    <w:basedOn w:val="Policepardfaut"/>
    <w:qFormat/>
    <w:rPr/>
  </w:style>
  <w:style w:type="character" w:styleId="WW-StrongEmphasis">
    <w:name w:val="WW-Strong Emphasis"/>
    <w:qFormat/>
    <w:rPr>
      <w:b/>
      <w:bCs/>
    </w:rPr>
  </w:style>
  <w:style w:type="character" w:styleId="Policepardfaut1">
    <w:name w:val="Police par défaut1"/>
    <w:qFormat/>
    <w:rPr/>
  </w:style>
  <w:style w:type="character" w:styleId="CorpsdetexteCar">
    <w:name w:val="Corps de texte Car"/>
    <w:qFormat/>
    <w:rPr>
      <w:rFonts w:ascii="Arial" w:hAnsi="Arial" w:cs="Arial"/>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widowControl w:val="false"/>
      <w:suppressAutoHyphens w:val="true"/>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rPr>
      <w:sz w:val="20"/>
      <w:szCs w:val="20"/>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paragraph" w:styleId="Textedebulles">
    <w:name w:val="Texte de bulles"/>
    <w:basedOn w:val="Normal"/>
    <w:qFormat/>
    <w:pPr/>
    <w:rPr>
      <w:rFonts w:ascii="Tahoma" w:hAnsi="Tahoma" w:cs="Tahoma"/>
      <w:sz w:val="16"/>
      <w:szCs w:val="16"/>
    </w:rPr>
  </w:style>
  <w:style w:type="paragraph" w:styleId="HeaderandFooter">
    <w:name w:val="Header and Footer"/>
    <w:basedOn w:val="Normal"/>
    <w:qFormat/>
    <w:pPr>
      <w:suppressLineNumbers/>
      <w:tabs>
        <w:tab w:val="clear" w:pos="680"/>
        <w:tab w:val="center" w:pos="4819" w:leader="none"/>
        <w:tab w:val="right" w:pos="9638" w:leader="none"/>
      </w:tabs>
    </w:pPr>
    <w:rPr/>
  </w:style>
  <w:style w:type="paragraph" w:styleId="Footer">
    <w:name w:val="Footer"/>
    <w:basedOn w:val="Normal"/>
    <w:pPr>
      <w:tabs>
        <w:tab w:val="clear" w:pos="680"/>
        <w:tab w:val="center" w:pos="4536" w:leader="none"/>
        <w:tab w:val="right" w:pos="9072" w:leader="none"/>
      </w:tabs>
    </w:pPr>
    <w:rPr/>
  </w:style>
  <w:style w:type="paragraph" w:styleId="Header">
    <w:name w:val="Header"/>
    <w:basedOn w:val="Normal"/>
    <w:pPr>
      <w:tabs>
        <w:tab w:val="clear" w:pos="680"/>
        <w:tab w:val="center" w:pos="4320" w:leader="none"/>
        <w:tab w:val="right" w:pos="8640" w:leader="none"/>
      </w:tabs>
    </w:pPr>
    <w:rPr/>
  </w:style>
  <w:style w:type="paragraph" w:styleId="Corpsdetexte3">
    <w:name w:val="Corps de texte 3"/>
    <w:basedOn w:val="Normal"/>
    <w:qFormat/>
    <w:pPr>
      <w:spacing w:before="0" w:after="120"/>
    </w:pPr>
    <w:rPr>
      <w:rFonts w:ascii="Arial" w:hAnsi="Arial" w:cs="Arial"/>
      <w:sz w:val="16"/>
      <w:szCs w:val="16"/>
    </w:rPr>
  </w:style>
  <w:style w:type="paragraph" w:styleId="adresse">
    <w:name w:val="adresse"/>
    <w:basedOn w:val="Normal"/>
    <w:qFormat/>
    <w:pPr>
      <w:widowControl w:val="false"/>
      <w:spacing w:lineRule="exact" w:line="260" w:before="0" w:after="120"/>
      <w:ind w:hanging="0" w:start="1134" w:end="0"/>
      <w:jc w:val="both"/>
    </w:pPr>
    <w:rPr>
      <w:rFonts w:ascii="Arial" w:hAnsi="Arial" w:cs="Arial"/>
      <w:sz w:val="22"/>
      <w:szCs w:val="22"/>
    </w:rPr>
  </w:style>
  <w:style w:type="paragraph" w:styleId="num01">
    <w:name w:val="Énum01"/>
    <w:basedOn w:val="Normal"/>
    <w:qFormat/>
    <w:pPr>
      <w:tabs>
        <w:tab w:val="clear" w:pos="680"/>
        <w:tab w:val="left" w:pos="397" w:leader="none"/>
      </w:tabs>
      <w:spacing w:lineRule="exact" w:line="260" w:before="0" w:after="120"/>
      <w:jc w:val="both"/>
    </w:pPr>
    <w:rPr>
      <w:sz w:val="22"/>
    </w:rPr>
  </w:style>
  <w:style w:type="paragraph" w:styleId="num02">
    <w:name w:val="Énum02"/>
    <w:basedOn w:val="num01"/>
    <w:qFormat/>
    <w:pPr>
      <w:numPr>
        <w:ilvl w:val="0"/>
        <w:numId w:val="11"/>
      </w:numPr>
    </w:pPr>
    <w:rPr/>
  </w:style>
  <w:style w:type="paragraph" w:styleId="num02tab">
    <w:name w:val="Énum02tab"/>
    <w:basedOn w:val="num02"/>
    <w:qFormat/>
    <w:pPr>
      <w:numPr>
        <w:ilvl w:val="0"/>
        <w:numId w:val="19"/>
      </w:numPr>
    </w:pPr>
    <w:rPr>
      <w:i/>
      <w:lang w:bidi="en-US"/>
    </w:rPr>
  </w:style>
  <w:style w:type="paragraph" w:styleId="formtext">
    <w:name w:val="formtext"/>
    <w:basedOn w:val="Normal"/>
    <w:qFormat/>
    <w:pPr>
      <w:spacing w:lineRule="exact" w:line="240" w:before="80" w:after="80"/>
    </w:pPr>
    <w:rPr>
      <w:rFonts w:eastAsia="SimSun;宋体" w:cs="Arial"/>
      <w:sz w:val="22"/>
      <w:szCs w:val="22"/>
      <w:lang w:bidi="en-US"/>
    </w:rPr>
  </w:style>
  <w:style w:type="paragraph" w:styleId="Grille01">
    <w:name w:val="Grille01"/>
    <w:basedOn w:val="Normal"/>
    <w:qFormat/>
    <w:pPr>
      <w:keepNext w:val="true"/>
      <w:spacing w:lineRule="exact" w:line="240" w:before="120" w:after="120"/>
      <w:ind w:hanging="0" w:start="113" w:end="113"/>
    </w:pPr>
    <w:rPr>
      <w:rFonts w:ascii="Arial" w:hAnsi="Arial" w:cs="Arial"/>
      <w:b/>
      <w:smallCaps/>
      <w:sz w:val="22"/>
      <w:lang w:val="en-US" w:bidi="en-US"/>
    </w:rPr>
  </w:style>
  <w:style w:type="paragraph" w:styleId="Corpsdetexte3Car">
    <w:name w:val="Corps de texte 3 Car"/>
    <w:basedOn w:val="Grille01"/>
    <w:next w:val="Info2"/>
    <w:qFormat/>
    <w:pPr>
      <w:spacing w:lineRule="exact" w:line="260"/>
      <w:ind w:hanging="0" w:start="113" w:end="113"/>
    </w:pPr>
    <w:rPr>
      <w:rFonts w:eastAsia="SimSun;宋体" w:cs="Arial"/>
      <w:caps w:val="false"/>
      <w:smallCaps w:val="false"/>
      <w:szCs w:val="22"/>
      <w:lang w:val="en-GB"/>
    </w:rPr>
  </w:style>
  <w:style w:type="paragraph" w:styleId="Info">
    <w:name w:val="Info"/>
    <w:basedOn w:val="Normal"/>
    <w:qFormat/>
    <w:pPr>
      <w:tabs>
        <w:tab w:val="clear" w:pos="680"/>
        <w:tab w:val="left" w:pos="567" w:leader="none"/>
        <w:tab w:val="left" w:pos="1134" w:leader="none"/>
        <w:tab w:val="left" w:pos="1701" w:leader="none"/>
        <w:tab w:val="left" w:pos="2268" w:leader="none"/>
      </w:tabs>
      <w:spacing w:lineRule="exact" w:line="280"/>
      <w:jc w:val="center"/>
    </w:pPr>
    <w:rPr>
      <w:rFonts w:ascii="Arial" w:hAnsi="Arial" w:cs="Arial"/>
      <w:i/>
      <w:iCs/>
      <w:sz w:val="22"/>
      <w:szCs w:val="22"/>
    </w:rPr>
  </w:style>
  <w:style w:type="paragraph" w:styleId="Info2">
    <w:name w:val="Info2"/>
    <w:basedOn w:val="Info"/>
    <w:qFormat/>
    <w:pPr>
      <w:keepNext w:val="true"/>
      <w:spacing w:lineRule="exact" w:line="260" w:before="0" w:after="120"/>
      <w:jc w:val="both"/>
    </w:pPr>
    <w:rPr/>
  </w:style>
  <w:style w:type="paragraph" w:styleId="Inter1">
    <w:name w:val="Inter1"/>
    <w:basedOn w:val="Normal"/>
    <w:qFormat/>
    <w:pPr>
      <w:keepNext w:val="true"/>
      <w:spacing w:lineRule="exact" w:line="260" w:before="600" w:after="200"/>
    </w:pPr>
    <w:rPr>
      <w:rFonts w:ascii="Arial" w:hAnsi="Arial" w:cs="Arial"/>
      <w:b/>
      <w:bCs/>
      <w:sz w:val="22"/>
      <w:lang w:val="en-US" w:bidi="en-US"/>
    </w:rPr>
  </w:style>
  <w:style w:type="paragraph" w:styleId="Sous-titreICH">
    <w:name w:val="Sous-titreICH"/>
    <w:basedOn w:val="Normal"/>
    <w:qFormat/>
    <w:pPr>
      <w:keepNext w:val="true"/>
      <w:widowControl w:val="false"/>
      <w:spacing w:lineRule="exact" w:line="280" w:before="120" w:after="360"/>
      <w:jc w:val="center"/>
    </w:pPr>
    <w:rPr>
      <w:b/>
      <w:smallCaps/>
      <w:sz w:val="28"/>
    </w:rPr>
  </w:style>
  <w:style w:type="paragraph" w:styleId="tableau">
    <w:name w:val="tableau"/>
    <w:basedOn w:val="Normal"/>
    <w:qFormat/>
    <w:pPr>
      <w:spacing w:lineRule="exact" w:line="260" w:before="80" w:after="80"/>
    </w:pPr>
    <w:rPr>
      <w:rFonts w:cs="Arial"/>
      <w:bCs/>
      <w:sz w:val="22"/>
      <w:szCs w:val="18"/>
    </w:rPr>
  </w:style>
  <w:style w:type="paragraph" w:styleId="TitreICH">
    <w:name w:val="TitreICH"/>
    <w:basedOn w:val="Normal"/>
    <w:next w:val="Normal"/>
    <w:qFormat/>
    <w:pPr>
      <w:spacing w:lineRule="exact" w:line="340" w:before="0" w:after="360"/>
      <w:jc w:val="center"/>
    </w:pPr>
    <w:rPr>
      <w:b/>
      <w:bCs/>
      <w:smallCaps/>
      <w:sz w:val="32"/>
      <w:szCs w:val="32"/>
      <w:lang w:val="fr-FR" w:bidi="ar-SA"/>
    </w:rPr>
  </w:style>
  <w:style w:type="paragraph" w:styleId="txt">
    <w:name w:val="txt"/>
    <w:basedOn w:val="Normal"/>
    <w:qFormat/>
    <w:pPr>
      <w:spacing w:lineRule="exact" w:line="260" w:before="0" w:after="120"/>
      <w:ind w:hanging="0" w:start="567" w:end="0"/>
      <w:jc w:val="both"/>
    </w:pPr>
    <w:rPr>
      <w:rFonts w:cs="Arial"/>
      <w:sz w:val="22"/>
      <w:szCs w:val="22"/>
      <w:lang w:val="fr-FR" w:bidi="ar-SA"/>
    </w:rPr>
  </w:style>
  <w:style w:type="paragraph" w:styleId="CM55">
    <w:name w:val="CM55"/>
    <w:basedOn w:val="Normal"/>
    <w:next w:val="Normal"/>
    <w:qFormat/>
    <w:pPr>
      <w:widowControl w:val="false"/>
      <w:autoSpaceDE w:val="false"/>
      <w:spacing w:lineRule="atLeast" w:line="266"/>
    </w:pPr>
    <w:rPr>
      <w:rFonts w:ascii="Imprint MT Shadow" w:hAnsi="Imprint MT Shadow" w:cs="Imprint MT Shadow"/>
      <w:lang w:bidi="ar-SA"/>
    </w:rPr>
  </w:style>
  <w:style w:type="paragraph" w:styleId="Default">
    <w:name w:val="Default"/>
    <w:qFormat/>
    <w:pPr>
      <w:widowControl w:val="false"/>
      <w:autoSpaceDE w:val="false"/>
      <w:bidi w:val="0"/>
    </w:pPr>
    <w:rPr>
      <w:rFonts w:ascii="Imprint MT Shadow" w:hAnsi="Imprint MT Shadow" w:eastAsia="Times New Roman" w:cs="Imprint MT Shadow"/>
      <w:color w:val="000000"/>
      <w:sz w:val="24"/>
      <w:szCs w:val="24"/>
      <w:lang w:val="en-US" w:bidi="ar-SA" w:eastAsia="zh-CN"/>
    </w:rPr>
  </w:style>
  <w:style w:type="paragraph" w:styleId="Explication">
    <w:name w:val="Explication"/>
    <w:basedOn w:val="Normal"/>
    <w:qFormat/>
    <w:pPr>
      <w:numPr>
        <w:ilvl w:val="0"/>
        <w:numId w:val="16"/>
      </w:numPr>
    </w:pPr>
    <w:rPr/>
  </w:style>
  <w:style w:type="paragraph" w:styleId="Info03">
    <w:name w:val="Info03"/>
    <w:basedOn w:val="Info2"/>
    <w:qFormat/>
    <w:pPr>
      <w:spacing w:lineRule="exact" w:line="220"/>
      <w:ind w:hanging="0" w:start="113" w:end="113"/>
    </w:pPr>
    <w:rPr>
      <w:sz w:val="20"/>
    </w:rPr>
  </w:style>
  <w:style w:type="paragraph" w:styleId="txt0">
    <w:name w:val="txt0"/>
    <w:basedOn w:val="txt"/>
    <w:qFormat/>
    <w:pPr>
      <w:spacing w:before="120" w:after="120"/>
      <w:ind w:hanging="0" w:start="0" w:end="0"/>
    </w:pPr>
    <w:rPr/>
  </w:style>
  <w:style w:type="paragraph" w:styleId="Grille01N">
    <w:name w:val="Grille01N"/>
    <w:basedOn w:val="Grille01"/>
    <w:qFormat/>
    <w:pPr>
      <w:ind w:hanging="0" w:start="113" w:end="0"/>
      <w:jc w:val="end"/>
    </w:pPr>
    <w:rPr/>
  </w:style>
  <w:style w:type="paragraph" w:styleId="Grille02N">
    <w:name w:val="Grille02N"/>
    <w:basedOn w:val="Corpsdetexte3Car"/>
    <w:qFormat/>
    <w:pPr>
      <w:spacing w:lineRule="auto" w:line="240"/>
      <w:ind w:hanging="0" w:start="113" w:end="0"/>
      <w:jc w:val="end"/>
    </w:pPr>
    <w:rPr>
      <w:bCs/>
      <w:lang w:val="en-US"/>
    </w:rPr>
  </w:style>
  <w:style w:type="paragraph" w:styleId="Word">
    <w:name w:val="Word"/>
    <w:basedOn w:val="Info03"/>
    <w:qFormat/>
    <w:pPr>
      <w:jc w:val="end"/>
    </w:pPr>
    <w:rPr/>
  </w:style>
  <w:style w:type="paragraph" w:styleId="num1">
    <w:name w:val="Énum1"/>
    <w:basedOn w:val="Normal"/>
    <w:qFormat/>
    <w:pPr>
      <w:numPr>
        <w:ilvl w:val="0"/>
        <w:numId w:val="17"/>
      </w:numPr>
    </w:pPr>
    <w:rPr/>
  </w:style>
  <w:style w:type="paragraph" w:styleId="Rponse">
    <w:name w:val="Réponse"/>
    <w:basedOn w:val="txt0"/>
    <w:qFormat/>
    <w:pPr>
      <w:spacing w:lineRule="exact" w:line="240" w:before="80" w:after="80"/>
    </w:pPr>
    <w:rPr/>
  </w:style>
  <w:style w:type="paragraph" w:styleId="Rvision">
    <w:name w:val="Révision"/>
    <w:qFormat/>
    <w:pPr>
      <w:widowControl/>
      <w:bidi w:val="0"/>
    </w:pPr>
    <w:rPr>
      <w:rFonts w:ascii="Arial" w:hAnsi="Arial" w:eastAsia="Times New Roman" w:cs="Arial"/>
      <w:color w:val="auto"/>
      <w:sz w:val="24"/>
      <w:szCs w:val="24"/>
      <w:lang w:val="en-US" w:bidi="ar-SA" w:eastAsia="zh-CN"/>
    </w:rPr>
  </w:style>
  <w:style w:type="paragraph" w:styleId="Rvision1">
    <w:name w:val="Révision1"/>
    <w:qFormat/>
    <w:pPr>
      <w:widowControl/>
      <w:bidi w:val="0"/>
    </w:pPr>
    <w:rPr>
      <w:rFonts w:ascii="Times New Roman" w:hAnsi="Times New Roman" w:eastAsia="Times New Roman" w:cs="Times New Roman"/>
      <w:color w:val="auto"/>
      <w:sz w:val="24"/>
      <w:szCs w:val="24"/>
      <w:lang w:val="fr-FR" w:bidi="ar-SA" w:eastAsia="zh-CN"/>
    </w:rPr>
  </w:style>
  <w:style w:type="paragraph" w:styleId="Grille02">
    <w:name w:val="Grille02"/>
    <w:basedOn w:val="Normal"/>
    <w:next w:val="Info2"/>
    <w:qFormat/>
    <w:pPr>
      <w:keepNext w:val="true"/>
      <w:spacing w:before="120" w:after="120"/>
      <w:jc w:val="both"/>
    </w:pPr>
    <w:rPr>
      <w:rFonts w:eastAsia="SimSun;宋体"/>
      <w:b/>
      <w:bCs/>
      <w:sz w:val="22"/>
      <w:szCs w:val="22"/>
    </w:rPr>
  </w:style>
  <w:style w:type="paragraph" w:styleId="Corpsdetexte21">
    <w:name w:val="Corps de texte 21"/>
    <w:basedOn w:val="Normal"/>
    <w:qFormat/>
    <w:pPr>
      <w:widowControl w:val="false"/>
      <w:suppressAutoHyphens w:val="true"/>
      <w:spacing w:lineRule="auto" w:line="480" w:before="0" w:after="120"/>
    </w:pPr>
    <w:rPr/>
  </w:style>
  <w:style w:type="paragraph" w:styleId="WW-Standard">
    <w:name w:val="WW-Standard"/>
    <w:qFormat/>
    <w:pPr>
      <w:widowControl w:val="false"/>
      <w:suppressAutoHyphens w:val="true"/>
      <w:bidi w:val="0"/>
      <w:textAlignment w:val="baseline"/>
    </w:pPr>
    <w:rPr>
      <w:rFonts w:ascii="Liberation Sans" w:hAnsi="Liberation Sans" w:eastAsia="Lucida Sans Unicode" w:cs="Mangal"/>
      <w:color w:val="auto"/>
      <w:kern w:val="2"/>
      <w:sz w:val="24"/>
      <w:szCs w:val="24"/>
      <w:lang w:val="fr-FR" w:bidi="hi-IN" w:eastAsia="zh-CN"/>
    </w:rPr>
  </w:style>
  <w:style w:type="paragraph" w:styleId="Textecandidature">
    <w:name w:val="Texte candidature"/>
    <w:basedOn w:val="Normal"/>
    <w:qFormat/>
    <w:pPr>
      <w:spacing w:before="120" w:after="0"/>
      <w:jc w:val="both"/>
    </w:pPr>
    <w:rPr>
      <w:kern w:val="2"/>
      <w:sz w:val="22"/>
    </w:rPr>
  </w:style>
  <w:style w:type="paragraph" w:styleId="Paragraphedeliste1">
    <w:name w:val="Paragraphe de liste1"/>
    <w:basedOn w:val="Normal"/>
    <w:qFormat/>
    <w:pPr>
      <w:widowControl w:val="false"/>
      <w:suppressAutoHyphens w:val="true"/>
      <w:ind w:hanging="0" w:start="720" w:end="0"/>
    </w:pPr>
    <w:rPr>
      <w:rFonts w:cs="Mangal"/>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2020-08-11T19:47:00Z</dcterms:created>
  <dc:creator/>
  <dc:description/>
  <cp:keywords/>
  <dc:language>en-US</dc:language>
  <cp:lastModifiedBy/>
  <dcterms:modified xsi:type="dcterms:W3CDTF">2020-08-11T19:47:00Z</dcterms:modified>
  <cp:revision>1</cp:revision>
  <dc:subject/>
  <dc:title/>
</cp:coreProperties>
</file>