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E36E" w14:textId="2C143DE3" w:rsidR="00EC6F8D" w:rsidRPr="001A1E48" w:rsidRDefault="00EC6F8D" w:rsidP="00EC6F8D">
      <w:pPr>
        <w:spacing w:before="1440"/>
        <w:jc w:val="center"/>
        <w:rPr>
          <w:rFonts w:ascii="Arial" w:hAnsi="Arial" w:cs="Arial"/>
          <w:b/>
          <w:sz w:val="22"/>
          <w:szCs w:val="22"/>
        </w:rPr>
      </w:pPr>
      <w:r w:rsidRPr="001A1E48">
        <w:rPr>
          <w:rFonts w:ascii="Arial" w:hAnsi="Arial" w:cs="Arial"/>
          <w:b/>
          <w:sz w:val="22"/>
        </w:rPr>
        <w:t>CONVENTION POUR LA SAUVEGARDE DU</w:t>
      </w:r>
      <w:r w:rsidRPr="001A1E48">
        <w:rPr>
          <w:rFonts w:ascii="Arial" w:hAnsi="Arial" w:cs="Arial"/>
          <w:b/>
          <w:sz w:val="22"/>
        </w:rPr>
        <w:br/>
        <w:t>PATRIMOINE CULTUREL IMMATÉRIEL</w:t>
      </w:r>
    </w:p>
    <w:p w14:paraId="3F72B1D3" w14:textId="37133200" w:rsidR="00EC6F8D" w:rsidRPr="001A1E48" w:rsidRDefault="005C792B" w:rsidP="00EC6F8D">
      <w:pPr>
        <w:spacing w:before="1200"/>
        <w:jc w:val="center"/>
        <w:rPr>
          <w:rFonts w:ascii="Arial" w:hAnsi="Arial" w:cs="Arial"/>
          <w:b/>
          <w:sz w:val="22"/>
          <w:szCs w:val="22"/>
        </w:rPr>
      </w:pPr>
      <w:r w:rsidRPr="001A1E48">
        <w:rPr>
          <w:rFonts w:ascii="Arial" w:hAnsi="Arial" w:cs="Arial"/>
          <w:b/>
          <w:sz w:val="22"/>
        </w:rPr>
        <w:t>ASSEMBLÉE GÉNÉRALE DES ÉTATS PARTIES À LA CONVENTION</w:t>
      </w:r>
    </w:p>
    <w:p w14:paraId="2E1CD4B4" w14:textId="762C97E8" w:rsidR="00EC6F8D" w:rsidRPr="001A1E48" w:rsidRDefault="0026085B" w:rsidP="001D14FE">
      <w:pPr>
        <w:spacing w:before="840"/>
        <w:jc w:val="center"/>
        <w:rPr>
          <w:rFonts w:ascii="Arial" w:hAnsi="Arial" w:cs="Arial"/>
          <w:b/>
          <w:sz w:val="22"/>
          <w:szCs w:val="22"/>
        </w:rPr>
      </w:pPr>
      <w:r w:rsidRPr="001A1E48">
        <w:rPr>
          <w:rFonts w:ascii="Arial" w:hAnsi="Arial" w:cs="Arial"/>
          <w:b/>
          <w:sz w:val="22"/>
        </w:rPr>
        <w:t>Onzième session</w:t>
      </w:r>
    </w:p>
    <w:p w14:paraId="1FD89575" w14:textId="25E79A67" w:rsidR="00B2172B" w:rsidRPr="001A1E48" w:rsidRDefault="005C792B" w:rsidP="00B2172B">
      <w:pPr>
        <w:jc w:val="center"/>
        <w:rPr>
          <w:rFonts w:ascii="Arial" w:hAnsi="Arial" w:cs="Arial"/>
          <w:b/>
          <w:sz w:val="22"/>
          <w:szCs w:val="22"/>
        </w:rPr>
      </w:pPr>
      <w:r w:rsidRPr="001A1E48">
        <w:rPr>
          <w:rFonts w:ascii="Arial" w:hAnsi="Arial" w:cs="Arial"/>
          <w:b/>
          <w:sz w:val="22"/>
        </w:rPr>
        <w:t xml:space="preserve">Siège de l’UNESCO, </w:t>
      </w:r>
      <w:r w:rsidR="00B3394B">
        <w:rPr>
          <w:rFonts w:ascii="Arial" w:hAnsi="Arial" w:cs="Arial"/>
          <w:b/>
          <w:sz w:val="22"/>
        </w:rPr>
        <w:t>S</w:t>
      </w:r>
      <w:r w:rsidRPr="001A1E48">
        <w:rPr>
          <w:rFonts w:ascii="Arial" w:hAnsi="Arial" w:cs="Arial"/>
          <w:b/>
          <w:sz w:val="22"/>
        </w:rPr>
        <w:t>alle I</w:t>
      </w:r>
    </w:p>
    <w:p w14:paraId="52EA6D50" w14:textId="46BCF87A" w:rsidR="00B2172B" w:rsidRPr="001A1E48" w:rsidRDefault="00544C93" w:rsidP="00B2172B">
      <w:pPr>
        <w:jc w:val="center"/>
        <w:rPr>
          <w:rFonts w:ascii="Arial" w:hAnsi="Arial" w:cs="Arial"/>
          <w:b/>
          <w:sz w:val="22"/>
          <w:szCs w:val="22"/>
        </w:rPr>
      </w:pPr>
      <w:r w:rsidRPr="001A1E48">
        <w:rPr>
          <w:rFonts w:ascii="Arial" w:hAnsi="Arial" w:cs="Arial"/>
          <w:b/>
          <w:sz w:val="22"/>
        </w:rPr>
        <w:t>17 - 18 juin 2026</w:t>
      </w:r>
    </w:p>
    <w:p w14:paraId="0365203A" w14:textId="495AC932" w:rsidR="00EC6F8D" w:rsidRPr="001A1E48" w:rsidRDefault="00EC6F8D" w:rsidP="00EC6F8D">
      <w:pPr>
        <w:pStyle w:val="Sansinterligne2"/>
        <w:spacing w:before="1200"/>
        <w:jc w:val="center"/>
        <w:rPr>
          <w:rFonts w:ascii="Arial" w:hAnsi="Arial" w:cs="Arial"/>
          <w:b/>
          <w:sz w:val="22"/>
          <w:szCs w:val="22"/>
        </w:rPr>
      </w:pPr>
      <w:r w:rsidRPr="001A1E48">
        <w:rPr>
          <w:rFonts w:ascii="Arial" w:hAnsi="Arial" w:cs="Arial"/>
          <w:b/>
          <w:sz w:val="22"/>
          <w:u w:val="single"/>
        </w:rPr>
        <w:t>Point 7 de l’ordre du jour provisoire</w:t>
      </w:r>
      <w:r w:rsidRPr="001A1E48">
        <w:rPr>
          <w:rFonts w:ascii="Arial" w:hAnsi="Arial" w:cs="Arial"/>
          <w:b/>
          <w:sz w:val="22"/>
        </w:rPr>
        <w:t> :</w:t>
      </w:r>
    </w:p>
    <w:p w14:paraId="48EB477F" w14:textId="77777777" w:rsidR="00B3394B" w:rsidRDefault="00B3394B" w:rsidP="004A2875">
      <w:pPr>
        <w:pStyle w:val="Sansinterligne2"/>
        <w:spacing w:after="960"/>
        <w:contextualSpacing/>
        <w:jc w:val="center"/>
        <w:rPr>
          <w:rFonts w:ascii="Arial" w:hAnsi="Arial" w:cs="Arial"/>
          <w:b/>
          <w:sz w:val="22"/>
        </w:rPr>
      </w:pPr>
      <w:r>
        <w:rPr>
          <w:rFonts w:ascii="Arial" w:hAnsi="Arial" w:cs="Arial"/>
          <w:b/>
          <w:sz w:val="22"/>
        </w:rPr>
        <w:t>R</w:t>
      </w:r>
      <w:r w:rsidR="00945319" w:rsidRPr="001A1E48">
        <w:rPr>
          <w:rFonts w:ascii="Arial" w:hAnsi="Arial" w:cs="Arial"/>
          <w:b/>
          <w:sz w:val="22"/>
        </w:rPr>
        <w:t>évision</w:t>
      </w:r>
      <w:r>
        <w:rPr>
          <w:rFonts w:ascii="Arial" w:hAnsi="Arial" w:cs="Arial"/>
          <w:b/>
          <w:sz w:val="22"/>
        </w:rPr>
        <w:t>s proposées aux</w:t>
      </w:r>
      <w:r w:rsidR="00945319" w:rsidRPr="001A1E48">
        <w:rPr>
          <w:rFonts w:ascii="Arial" w:hAnsi="Arial" w:cs="Arial"/>
          <w:b/>
          <w:sz w:val="22"/>
        </w:rPr>
        <w:t xml:space="preserve"> Directives opérationnelles </w:t>
      </w:r>
    </w:p>
    <w:p w14:paraId="59920478" w14:textId="5DC425CE" w:rsidR="004A2875" w:rsidRPr="001A1E48" w:rsidRDefault="00945319" w:rsidP="004A2875">
      <w:pPr>
        <w:pStyle w:val="Sansinterligne2"/>
        <w:spacing w:after="960"/>
        <w:jc w:val="center"/>
        <w:rPr>
          <w:rFonts w:ascii="Arial" w:hAnsi="Arial" w:cs="Arial"/>
          <w:bCs/>
          <w:sz w:val="22"/>
          <w:szCs w:val="22"/>
        </w:rPr>
      </w:pPr>
      <w:r w:rsidRPr="001A1E48">
        <w:rPr>
          <w:rFonts w:ascii="Arial" w:hAnsi="Arial" w:cs="Arial"/>
          <w:b/>
          <w:sz w:val="22"/>
        </w:rPr>
        <w:t>pour la mise en œuvre de la Convention</w:t>
      </w:r>
    </w:p>
    <w:tbl>
      <w:tblPr>
        <w:tblW w:w="5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0"/>
      </w:tblGrid>
      <w:tr w:rsidR="00EC6F8D" w:rsidRPr="001A1E48" w14:paraId="75AC6221" w14:textId="77777777" w:rsidTr="00EC6F8D">
        <w:trPr>
          <w:jc w:val="center"/>
        </w:trPr>
        <w:tc>
          <w:tcPr>
            <w:tcW w:w="5670" w:type="dxa"/>
            <w:vAlign w:val="center"/>
          </w:tcPr>
          <w:p w14:paraId="51C260A9" w14:textId="77777777" w:rsidR="00EC6F8D" w:rsidRPr="001A1E48" w:rsidRDefault="00EC6F8D" w:rsidP="00CA56BB">
            <w:pPr>
              <w:pStyle w:val="Sansinterligne1"/>
              <w:spacing w:before="200" w:after="200"/>
              <w:jc w:val="center"/>
              <w:rPr>
                <w:rFonts w:ascii="Arial" w:hAnsi="Arial" w:cs="Arial"/>
                <w:b/>
                <w:sz w:val="22"/>
                <w:szCs w:val="22"/>
              </w:rPr>
            </w:pPr>
            <w:r w:rsidRPr="001A1E48">
              <w:rPr>
                <w:rFonts w:ascii="Arial" w:hAnsi="Arial" w:cs="Arial"/>
                <w:b/>
                <w:sz w:val="22"/>
              </w:rPr>
              <w:t>Résumé</w:t>
            </w:r>
          </w:p>
          <w:p w14:paraId="612E5DE6" w14:textId="73741E4A" w:rsidR="00BB6EEC" w:rsidRPr="001A1E48" w:rsidRDefault="00FA5F89" w:rsidP="00BB6EEC">
            <w:pPr>
              <w:pStyle w:val="Sansinterligne1"/>
              <w:jc w:val="both"/>
              <w:rPr>
                <w:rFonts w:ascii="Arial" w:hAnsi="Arial" w:cs="Arial"/>
                <w:bCs/>
                <w:sz w:val="22"/>
                <w:szCs w:val="22"/>
              </w:rPr>
            </w:pPr>
            <w:r w:rsidRPr="001A1E48">
              <w:rPr>
                <w:rFonts w:ascii="Arial" w:hAnsi="Arial" w:cs="Arial"/>
                <w:sz w:val="22"/>
              </w:rPr>
              <w:t xml:space="preserve">Il est demandé à la présente session de l’Assemblée générale d’approuver les révisions proposées aux Directives opérationnelles afin de prolonger le délai prévu pour le traitement des dossiers de candidature et de soutenir la </w:t>
            </w:r>
            <w:r w:rsidR="004439EC" w:rsidRPr="001A1E48">
              <w:rPr>
                <w:rFonts w:ascii="Arial" w:hAnsi="Arial" w:cs="Arial"/>
                <w:sz w:val="22"/>
              </w:rPr>
              <w:t xml:space="preserve">transition vers </w:t>
            </w:r>
            <w:r w:rsidRPr="001A1E48">
              <w:rPr>
                <w:rFonts w:ascii="Arial" w:hAnsi="Arial" w:cs="Arial"/>
                <w:sz w:val="22"/>
              </w:rPr>
              <w:t xml:space="preserve">un système de soumission </w:t>
            </w:r>
            <w:r w:rsidR="00EA0D2D" w:rsidRPr="001A1E48">
              <w:rPr>
                <w:rFonts w:ascii="Arial" w:hAnsi="Arial" w:cs="Arial"/>
                <w:sz w:val="22"/>
              </w:rPr>
              <w:t xml:space="preserve">unique </w:t>
            </w:r>
            <w:r w:rsidRPr="001A1E48">
              <w:rPr>
                <w:rFonts w:ascii="Arial" w:hAnsi="Arial" w:cs="Arial"/>
                <w:sz w:val="22"/>
              </w:rPr>
              <w:t>des rapports périodiques à l’échelle mondiale.</w:t>
            </w:r>
          </w:p>
          <w:p w14:paraId="290310E8" w14:textId="48FB9EA8" w:rsidR="00EC6F8D" w:rsidRPr="001A1E48" w:rsidRDefault="00EC6F8D" w:rsidP="00CA56BB">
            <w:pPr>
              <w:pStyle w:val="Sansinterligne2"/>
              <w:spacing w:before="200" w:after="200"/>
              <w:jc w:val="both"/>
              <w:rPr>
                <w:rFonts w:ascii="Arial" w:hAnsi="Arial" w:cs="Arial"/>
                <w:b/>
                <w:sz w:val="22"/>
                <w:szCs w:val="22"/>
              </w:rPr>
            </w:pPr>
            <w:r w:rsidRPr="001A1E48">
              <w:rPr>
                <w:rFonts w:ascii="Arial" w:hAnsi="Arial" w:cs="Arial"/>
                <w:b/>
                <w:sz w:val="22"/>
              </w:rPr>
              <w:t xml:space="preserve">Décision requise : </w:t>
            </w:r>
            <w:r w:rsidRPr="001A1E48">
              <w:rPr>
                <w:rFonts w:ascii="Arial" w:hAnsi="Arial" w:cs="Arial"/>
                <w:sz w:val="22"/>
              </w:rPr>
              <w:t>paragraphe 24</w:t>
            </w:r>
          </w:p>
        </w:tc>
      </w:tr>
    </w:tbl>
    <w:p w14:paraId="713D819F" w14:textId="77777777" w:rsidR="004A2875" w:rsidRPr="001A1E48" w:rsidRDefault="00655736" w:rsidP="005423CA">
      <w:pPr>
        <w:pStyle w:val="ListParagraph"/>
        <w:keepLines/>
        <w:numPr>
          <w:ilvl w:val="0"/>
          <w:numId w:val="5"/>
        </w:numPr>
        <w:spacing w:after="240"/>
        <w:ind w:left="567" w:hanging="567"/>
        <w:contextualSpacing w:val="0"/>
        <w:rPr>
          <w:rFonts w:ascii="Arial" w:hAnsi="Arial" w:cs="Arial"/>
          <w:b/>
          <w:snapToGrid w:val="0"/>
          <w:sz w:val="22"/>
          <w:szCs w:val="22"/>
        </w:rPr>
      </w:pPr>
      <w:r w:rsidRPr="001A1E48">
        <w:rPr>
          <w:rFonts w:ascii="Arial" w:hAnsi="Arial" w:cs="Arial"/>
        </w:rPr>
        <w:br w:type="page"/>
      </w:r>
    </w:p>
    <w:p w14:paraId="6C62585F" w14:textId="4823E187" w:rsidR="00F70CC5" w:rsidRPr="001A1E48" w:rsidRDefault="00D9719F" w:rsidP="00F70CC5">
      <w:pPr>
        <w:pStyle w:val="COMPara"/>
        <w:numPr>
          <w:ilvl w:val="0"/>
          <w:numId w:val="0"/>
        </w:numPr>
        <w:spacing w:before="240"/>
        <w:jc w:val="both"/>
        <w:rPr>
          <w:b/>
          <w:bCs/>
        </w:rPr>
      </w:pPr>
      <w:bookmarkStart w:id="0" w:name="_Hlk124351255"/>
      <w:r w:rsidRPr="001A1E48">
        <w:rPr>
          <w:b/>
        </w:rPr>
        <w:lastRenderedPageBreak/>
        <w:t>Introduction</w:t>
      </w:r>
    </w:p>
    <w:bookmarkEnd w:id="0"/>
    <w:p w14:paraId="68870AAB" w14:textId="2F15CF1A" w:rsidR="001E7D4C" w:rsidRPr="001A1E48" w:rsidRDefault="00D9719F" w:rsidP="001E1751">
      <w:pPr>
        <w:pStyle w:val="COMPara"/>
        <w:ind w:left="567" w:hanging="567"/>
        <w:jc w:val="both"/>
      </w:pPr>
      <w:r w:rsidRPr="001A1E48">
        <w:t>L’Assemblée générale est invitée, lors de la présente session, à approuver les révisions apportées aux Directives opérationnelles pour la mise en œuvre de la Convention de 2003, dont l’adoption a été recommandée par le Comité intergouvernemental lors de sa vingtième session, en vue de continuer à renforcer les procédures liées aux deux mécanismes de coopération internationale prévus par la Convention</w:t>
      </w:r>
      <w:r w:rsidR="004439EC" w:rsidRPr="001A1E48">
        <w:t xml:space="preserve"> suivants</w:t>
      </w:r>
      <w:r w:rsidRPr="001A1E48">
        <w:t xml:space="preserve">, </w:t>
      </w:r>
      <w:r w:rsidR="004439EC" w:rsidRPr="001A1E48">
        <w:t xml:space="preserve">à savoir </w:t>
      </w:r>
      <w:r w:rsidRPr="001A1E48">
        <w:t xml:space="preserve">le traitement des dossiers de candidature pour les mécanismes d’inscription sur les listes de la Convention, ainsi que la </w:t>
      </w:r>
      <w:r w:rsidR="004439EC" w:rsidRPr="001A1E48">
        <w:t xml:space="preserve">transition vers </w:t>
      </w:r>
      <w:r w:rsidRPr="001A1E48">
        <w:t xml:space="preserve">un système de soumission </w:t>
      </w:r>
      <w:r w:rsidR="00E670BE" w:rsidRPr="001A1E48">
        <w:t xml:space="preserve">unique </w:t>
      </w:r>
      <w:r w:rsidRPr="001A1E48">
        <w:t>des rapports périodiques à l’échelle mondiale.</w:t>
      </w:r>
    </w:p>
    <w:p w14:paraId="5A07F7A4" w14:textId="2ECA78C3" w:rsidR="001E7D4C" w:rsidRPr="001A1E48" w:rsidRDefault="001E7D4C" w:rsidP="005423CA">
      <w:pPr>
        <w:pStyle w:val="COMPara"/>
        <w:numPr>
          <w:ilvl w:val="0"/>
          <w:numId w:val="15"/>
        </w:numPr>
        <w:spacing w:before="240"/>
        <w:ind w:left="567" w:hanging="567"/>
        <w:jc w:val="both"/>
        <w:rPr>
          <w:b/>
          <w:bCs/>
          <w:color w:val="000000" w:themeColor="text1"/>
        </w:rPr>
      </w:pPr>
      <w:r w:rsidRPr="001A1E48">
        <w:rPr>
          <w:b/>
          <w:color w:val="000000" w:themeColor="text1"/>
        </w:rPr>
        <w:t>Traitement des dossiers de candidature pour les mécanismes d’inscription sur les listes de la Convention</w:t>
      </w:r>
    </w:p>
    <w:p w14:paraId="7D455BB9" w14:textId="72B6F488" w:rsidR="00372A64" w:rsidRPr="001A1E48" w:rsidRDefault="00372A64" w:rsidP="00372A64">
      <w:pPr>
        <w:pStyle w:val="COMPara"/>
        <w:ind w:left="567" w:hanging="567"/>
        <w:jc w:val="both"/>
      </w:pPr>
      <w:r w:rsidRPr="001A1E48">
        <w:t xml:space="preserve">Le sous-chapitre I.15 des Directives opérationnelles contient les dispositions relatives aux procédures associées au traitement des dossiers pour les mécanismes d’inscription sur les listes de la Convention, qui est divisé en trois phases : préparation et soumission (paragraphe 54), évaluation (paragraphe 55) et examen (paragraphe 56). Le paragraphe 54 des Directives opérationnelles prévoit que, </w:t>
      </w:r>
      <w:proofErr w:type="gramStart"/>
      <w:r w:rsidRPr="001A1E48">
        <w:t>suite à</w:t>
      </w:r>
      <w:proofErr w:type="gramEnd"/>
      <w:r w:rsidRPr="001A1E48">
        <w:t xml:space="preserve"> la soumission des candidatures, propositions et demandes avant la date limite statutaire du 31 mars, le Secrétariat traitera « les dossiers, y compris l’enregistrement et l’accusé de réception. Si un dossier est incomplet, l’État partie est invité à le compléter. » L’État partie dispose </w:t>
      </w:r>
      <w:r w:rsidR="00322D46" w:rsidRPr="001A1E48">
        <w:t xml:space="preserve">ensuite </w:t>
      </w:r>
      <w:r w:rsidRPr="001A1E48">
        <w:t>d’un délai de trois mois pour transmettre au Secrétariat « les informations manquantes requises pour compléter le dossier, si nécessaire ». Cette partie du processus est considérée comme la phase de « vérification de complétude technique ».</w:t>
      </w:r>
    </w:p>
    <w:p w14:paraId="0CAE1729" w14:textId="1CC05A79" w:rsidR="000F1B71" w:rsidRPr="001A1E48" w:rsidRDefault="001835D0" w:rsidP="000F15E5">
      <w:pPr>
        <w:pStyle w:val="COMPara"/>
        <w:ind w:left="567" w:hanging="567"/>
        <w:jc w:val="both"/>
      </w:pPr>
      <w:r w:rsidRPr="001A1E48">
        <w:t>À la suite de la réflexion globale sur les mécanismes d’inscription sur les listes de la Convention (2018-2022), plusieurs procédures et formulaires de soumission des candidatures ont été simplifiés. De même, les exigences techniques correspondantes ont été adaptées en conséquence afin de tenir compte à la fois de ces procédures simplifiées et de la diversité des documents à examiner, notamment l’introduction de documents facultatifs et de fichiers audiovisuels fournis par les États et les communautés. Si la vérification de complétude technique a permis, au fil des ans, de garantir de mieux en mieux que les dossiers de candidature répondent aux exigences techniques requises, elle a également offert aux États l’occasion d’améliorer la qualité de leurs candidatures. Ce processus a ainsi facilité leur évaluation par l’Organe d’évaluation et leur examen par le Comité, tout en garantissant une visibilité et une présentation adéquates de ces éléments auprès du public.</w:t>
      </w:r>
    </w:p>
    <w:p w14:paraId="326482FA" w14:textId="0B68A5A7" w:rsidR="009F2DF1" w:rsidRPr="001A1E48" w:rsidRDefault="00235203" w:rsidP="00026265">
      <w:pPr>
        <w:pStyle w:val="COMPara"/>
        <w:ind w:left="567" w:hanging="567"/>
        <w:jc w:val="both"/>
      </w:pPr>
      <w:r w:rsidRPr="001A1E48">
        <w:t>Compte tenu du volume élevé de candidatures soumises dans le cadre des cycles 2024 et 2025, période durant laquelle les conclusions de la réflexion mondiale sur les mécanismes d’inscription sur les listes ont pleinement pris effet, ainsi que de l’augmentation des exigences techniques et des éléments correspondants à examiner au cours de la vérification de la complétude technique, le Comité a recommandé à l’Assemblée générale, lors de sa la vingtième session, de réviser les Directives opérationnelles (décision </w:t>
      </w:r>
      <w:hyperlink r:id="rId8" w:history="1">
        <w:r w:rsidRPr="001A1E48">
          <w:rPr>
            <w:rStyle w:val="Hyperlink"/>
          </w:rPr>
          <w:t>20.COM 8</w:t>
        </w:r>
      </w:hyperlink>
      <w:r w:rsidRPr="001A1E48">
        <w:t xml:space="preserve"> et document </w:t>
      </w:r>
      <w:hyperlink r:id="rId9" w:history="1">
        <w:r w:rsidRPr="001A1E48">
          <w:rPr>
            <w:rStyle w:val="Hyperlink"/>
          </w:rPr>
          <w:t>LHE/25/20.COM/8</w:t>
        </w:r>
      </w:hyperlink>
      <w:r w:rsidRPr="001A1E48">
        <w:t>) afin de permettre d’allouer un délai supplémentaire pour la vérification de complétude technique des dossiers, en tenant compte des multiples aspects impliqués dans le processus, du nombre croissant de candidatures qui en bénéficient et de son importance pour la phase d’évaluation qui suit.</w:t>
      </w:r>
    </w:p>
    <w:p w14:paraId="4D11F301" w14:textId="77777777" w:rsidR="008B6268" w:rsidRPr="001A1E48" w:rsidRDefault="008B6268" w:rsidP="008B6268">
      <w:pPr>
        <w:pStyle w:val="COMPara"/>
        <w:numPr>
          <w:ilvl w:val="0"/>
          <w:numId w:val="0"/>
        </w:numPr>
        <w:ind w:left="567"/>
        <w:jc w:val="both"/>
        <w:rPr>
          <w:u w:val="single"/>
        </w:rPr>
      </w:pPr>
      <w:r w:rsidRPr="001A1E48">
        <w:rPr>
          <w:u w:val="single"/>
        </w:rPr>
        <w:t>Portée de la vérification de complétude technique</w:t>
      </w:r>
    </w:p>
    <w:p w14:paraId="44A448B3" w14:textId="6FCFE84F" w:rsidR="008B6268" w:rsidRPr="001A1E48" w:rsidRDefault="008B6268" w:rsidP="008B6268">
      <w:pPr>
        <w:pStyle w:val="COMPara"/>
        <w:ind w:left="567" w:hanging="567"/>
        <w:jc w:val="both"/>
      </w:pPr>
      <w:r w:rsidRPr="001A1E48">
        <w:t xml:space="preserve">Au-delà de l’identification des documents et matériels manquants dans les dossiers de candidature, la vérification de la complétude consiste à s’assurer qu’un dossier est conforme aux exigences techniques, </w:t>
      </w:r>
      <w:r w:rsidR="00145016" w:rsidRPr="001A1E48">
        <w:t>avec pour objectif central</w:t>
      </w:r>
      <w:r w:rsidRPr="001A1E48">
        <w:t xml:space="preserve"> de faciliter son évaluation par l’Organe d’évaluation et son examen par le Comité, tout en veillant à ce que l’évaluation soit effectuée sur une base transparente et équitable. En outre, ce processus permet aux éléments de bénéficier d’une visibilité et d’une présentation adéquates auprès du public, grâce aux documents de candidature associés qui sont publiés sur le site Internet de la Convention durant le processus de candidature et après l’inscription.</w:t>
      </w:r>
    </w:p>
    <w:p w14:paraId="6D85E4F9" w14:textId="02256530" w:rsidR="008B6268" w:rsidRPr="001A1E48" w:rsidRDefault="008B6268" w:rsidP="008B6268">
      <w:pPr>
        <w:pStyle w:val="COMPara"/>
        <w:ind w:left="567" w:hanging="567"/>
        <w:jc w:val="both"/>
      </w:pPr>
      <w:r w:rsidRPr="001A1E48">
        <w:lastRenderedPageBreak/>
        <w:t xml:space="preserve">L’éventail des questions abordées dans le cadre de la vérification de la complétude technique est large, depuis la présence de réponses dans les formulaires de candidature ICH-0x en ce qui concerne les limites de mots, la soumission du nombre spécifié de photos et de vidéos avec sous-titres dans un format et une durée adéquats, jusqu’à la présentation de documents de consentement ou d’un extrait d’inventaire dans la langue d’origine et en anglais ou en français, entre autres. Les exigences techniques et donc les aspects à vérifier ont augmenté </w:t>
      </w:r>
      <w:proofErr w:type="gramStart"/>
      <w:r w:rsidRPr="001A1E48">
        <w:t>suite à</w:t>
      </w:r>
      <w:proofErr w:type="gramEnd"/>
      <w:r w:rsidRPr="001A1E48">
        <w:t xml:space="preserve"> la réflexion globale sur les mécanismes d’inscription sur les listes, notamment avec l’introduction de matériel optionnel, l’augmentation des dossiers audiovisuels et la documentation spécifique pour les demandes d’</w:t>
      </w:r>
      <w:r w:rsidR="00145016" w:rsidRPr="001A1E48">
        <w:t>inscription sur une base élargie</w:t>
      </w:r>
      <w:r w:rsidRPr="001A1E48">
        <w:t xml:space="preserve"> et de transfert. Il convient de souligner qu’à ce stade, aucune vérification n’est effectuée sur le contenu des dossiers de candidature soumis, mais uniquement sur leur conformité aux exigences techniques.</w:t>
      </w:r>
    </w:p>
    <w:p w14:paraId="44AE1E84" w14:textId="0B881FAD" w:rsidR="008B6268" w:rsidRPr="001A1E48" w:rsidRDefault="008B6268" w:rsidP="008B6268">
      <w:pPr>
        <w:pStyle w:val="COMPara"/>
        <w:ind w:left="567" w:hanging="567"/>
        <w:jc w:val="both"/>
      </w:pPr>
      <w:r w:rsidRPr="001A1E48">
        <w:t xml:space="preserve">Au fil des ans, la pratique a évolué et l’approche est devenue plus flexible, notamment parce qu’il est devenu nécessaire pour les États ayant des dossiers sortant du </w:t>
      </w:r>
      <w:r w:rsidR="00145016" w:rsidRPr="001A1E48">
        <w:t xml:space="preserve">dossier </w:t>
      </w:r>
      <w:r w:rsidRPr="001A1E48">
        <w:t>« </w:t>
      </w:r>
      <w:r w:rsidR="00145016" w:rsidRPr="001A1E48">
        <w:t>en attente</w:t>
      </w:r>
      <w:r w:rsidRPr="001A1E48">
        <w:t> » après plusieurs années de pouvoir présenter une documentation actualisée. Ce processus a permis aux États soumissionnaires de profiter de la vérification de complétude technique pour réviser le dossier de candidature en fournissant des informations supplémentaires mises à jour en plus de celles indiquées comme manquantes dans les demandes d’informations complémentaires du Secrétariat. Une grande majorité des États soumissionnaires profitent actuellement de cette phase pour compléter et réviser leurs dossiers. Les informations supplémentaires comprennent souvent, entre autres, une clarification sur la soumission de matériel optionnel, et des documents de consentement supplémentaires, des extraits d’inventaire mis à jour, et d’autres informations que les communautés souhaitent transmettre à la lumière de l’évolution des contextes locaux. Dans les candidatures multinationales, ces questions peuvent concerner un ou plusieurs États soumissionnaires.</w:t>
      </w:r>
    </w:p>
    <w:p w14:paraId="66D583BE" w14:textId="77777777" w:rsidR="008B6268" w:rsidRPr="001A1E48" w:rsidRDefault="008B6268" w:rsidP="008B6268">
      <w:pPr>
        <w:pStyle w:val="COMPara"/>
        <w:ind w:left="567" w:hanging="567"/>
        <w:jc w:val="both"/>
      </w:pPr>
      <w:r w:rsidRPr="001A1E48">
        <w:t>Bien que représentant une charge de travail plus importante pour le Secrétariat, cette approche flexible a été accordée aux États soumissionnaires dans l’intérêt des États et des communautés afin d’offrir une opportunité d’améliorer la qualité des dossiers de candidature, tout en respectant le principe de transparence en publiant les différentes versions des documents de candidature sur le site Internet de la Convention avec leur date de soumission. En outre, les documents de candidature ne pouvaient pas être modifiés à l’initiative des États soumissionnaires après la transmission des candidatures à l’Organe d’évaluation.</w:t>
      </w:r>
    </w:p>
    <w:p w14:paraId="282C0F67" w14:textId="63A1E99C" w:rsidR="008B6268" w:rsidRPr="001A1E48" w:rsidRDefault="008B6268" w:rsidP="008B6268">
      <w:pPr>
        <w:pStyle w:val="COMPara"/>
        <w:ind w:left="567" w:hanging="567"/>
        <w:jc w:val="both"/>
      </w:pPr>
      <w:r w:rsidRPr="001A1E48">
        <w:t>Si le renforcement des capacités des États et des communautés et l’introduction du processus de dialogue peuvent largement expliquer le succès des candidatures ces dernières années, on peut considérer que l’approche flexible de la phase de vérification de complétude technique a également contribué à soutenir cette tendance positive, avec un taux plus élevé de recommandations positives de l’Organe d’évaluation (entre 98 % et 100 % entre 2023 et 2025) et un meilleur équilibre géographique des candidatures examinées lors des cycles 2023, 2024 et 2025 (Groupe I : 12 %, Groupe II : 13 %, Groupe III : 15 %, Groupe IV : 22 %, Groupe V(a) : 14 %, Groupe V(b) : 16 % et dossiers impliquant plusieurs Groupes : 8 %, sur 190 dossiers provenant de 134 États).</w:t>
      </w:r>
    </w:p>
    <w:p w14:paraId="2689A428" w14:textId="741E3E55" w:rsidR="008B6268" w:rsidRPr="001A1E48" w:rsidRDefault="008B6268" w:rsidP="008B6268">
      <w:pPr>
        <w:pStyle w:val="COMPara"/>
        <w:ind w:left="567" w:hanging="567"/>
        <w:jc w:val="both"/>
      </w:pPr>
      <w:r w:rsidRPr="001A1E48">
        <w:t xml:space="preserve">Après avoir pris note des problématiques susmentionnées qui ont été soulevées, lors de sa vingtième session, le Comité (décision </w:t>
      </w:r>
      <w:hyperlink r:id="rId10" w:history="1">
        <w:r w:rsidRPr="001A1E48">
          <w:rPr>
            <w:rStyle w:val="Hyperlink"/>
          </w:rPr>
          <w:t>20.COM 8</w:t>
        </w:r>
      </w:hyperlink>
      <w:r w:rsidRPr="001A1E48">
        <w:t xml:space="preserve">) a apprécié les effets positifs de l’approche flexible actuelle pour soutenir les efforts des États, confirmant que les dispositions du paragraphe 54, en particulier celles relatives à la date limite du 30 septembre de l’année 1, permettent la soumission de documents de candidature révisés dans le cadre de la vérification de complétude technique (plutôt qu’une approche « stricte » qui empêcherait les États candidats de modifier la candidature au-delà de ce que le Secrétariat a indiqué comme manquant). Toutefois, le Comité a invité les États parties à s’abstenir d’apporter des modifications substantielles lors du processus de vérification de complétude technique et, en même temps, a demandé au Secrétariat d’étudier les moyens de fournir des informations à l’Organe d’évaluation et au Comité sur les changements effectués lors de ce processus. Pour le cycle 2026, les dates de publication des documents de candidature mis à disposition sur la page Internet dédiée tiennent compte des changements effectués lors du processus de </w:t>
      </w:r>
      <w:r w:rsidRPr="001A1E48">
        <w:lastRenderedPageBreak/>
        <w:t xml:space="preserve">vérification de complétude technique. Au moment </w:t>
      </w:r>
      <w:r w:rsidR="00F7127D" w:rsidRPr="001A1E48">
        <w:t>de rédaction de ce document</w:t>
      </w:r>
      <w:r w:rsidRPr="001A1E48">
        <w:t>, le Secrétariat étudie différentes possibilités afin de présenter ces changements de manière plus claire, conformément à la demande formulée par le Comité dans le cadre du cycle de candidatures de 2027.</w:t>
      </w:r>
    </w:p>
    <w:p w14:paraId="3EE0F2D2" w14:textId="77777777" w:rsidR="00C958C5" w:rsidRPr="001A1E48" w:rsidRDefault="00C958C5" w:rsidP="00C958C5">
      <w:pPr>
        <w:pStyle w:val="COMPara"/>
        <w:numPr>
          <w:ilvl w:val="0"/>
          <w:numId w:val="0"/>
        </w:numPr>
        <w:ind w:left="567"/>
        <w:jc w:val="both"/>
        <w:rPr>
          <w:u w:val="single"/>
        </w:rPr>
      </w:pPr>
      <w:r w:rsidRPr="001A1E48">
        <w:rPr>
          <w:u w:val="single"/>
        </w:rPr>
        <w:t>Calendrier de traitement des candidatures</w:t>
      </w:r>
    </w:p>
    <w:p w14:paraId="56D02546" w14:textId="247B42C2" w:rsidR="00C958C5" w:rsidRPr="001A1E48" w:rsidRDefault="00C958C5" w:rsidP="00C958C5">
      <w:pPr>
        <w:pStyle w:val="COMPara"/>
        <w:ind w:left="567" w:hanging="567"/>
        <w:jc w:val="both"/>
      </w:pPr>
      <w:r w:rsidRPr="001A1E48">
        <w:t>Les cycles 2024 et 2025 sont les premiers cycles de candidature dans lesquels les résultats de la réflexion globale sur les mécanismes d’inscription sur les listes de la Convention (2018-2022) ont pris pleinement effet. Si un rapport plus détaillé sera présenté à la prochaine session du Comité en 2026 en réponse à la décision </w:t>
      </w:r>
      <w:hyperlink r:id="rId11" w:history="1">
        <w:r w:rsidRPr="001A1E48">
          <w:rPr>
            <w:rStyle w:val="Hyperlink"/>
          </w:rPr>
          <w:t>19.COM 15</w:t>
        </w:r>
      </w:hyperlink>
      <w:r w:rsidRPr="001A1E48">
        <w:t xml:space="preserve">, on peut d’ores et déjà observer que le nombre de dossiers traités a </w:t>
      </w:r>
      <w:r w:rsidR="00F7127D" w:rsidRPr="001A1E48">
        <w:t xml:space="preserve">substantiellement </w:t>
      </w:r>
      <w:r w:rsidRPr="001A1E48">
        <w:t xml:space="preserve">augmenté (140 dossiers au total sur les deux cycles contre 121 dossiers pour les cycles 2022 et 2023 réunis), </w:t>
      </w:r>
      <w:r w:rsidR="003C31FC" w:rsidRPr="001A1E48">
        <w:t xml:space="preserve">en prenant en compte le </w:t>
      </w:r>
      <w:r w:rsidRPr="001A1E48">
        <w:t xml:space="preserve">plafond annuel de soixante dossiers et </w:t>
      </w:r>
      <w:r w:rsidR="003C31FC" w:rsidRPr="001A1E48">
        <w:t xml:space="preserve">les </w:t>
      </w:r>
      <w:r w:rsidRPr="001A1E48">
        <w:t>différentes catégories de dossiers devant être traités hors plafond annuel depuis le cycle 2024 (décisions </w:t>
      </w:r>
      <w:hyperlink r:id="rId12" w:history="1">
        <w:r w:rsidRPr="001A1E48">
          <w:rPr>
            <w:rStyle w:val="Hyperlink"/>
          </w:rPr>
          <w:t>17.COM 15</w:t>
        </w:r>
      </w:hyperlink>
      <w:r w:rsidRPr="001A1E48">
        <w:t xml:space="preserve"> et </w:t>
      </w:r>
      <w:hyperlink r:id="rId13" w:history="1">
        <w:r w:rsidRPr="001A1E48">
          <w:rPr>
            <w:rStyle w:val="Hyperlink"/>
          </w:rPr>
          <w:t>19.COM 15</w:t>
        </w:r>
      </w:hyperlink>
      <w:r w:rsidRPr="001A1E48">
        <w:t>). Cette augmentation a une incidence sur la charge de travail du Comité, de l’Organe d’évaluation et du Secrétariat, et pourrait faire l’objet de discussions lors de la vingt-et-unième session du Comité.</w:t>
      </w:r>
    </w:p>
    <w:p w14:paraId="0A32D71C" w14:textId="19DAE2A5" w:rsidR="00C958C5" w:rsidRPr="001A1E48" w:rsidRDefault="00C958C5" w:rsidP="00C958C5">
      <w:pPr>
        <w:pStyle w:val="COMPara"/>
        <w:ind w:left="567" w:hanging="567"/>
        <w:jc w:val="both"/>
      </w:pPr>
      <w:proofErr w:type="gramStart"/>
      <w:r w:rsidRPr="001A1E48">
        <w:t>Suite à</w:t>
      </w:r>
      <w:proofErr w:type="gramEnd"/>
      <w:r w:rsidRPr="001A1E48">
        <w:t xml:space="preserve"> la réflexion globale sur les mécanismes d’inscription, plusieurs procédures et formulaires ont été simplifiés pour la soumission des candidatures, avec des exigences techniques adaptées à ces procédures simplifiées ainsi qu’à une diversité de documents de candidatures à prendre en compte, en particulier pour le transfert d’éléments d’une liste à l’autre et les candidatures sur une base élargie. Dans le cadre des cycles 2024 et 2025, 106 des 140 dossiers initialement traités ont bénéficié d’une demande d’informations complémentaires sur la base de la vérification de complétude technique et en appliquant l’approche flexible susmentionnée.</w:t>
      </w:r>
    </w:p>
    <w:p w14:paraId="5B72F721" w14:textId="33AA23FC" w:rsidR="00C958C5" w:rsidRPr="001A1E48" w:rsidRDefault="00C958C5" w:rsidP="00C958C5">
      <w:pPr>
        <w:pStyle w:val="COMPara"/>
        <w:ind w:left="567" w:hanging="567"/>
        <w:jc w:val="both"/>
      </w:pPr>
      <w:r w:rsidRPr="001A1E48">
        <w:t>Compte tenu des multiples aspects à traiter dans le cadre de la vérification de complétude technique, du grand nombre de candidatures bénéficiant de ce processus et de son importance pour la phase d’évaluation, il peut être considéré comme souhaitable d’allouer plus de temps à la réalisation de la vérification de complétude. Eu égard à ces aspects, il est proposé d’accorder plus de temps pour la phase de vérification de complétude technique, dont la date limite pourrait être repoussée au 31 août de l’année 1 (au lieu du 30 juin). De leur côté, les États soumissionnaires auraient trois mois, comme c’est le cas actuellement, pour fournir des informations, au plus tard le 30 novembre de l’année 1 (au lieu du 30 septembre). D’un point de vue pratique, les délais seraient ajustés afin de donner une durée égale (trois mois) pour compléter leur candidature dans l’éventualité où des demandes d’informations complémentaires seraient émises avant le 31 août.</w:t>
      </w:r>
    </w:p>
    <w:p w14:paraId="647FA266" w14:textId="27BCC906" w:rsidR="00C958C5" w:rsidRPr="001A1E48" w:rsidRDefault="00C958C5" w:rsidP="00C958C5">
      <w:pPr>
        <w:pStyle w:val="COMPara"/>
        <w:ind w:left="567" w:hanging="567"/>
        <w:jc w:val="both"/>
      </w:pPr>
      <w:r w:rsidRPr="001A1E48">
        <w:t xml:space="preserve">La prolongation du délai se justifie également par la nouvelle procédure applicable aux demandes de transfert, pour laquelle des amendements aux Directives opérationnelles sont proposés ci-dessous. Il est entendu que les demandes de transfert reçues avant la date limite du 30 juin seront intégrées au cycle des candidatures reçues avant la date limite du 31 mars de la même année. La vérification de complétude technique des demandes de transfert sera effectuée avant la date limite prolongée du 31 août, les États soumissionnaires devant compléter les </w:t>
      </w:r>
      <w:r w:rsidR="003C31FC" w:rsidRPr="001A1E48">
        <w:t xml:space="preserve">informations demandées </w:t>
      </w:r>
      <w:r w:rsidRPr="001A1E48">
        <w:t>avant la date limite prolongée du 30 novembre.</w:t>
      </w:r>
    </w:p>
    <w:p w14:paraId="0F861519" w14:textId="77777777" w:rsidR="00C958C5" w:rsidRPr="001A1E48" w:rsidRDefault="00C958C5" w:rsidP="00C958C5">
      <w:pPr>
        <w:pStyle w:val="COMPara"/>
        <w:ind w:left="567" w:hanging="567"/>
        <w:jc w:val="both"/>
      </w:pPr>
      <w:r w:rsidRPr="001A1E48">
        <w:t>Outre les révisions décrites ci-dessus, une révision supplémentaire est proposée pour préciser le fait que l’évaluation individuelle des dossiers est entreprise par l’Organe d’évaluation de décembre de l’année 1 à juin de l’année 2.</w:t>
      </w:r>
    </w:p>
    <w:p w14:paraId="431A466E" w14:textId="3F7F3B91" w:rsidR="009F2DF1" w:rsidRPr="001A1E48" w:rsidRDefault="009F2DF1" w:rsidP="005423CA">
      <w:pPr>
        <w:pStyle w:val="COMPara"/>
        <w:numPr>
          <w:ilvl w:val="0"/>
          <w:numId w:val="15"/>
        </w:numPr>
        <w:spacing w:before="240"/>
        <w:ind w:left="567" w:hanging="567"/>
        <w:jc w:val="both"/>
        <w:rPr>
          <w:b/>
          <w:bCs/>
        </w:rPr>
      </w:pPr>
      <w:r w:rsidRPr="001A1E48">
        <w:rPr>
          <w:b/>
        </w:rPr>
        <w:t>Système de soumission unique des rapports périodiques à l’échelle mondiale</w:t>
      </w:r>
    </w:p>
    <w:p w14:paraId="262DDACC" w14:textId="71B22ACC" w:rsidR="00820971" w:rsidRPr="001A1E48" w:rsidRDefault="00820971" w:rsidP="00820971">
      <w:pPr>
        <w:pStyle w:val="COMPara"/>
        <w:ind w:left="567" w:hanging="567"/>
        <w:jc w:val="both"/>
        <w:rPr>
          <w:rStyle w:val="Hyperlink"/>
          <w:color w:val="auto"/>
          <w:u w:val="none"/>
        </w:rPr>
      </w:pPr>
      <w:r w:rsidRPr="001A1E48">
        <w:t>Le mécanisme de rapport périodique prévu par la Convention de 2003 a été réformé en 2017 afin d’en améliorer la qualité, l’utilité et la rapidité, ainsi que pour remédier au faible taux de soumission constaté jusqu’alors (décision </w:t>
      </w:r>
      <w:hyperlink r:id="rId14" w:history="1">
        <w:r w:rsidRPr="001A1E48">
          <w:rPr>
            <w:rStyle w:val="Hyperlink"/>
          </w:rPr>
          <w:t>12.COM 10</w:t>
        </w:r>
      </w:hyperlink>
      <w:r w:rsidRPr="001A1E48">
        <w:t xml:space="preserve">). Le formulaire pour la soumission des rapports périodiques a été aligné sur le </w:t>
      </w:r>
      <w:hyperlink r:id="rId15" w:history="1">
        <w:r w:rsidR="00435E69" w:rsidRPr="001A1E48">
          <w:rPr>
            <w:rStyle w:val="Hyperlink"/>
          </w:rPr>
          <w:t>C</w:t>
        </w:r>
        <w:r w:rsidRPr="001A1E48">
          <w:rPr>
            <w:rStyle w:val="Hyperlink"/>
          </w:rPr>
          <w:t>adre global de résultats</w:t>
        </w:r>
      </w:hyperlink>
      <w:r w:rsidRPr="001A1E48">
        <w:t xml:space="preserve"> de la Convention afin de garantir la cohérence du processus avec les objectifs de la Convention et de permettre un suivi plus efficace en vue de la réalisation de ces objectifs (résolution </w:t>
      </w:r>
      <w:hyperlink r:id="rId16" w:history="1">
        <w:r w:rsidRPr="001A1E48">
          <w:rPr>
            <w:rStyle w:val="Hyperlink"/>
          </w:rPr>
          <w:t>7.GA 9</w:t>
        </w:r>
      </w:hyperlink>
      <w:r w:rsidRPr="001A1E48">
        <w:t xml:space="preserve">). D’autres ajustements </w:t>
      </w:r>
      <w:r w:rsidRPr="001A1E48">
        <w:lastRenderedPageBreak/>
        <w:t xml:space="preserve">ont été apportés en 2018 afin de permettre la présentation des rapports sur une base régionale tous les six ans (décision </w:t>
      </w:r>
      <w:hyperlink r:id="rId17" w:history="1">
        <w:r w:rsidRPr="001A1E48">
          <w:rPr>
            <w:rStyle w:val="Hyperlink"/>
          </w:rPr>
          <w:t>13.COM 8</w:t>
        </w:r>
      </w:hyperlink>
      <w:r w:rsidRPr="001A1E48">
        <w:t xml:space="preserve">) et, en 2019, pour lancer le premier cycle régional de rapports (décision </w:t>
      </w:r>
      <w:hyperlink r:id="rId18" w:history="1">
        <w:r w:rsidRPr="001A1E48">
          <w:rPr>
            <w:rStyle w:val="Hyperlink"/>
          </w:rPr>
          <w:t>14.COM 8</w:t>
        </w:r>
      </w:hyperlink>
      <w:r w:rsidRPr="001A1E48">
        <w:rPr>
          <w:rStyle w:val="Hyperlink"/>
          <w:color w:val="000000" w:themeColor="text1"/>
          <w:u w:val="none"/>
        </w:rPr>
        <w:t>). Entre 2020 et 2025, toutes les régions ont participé à cet exercice, ce qui a permis d’améliorer considérablement les taux de soumission dans l’ensemble des régions</w:t>
      </w:r>
      <w:r w:rsidR="00DC7D3C" w:rsidRPr="001A1E48">
        <w:rPr>
          <w:rStyle w:val="FootnoteReference"/>
          <w:color w:val="000000" w:themeColor="text1"/>
        </w:rPr>
        <w:footnoteReference w:id="1"/>
      </w:r>
      <w:r w:rsidRPr="001A1E48">
        <w:rPr>
          <w:rStyle w:val="Hyperlink"/>
          <w:color w:val="000000" w:themeColor="text1"/>
          <w:u w:val="none"/>
        </w:rPr>
        <w:t>.</w:t>
      </w:r>
    </w:p>
    <w:p w14:paraId="4B3068B6" w14:textId="5B20CB5A" w:rsidR="00FA5F89" w:rsidRPr="001A1E48" w:rsidRDefault="00F1585E" w:rsidP="00FA5F89">
      <w:pPr>
        <w:pStyle w:val="COMPara"/>
        <w:ind w:left="567" w:hanging="567"/>
        <w:jc w:val="both"/>
      </w:pPr>
      <w:r w:rsidRPr="001A1E48">
        <w:t xml:space="preserve">Par ailleurs, la </w:t>
      </w:r>
      <w:hyperlink r:id="rId19" w:history="1">
        <w:r w:rsidRPr="001A1E48">
          <w:rPr>
            <w:rStyle w:val="Hyperlink"/>
          </w:rPr>
          <w:t>Déclaration</w:t>
        </w:r>
      </w:hyperlink>
      <w:r w:rsidRPr="001A1E48">
        <w:t xml:space="preserve"> MONDIACULT 2022, adoptée lors de la Conférence mondiale de l’UNESCO sur les politiques culturelles et le développement durable – MONDIACULT 2022, a appelé l’UNESCO à publier tous les quatre ans un Rapport mondial sur les politiques culturelles, en s’appuyant sur les informations, les données et les indicateurs fournis par ses États membres. La </w:t>
      </w:r>
      <w:hyperlink r:id="rId20" w:history="1">
        <w:r w:rsidRPr="001A1E48">
          <w:rPr>
            <w:rStyle w:val="Hyperlink"/>
          </w:rPr>
          <w:t>première édition</w:t>
        </w:r>
      </w:hyperlink>
      <w:r w:rsidRPr="001A1E48">
        <w:t xml:space="preserve"> de ce rapport mondial a été publiée en 2025, et la deuxième édition est prévue pour 2029 ; les éditions suivantes paraîtront tous les quatre ans. Si les mécanismes de soumission des rapports périodiques prévus par chaque convention et recommandation relative à la culture restent la principale source d’information pour le Rapport mondial, son élaboration nécessite des adaptations dans la manière dont ces rapports périodiques sont soumis, analysés et présentés visuellement, afin d’offrir une vue d’ensemble complète de la contribution de la culture au développement durable dans toutes les régions et tous les domaines culturels.</w:t>
      </w:r>
    </w:p>
    <w:p w14:paraId="4314289A" w14:textId="14262439" w:rsidR="00211C2C" w:rsidRPr="001A1E48" w:rsidRDefault="00FA5F89" w:rsidP="00263C49">
      <w:pPr>
        <w:pStyle w:val="COMPara"/>
        <w:ind w:left="567" w:hanging="567"/>
        <w:jc w:val="both"/>
      </w:pPr>
      <w:r w:rsidRPr="001A1E48">
        <w:t xml:space="preserve">En conséquence, la dix-neuvième session du Comité, en 2024, a adopté une feuille de route visant à mettre en place un système de soumission </w:t>
      </w:r>
      <w:r w:rsidR="00E670BE" w:rsidRPr="001A1E48">
        <w:t xml:space="preserve">unique </w:t>
      </w:r>
      <w:r w:rsidRPr="001A1E48">
        <w:t xml:space="preserve">des rapports à l’échelle mondiale (décision </w:t>
      </w:r>
      <w:hyperlink r:id="rId21" w:history="1">
        <w:r w:rsidRPr="001A1E48">
          <w:rPr>
            <w:rStyle w:val="Hyperlink"/>
          </w:rPr>
          <w:t>19.COM 6.c</w:t>
        </w:r>
      </w:hyperlink>
      <w:r w:rsidRPr="001A1E48">
        <w:t xml:space="preserve">). En ce qui concerne la Convention de 2003, cette mesure </w:t>
      </w:r>
      <w:proofErr w:type="gramStart"/>
      <w:r w:rsidRPr="001A1E48">
        <w:t>aurait</w:t>
      </w:r>
      <w:proofErr w:type="gramEnd"/>
      <w:r w:rsidRPr="001A1E48">
        <w:t xml:space="preserve"> les conséquences suivantes :</w:t>
      </w:r>
    </w:p>
    <w:p w14:paraId="77668178" w14:textId="16486119" w:rsidR="00211C2C" w:rsidRPr="001A1E48" w:rsidRDefault="00211C2C" w:rsidP="005423CA">
      <w:pPr>
        <w:pStyle w:val="COMPara"/>
        <w:numPr>
          <w:ilvl w:val="0"/>
          <w:numId w:val="16"/>
        </w:numPr>
        <w:ind w:left="1134" w:hanging="567"/>
        <w:jc w:val="both"/>
      </w:pPr>
      <w:r w:rsidRPr="001A1E48">
        <w:rPr>
          <w:u w:val="single"/>
        </w:rPr>
        <w:t>Calendriers pour les rapports :</w:t>
      </w:r>
      <w:r w:rsidRPr="001A1E48">
        <w:t xml:space="preserve"> les calendriers des trois mécanismes de soumission des rapports périodiques prévus par la Convention,</w:t>
      </w:r>
      <w:r w:rsidRPr="001A1E48">
        <w:rPr>
          <w:vertAlign w:val="superscript"/>
        </w:rPr>
        <w:t xml:space="preserve"> </w:t>
      </w:r>
      <w:r w:rsidRPr="001A1E48">
        <w:t xml:space="preserve">qui sont actuellement </w:t>
      </w:r>
      <w:r w:rsidR="00216683" w:rsidRPr="001A1E48">
        <w:t xml:space="preserve">soumis </w:t>
      </w:r>
      <w:r w:rsidRPr="001A1E48">
        <w:t>à des dates différentes, seront harmonisés autour d’une date de soumission unique fixée tous les quatre ans. Cela signifierait que tous les États parties doivent rendre compte simultanément : (a) de la mise en œuvre de la Convention et de l’état des éléments inscrits sur la Liste représentative ; et (b) de l’état actuel des éléments inscrits sur la Liste du patrimoine culturel immatériel nécessitant une sauvegarde urgente (ci-après la « Liste de sauvegarde urgente »). En outre, (c) les États non parties à la Convention</w:t>
      </w:r>
      <w:r w:rsidR="00C92AB8" w:rsidRPr="001A1E48">
        <w:rPr>
          <w:rStyle w:val="FootnoteReference"/>
          <w:lang w:val="en-US"/>
        </w:rPr>
        <w:footnoteReference w:id="2"/>
      </w:r>
      <w:r w:rsidRPr="001A1E48">
        <w:t xml:space="preserve"> doivent présenter un rapport sur les éléments inscrits sur la Liste représentative.</w:t>
      </w:r>
    </w:p>
    <w:p w14:paraId="3281DD85" w14:textId="46DAE6DE" w:rsidR="00211C2C" w:rsidRPr="001A1E48" w:rsidRDefault="00211C2C" w:rsidP="005423CA">
      <w:pPr>
        <w:pStyle w:val="COMPara"/>
        <w:numPr>
          <w:ilvl w:val="0"/>
          <w:numId w:val="16"/>
        </w:numPr>
        <w:ind w:left="1134" w:hanging="567"/>
        <w:jc w:val="both"/>
      </w:pPr>
      <w:r w:rsidRPr="001A1E48">
        <w:rPr>
          <w:u w:val="single"/>
        </w:rPr>
        <w:t>Formulaires pour les rapports :</w:t>
      </w:r>
      <w:r w:rsidRPr="001A1E48">
        <w:t xml:space="preserve"> les formulaires pour la soumission des rapports (formulaire ICH-10 et formulaire ICH-11) seront simplifiés afin d’alléger la charge qui pèse sur les États membres. Cette simplification doit être menée en trouvant un juste équilibre entre la réduction structurelle et la préservation de l’intégrité analytique. L’objectif est de réduire considérablement le nombre de questions en supprimant, en fusionnant, en reformulant et en regroupant des éléments, tout en veillant à ce que les questions restent </w:t>
      </w:r>
      <w:r w:rsidR="00216683" w:rsidRPr="001A1E48">
        <w:t xml:space="preserve">clairement </w:t>
      </w:r>
      <w:r w:rsidRPr="001A1E48">
        <w:t xml:space="preserve">alignées sur le </w:t>
      </w:r>
      <w:r w:rsidR="00216683" w:rsidRPr="001A1E48">
        <w:t>C</w:t>
      </w:r>
      <w:r w:rsidRPr="001A1E48">
        <w:t>adre général des résultats.</w:t>
      </w:r>
    </w:p>
    <w:p w14:paraId="3B1BF3C9" w14:textId="56D7BA7F" w:rsidR="00211C2C" w:rsidRPr="001A1E48" w:rsidRDefault="00211C2C" w:rsidP="005423CA">
      <w:pPr>
        <w:pStyle w:val="COMPara"/>
        <w:numPr>
          <w:ilvl w:val="0"/>
          <w:numId w:val="16"/>
        </w:numPr>
        <w:ind w:left="1134" w:hanging="567"/>
        <w:jc w:val="both"/>
      </w:pPr>
      <w:r w:rsidRPr="001A1E48">
        <w:rPr>
          <w:u w:val="single"/>
        </w:rPr>
        <w:t>Approche de renforcement des capacités :</w:t>
      </w:r>
      <w:r w:rsidRPr="001A1E48">
        <w:t xml:space="preserve"> Il est nécessaire de planifier soigneusement une stratégie de renforcement des capacités, en tenant compte des ressources financières et humaines requises par le nouveau calendrier de soumission des rapports, tout en conservant l’approche régionale et en mettant l’accent sur l’apprentissage entre pairs. Dans ce contexte, les activités de renforcement des capacités pourraient bénéficier d’une coopération et d’une collaboration accrues avec les centres de catégorie 2 ; ces derniers ont joué un rôle central dans l’organisation et l’accueil d’activités de formation au cours du premier cycle régional de soumission des rapports et ils se sont déclarés prêts à s’impliquer davantage dans le cadre du système de soumission </w:t>
      </w:r>
      <w:r w:rsidR="00E670BE" w:rsidRPr="001A1E48">
        <w:t xml:space="preserve">unique </w:t>
      </w:r>
      <w:r w:rsidRPr="001A1E48">
        <w:t>à l’échelle mondiale.</w:t>
      </w:r>
    </w:p>
    <w:p w14:paraId="62C4122D" w14:textId="267BBF9C" w:rsidR="002F6998" w:rsidRPr="001A1E48" w:rsidRDefault="004A67C0" w:rsidP="002F6998">
      <w:pPr>
        <w:pStyle w:val="COMPara"/>
        <w:ind w:left="567" w:hanging="567"/>
        <w:jc w:val="both"/>
      </w:pPr>
      <w:r w:rsidRPr="001A1E48">
        <w:lastRenderedPageBreak/>
        <w:t>Lors du passage au nouveau système, les demandes de transfert d’éléments de la Liste de sauvegarde d’urgence à la Liste représentative pourront également être soumises avant la date limite unique du 30 juin 2027, puis tous les quatre ans. Il convient de noter que le passage au nouveau système de soumission des rapports ne devrait pas avoir d’incidence sur la procédure de transfert d’un élément de la Liste représentative à la Liste de sauvegarde urgente.</w:t>
      </w:r>
    </w:p>
    <w:p w14:paraId="47AE00BE" w14:textId="4F1FECBB" w:rsidR="00126F31" w:rsidRPr="001A1E48" w:rsidRDefault="00C26EBD" w:rsidP="00027638">
      <w:pPr>
        <w:pStyle w:val="COMPara"/>
        <w:ind w:left="567" w:hanging="567"/>
        <w:jc w:val="both"/>
      </w:pPr>
      <w:r w:rsidRPr="001A1E48">
        <w:t xml:space="preserve">Le Comité continuera d’examiner les rapports périodiques sur la mise en œuvre de la Convention </w:t>
      </w:r>
      <w:r w:rsidR="002D1463" w:rsidRPr="001A1E48">
        <w:t>soumis</w:t>
      </w:r>
      <w:r w:rsidRPr="001A1E48">
        <w:t xml:space="preserve"> par les États parties (conformément à l’article 29 de la Convention), ainsi que sur l’état des éléments inscrits sur la Liste de sauvegarde urgente. De même, le Comité continuera à </w:t>
      </w:r>
      <w:r w:rsidR="002D1463" w:rsidRPr="001A1E48">
        <w:t>soumettre</w:t>
      </w:r>
      <w:r w:rsidRPr="001A1E48">
        <w:t xml:space="preserve"> des rapports périodiques à l’Assemblée générale et à les porter à la connaissance de la Conférence générale de l’UNESCO (conformément à l’article 30 de la Convention).</w:t>
      </w:r>
    </w:p>
    <w:p w14:paraId="707C8FAD" w14:textId="2D1A90E6" w:rsidR="009E5295" w:rsidRPr="001A1E48" w:rsidRDefault="004A67C0" w:rsidP="00C26EBD">
      <w:pPr>
        <w:pStyle w:val="COMPara"/>
        <w:ind w:left="567" w:hanging="567"/>
        <w:jc w:val="both"/>
      </w:pPr>
      <w:r w:rsidRPr="001A1E48">
        <w:t>Lors de sa vingtième session, le Comité a approuvé cette orientation proposée et a recommandé à l’Assemblée générale de réviser les Directives opérationnelles afin</w:t>
      </w:r>
      <w:r w:rsidR="003F6085" w:rsidRPr="001A1E48">
        <w:t xml:space="preserve"> de</w:t>
      </w:r>
      <w:r w:rsidRPr="001A1E48">
        <w:t xml:space="preserve"> </w:t>
      </w:r>
      <w:r w:rsidR="00485790" w:rsidRPr="001A1E48">
        <w:t xml:space="preserve">soutenir cette transition </w:t>
      </w:r>
      <w:r w:rsidRPr="001A1E48">
        <w:t xml:space="preserve">(décision </w:t>
      </w:r>
      <w:hyperlink r:id="rId22" w:history="1">
        <w:r w:rsidRPr="001A1E48">
          <w:rPr>
            <w:rStyle w:val="Hyperlink"/>
          </w:rPr>
          <w:t>20.COM 6.c</w:t>
        </w:r>
      </w:hyperlink>
      <w:r w:rsidRPr="001A1E48">
        <w:t>). Une fois les amendements proposés approuvés, il est entendu que la soumission des rapports périodiques dans le cadre des trois mécanismes de rapport sera suspendue jusqu’à la date limite du 15 décembre 2026, y compris pour les rapports en retard.</w:t>
      </w:r>
    </w:p>
    <w:p w14:paraId="6638387D" w14:textId="6F359D92" w:rsidR="005D39F8" w:rsidRPr="001A1E48" w:rsidRDefault="00B864BD" w:rsidP="00986AFE">
      <w:pPr>
        <w:pStyle w:val="COMPara"/>
        <w:ind w:left="567" w:hanging="567"/>
        <w:jc w:val="both"/>
      </w:pPr>
      <w:r w:rsidRPr="001A1E48">
        <w:t xml:space="preserve">Dans le cadre de l’année de réflexion prévue à l’issue du premier cycle régional de soumission des rapports, les différentes parties prenantes de la Convention ont longuement débattu des divers aspects du passage au système de soumission unique à l’échelle mondiale. Cette réflexion portait notamment sur les délais, la simplification des formulaires pour les rapports et l’approche en matière de renforcement des capacités. Ce processus a comporté une série de cinq consultations régionales qui se sont tenues en avril et mai 2025, ainsi qu’une </w:t>
      </w:r>
      <w:hyperlink r:id="rId23" w:history="1">
        <w:r w:rsidR="00485790" w:rsidRPr="001A1E48">
          <w:rPr>
            <w:rStyle w:val="Hyperlink"/>
          </w:rPr>
          <w:t>réunion</w:t>
        </w:r>
        <w:r w:rsidRPr="001A1E48">
          <w:rPr>
            <w:rStyle w:val="Hyperlink"/>
          </w:rPr>
          <w:t xml:space="preserve"> de réflexion mondiale</w:t>
        </w:r>
      </w:hyperlink>
      <w:r w:rsidRPr="001A1E48">
        <w:t xml:space="preserve"> sur les mécanismes de rapports périodiques de la Convention de 2003, organisée en ligne du 28 au 30 avril 2026.</w:t>
      </w:r>
    </w:p>
    <w:p w14:paraId="49FD0FBC" w14:textId="4F61B6ED" w:rsidR="0068042E" w:rsidRPr="001A1E48" w:rsidRDefault="0068042E" w:rsidP="00475817">
      <w:pPr>
        <w:pStyle w:val="COMPara"/>
        <w:numPr>
          <w:ilvl w:val="0"/>
          <w:numId w:val="0"/>
        </w:numPr>
        <w:ind w:left="567"/>
        <w:jc w:val="center"/>
      </w:pPr>
      <w:r w:rsidRPr="001A1E48">
        <w:t>***</w:t>
      </w:r>
    </w:p>
    <w:p w14:paraId="31C23A47" w14:textId="76EAD7F5" w:rsidR="00504B9E" w:rsidRPr="001A1E48" w:rsidRDefault="00504B9E" w:rsidP="00403A70">
      <w:pPr>
        <w:pStyle w:val="COMPara"/>
        <w:ind w:left="567" w:hanging="567"/>
        <w:jc w:val="both"/>
      </w:pPr>
      <w:r w:rsidRPr="001A1E48">
        <w:t>Les révisions susmentionnées apportées aux Directives opérationnelles sont présentées dans l’</w:t>
      </w:r>
      <w:r w:rsidR="00485790" w:rsidRPr="001A1E48">
        <w:t>annexe</w:t>
      </w:r>
      <w:r w:rsidRPr="001A1E48">
        <w:t xml:space="preserve"> à l’intention de la présente session de l’Assemblée générale.</w:t>
      </w:r>
    </w:p>
    <w:p w14:paraId="0342793C" w14:textId="08EE7393" w:rsidR="00504B9E" w:rsidRPr="001A1E48" w:rsidRDefault="00903A44" w:rsidP="00A87092">
      <w:pPr>
        <w:pStyle w:val="GAPara"/>
        <w:numPr>
          <w:ilvl w:val="0"/>
          <w:numId w:val="14"/>
        </w:numPr>
        <w:ind w:left="1134" w:hanging="567"/>
        <w:jc w:val="both"/>
      </w:pPr>
      <w:r w:rsidRPr="001A1E48">
        <w:t xml:space="preserve">Les passages surlignés en vert se rapportent aux révisions recommandées par le Comité lors de sa vingtième session </w:t>
      </w:r>
      <w:r w:rsidRPr="001A1E48">
        <w:rPr>
          <w:color w:val="000000" w:themeColor="text1"/>
        </w:rPr>
        <w:t>(décision </w:t>
      </w:r>
      <w:hyperlink r:id="rId24" w:history="1">
        <w:r w:rsidRPr="001A1E48">
          <w:rPr>
            <w:rStyle w:val="Hyperlink"/>
          </w:rPr>
          <w:t>20.COM 8</w:t>
        </w:r>
      </w:hyperlink>
      <w:r w:rsidRPr="001A1E48">
        <w:rPr>
          <w:color w:val="000000" w:themeColor="text1"/>
        </w:rPr>
        <w:t>) concernant le traitement des dossiers pour les mécanismes d’inscription sur les listes de la Convention</w:t>
      </w:r>
      <w:r w:rsidRPr="001A1E48">
        <w:t>.</w:t>
      </w:r>
    </w:p>
    <w:p w14:paraId="1BB67E70" w14:textId="2A6BBDD4" w:rsidR="0022052F" w:rsidRPr="001A1E48" w:rsidRDefault="00903A44" w:rsidP="00A87092">
      <w:pPr>
        <w:pStyle w:val="GAPara"/>
        <w:numPr>
          <w:ilvl w:val="0"/>
          <w:numId w:val="14"/>
        </w:numPr>
        <w:ind w:left="1134" w:hanging="567"/>
        <w:jc w:val="both"/>
      </w:pPr>
      <w:r w:rsidRPr="001A1E48">
        <w:t>Les passages surlignés en bleu se rapportent aux révisions recommandées par le Comité lors de sa vingtième session (</w:t>
      </w:r>
      <w:r w:rsidRPr="001A1E48">
        <w:rPr>
          <w:color w:val="000000" w:themeColor="text1"/>
        </w:rPr>
        <w:t xml:space="preserve">décision </w:t>
      </w:r>
      <w:hyperlink r:id="rId25" w:history="1">
        <w:r w:rsidRPr="001A1E48">
          <w:rPr>
            <w:rStyle w:val="Hyperlink"/>
          </w:rPr>
          <w:t>20.COM 6.c</w:t>
        </w:r>
      </w:hyperlink>
      <w:r w:rsidRPr="001A1E48">
        <w:rPr>
          <w:color w:val="000000" w:themeColor="text1"/>
        </w:rPr>
        <w:t xml:space="preserve">) afin de soutenir l’avancée vers un système de soumission </w:t>
      </w:r>
      <w:r w:rsidR="00E670BE" w:rsidRPr="001A1E48">
        <w:rPr>
          <w:color w:val="000000" w:themeColor="text1"/>
        </w:rPr>
        <w:t xml:space="preserve">unique </w:t>
      </w:r>
      <w:r w:rsidRPr="001A1E48">
        <w:rPr>
          <w:color w:val="000000" w:themeColor="text1"/>
        </w:rPr>
        <w:t>des rapports périodiques à l’échelle mondiale</w:t>
      </w:r>
      <w:r w:rsidRPr="001A1E48">
        <w:t>.</w:t>
      </w:r>
    </w:p>
    <w:p w14:paraId="062AF213" w14:textId="135B5379" w:rsidR="00CE257F" w:rsidRPr="001A1E48" w:rsidRDefault="005C792B" w:rsidP="00475817">
      <w:pPr>
        <w:pStyle w:val="COMPara"/>
        <w:ind w:left="567" w:hanging="567"/>
      </w:pPr>
      <w:r w:rsidRPr="001A1E48">
        <w:t>L’Assemblée générale souhaitera peut-être adopter la résolution suivante :</w:t>
      </w:r>
    </w:p>
    <w:p w14:paraId="6CEB1E9D" w14:textId="4851D37B" w:rsidR="00D95C4C" w:rsidRPr="001A1E48" w:rsidRDefault="004A34A0" w:rsidP="001D14FE">
      <w:pPr>
        <w:pStyle w:val="COMTitleDecision"/>
        <w:rPr>
          <w:rFonts w:eastAsia="SimSun"/>
        </w:rPr>
      </w:pPr>
      <w:r w:rsidRPr="001A1E48">
        <w:t>PROJET DE RÉSOLUTION 11.GA 7</w:t>
      </w:r>
    </w:p>
    <w:p w14:paraId="13024F0B" w14:textId="5181E164" w:rsidR="00D95C4C" w:rsidRPr="001A1E48" w:rsidRDefault="005C792B" w:rsidP="00285BB4">
      <w:pPr>
        <w:pStyle w:val="COMPreambulaDecisions"/>
        <w:rPr>
          <w:rFonts w:eastAsia="SimSun"/>
        </w:rPr>
      </w:pPr>
      <w:r w:rsidRPr="001A1E48">
        <w:t>L’Assemblée générale,</w:t>
      </w:r>
    </w:p>
    <w:p w14:paraId="5A9F22F3" w14:textId="5824F734" w:rsidR="0057439C" w:rsidRPr="001A1E48" w:rsidRDefault="00D95C4C" w:rsidP="0015767D">
      <w:pPr>
        <w:pStyle w:val="COMParaDecision"/>
      </w:pPr>
      <w:r w:rsidRPr="001A1E48">
        <w:t>Ayant examiné</w:t>
      </w:r>
      <w:r w:rsidRPr="001A1E48">
        <w:rPr>
          <w:u w:val="none"/>
        </w:rPr>
        <w:t xml:space="preserve"> le document LHE/26/11.GA/7 et son annexe,</w:t>
      </w:r>
    </w:p>
    <w:p w14:paraId="260CA8D5" w14:textId="226CB09A" w:rsidR="0057439C" w:rsidRPr="001A1E48" w:rsidRDefault="0057439C" w:rsidP="0015767D">
      <w:pPr>
        <w:pStyle w:val="COMParaDecision"/>
      </w:pPr>
      <w:r w:rsidRPr="001A1E48">
        <w:t>Rappelant</w:t>
      </w:r>
      <w:r w:rsidRPr="001A1E48">
        <w:rPr>
          <w:u w:val="none"/>
        </w:rPr>
        <w:t xml:space="preserve"> les décisions </w:t>
      </w:r>
      <w:hyperlink r:id="rId26" w:history="1">
        <w:r w:rsidRPr="001A1E48">
          <w:rPr>
            <w:rStyle w:val="Hyperlink"/>
          </w:rPr>
          <w:t>20.COM 6.c</w:t>
        </w:r>
      </w:hyperlink>
      <w:r w:rsidRPr="001A1E48">
        <w:rPr>
          <w:u w:val="none"/>
        </w:rPr>
        <w:t xml:space="preserve"> et </w:t>
      </w:r>
      <w:hyperlink r:id="rId27" w:history="1">
        <w:r w:rsidRPr="001A1E48">
          <w:rPr>
            <w:rStyle w:val="Hyperlink"/>
          </w:rPr>
          <w:t>20.COM 8</w:t>
        </w:r>
      </w:hyperlink>
      <w:r w:rsidRPr="001A1E48">
        <w:rPr>
          <w:u w:val="none"/>
        </w:rPr>
        <w:t>,</w:t>
      </w:r>
    </w:p>
    <w:p w14:paraId="101D6B2B" w14:textId="77777777" w:rsidR="00A37950" w:rsidRPr="001A1E48" w:rsidRDefault="00A37950" w:rsidP="00475817">
      <w:pPr>
        <w:pStyle w:val="COMParaDecision"/>
        <w:numPr>
          <w:ilvl w:val="0"/>
          <w:numId w:val="0"/>
        </w:numPr>
        <w:spacing w:before="240"/>
        <w:ind w:left="1134"/>
        <w:rPr>
          <w:b/>
          <w:bCs/>
          <w:u w:val="none"/>
        </w:rPr>
      </w:pPr>
      <w:r w:rsidRPr="001A1E48">
        <w:rPr>
          <w:b/>
          <w:u w:val="none"/>
        </w:rPr>
        <w:t>Traitement des dossiers de candidature pour les mécanismes d’inscription sur les listes de la Convention</w:t>
      </w:r>
    </w:p>
    <w:p w14:paraId="26AA27DD" w14:textId="3EBFDB3D" w:rsidR="005C792B" w:rsidRPr="001A1E48" w:rsidRDefault="00BA5BE9" w:rsidP="00475817">
      <w:pPr>
        <w:pStyle w:val="COMParaDecision"/>
      </w:pPr>
      <w:r w:rsidRPr="001A1E48">
        <w:t>Prend note</w:t>
      </w:r>
      <w:r w:rsidRPr="001A1E48">
        <w:rPr>
          <w:u w:val="none"/>
        </w:rPr>
        <w:t xml:space="preserve"> des révisions proposées aux Directives opérationnelles approuvées lors de la vingtième session du Comité concernant le traitement des dossiers de candidature pour les mécanismes d’inscription sur les listes de la Convention ;</w:t>
      </w:r>
    </w:p>
    <w:p w14:paraId="460DBB0E" w14:textId="7FC527A1" w:rsidR="0015767D" w:rsidRPr="001A1E48" w:rsidRDefault="00844D13">
      <w:pPr>
        <w:pStyle w:val="COMParaDecision"/>
        <w:rPr>
          <w:u w:val="none"/>
        </w:rPr>
      </w:pPr>
      <w:r w:rsidRPr="001A1E48">
        <w:t>Apprécie</w:t>
      </w:r>
      <w:r w:rsidR="0015767D" w:rsidRPr="001A1E48">
        <w:rPr>
          <w:u w:val="none"/>
        </w:rPr>
        <w:t xml:space="preserve"> </w:t>
      </w:r>
      <w:r w:rsidRPr="001A1E48">
        <w:rPr>
          <w:u w:val="none"/>
        </w:rPr>
        <w:t>l</w:t>
      </w:r>
      <w:r w:rsidR="0015767D" w:rsidRPr="001A1E48">
        <w:rPr>
          <w:u w:val="none"/>
        </w:rPr>
        <w:t xml:space="preserve">es effets positifs de l’approche actuelle appliquée lors de la phase de vérification de complétude technique </w:t>
      </w:r>
      <w:r w:rsidR="00B3394B">
        <w:rPr>
          <w:u w:val="none"/>
        </w:rPr>
        <w:t xml:space="preserve">du traitement </w:t>
      </w:r>
      <w:r w:rsidR="0015767D" w:rsidRPr="001A1E48">
        <w:rPr>
          <w:u w:val="none"/>
        </w:rPr>
        <w:t xml:space="preserve">des candidatures, qui soutient les </w:t>
      </w:r>
      <w:r w:rsidR="0015767D" w:rsidRPr="001A1E48">
        <w:rPr>
          <w:u w:val="none"/>
        </w:rPr>
        <w:lastRenderedPageBreak/>
        <w:t xml:space="preserve">efforts des États et des communautés, </w:t>
      </w:r>
      <w:r w:rsidR="003F6085" w:rsidRPr="001A1E48">
        <w:rPr>
          <w:u w:val="none"/>
        </w:rPr>
        <w:t>et, en même temps,</w:t>
      </w:r>
      <w:r w:rsidR="0015767D" w:rsidRPr="001A1E48">
        <w:rPr>
          <w:u w:val="none"/>
        </w:rPr>
        <w:t xml:space="preserve"> </w:t>
      </w:r>
      <w:r w:rsidR="0015767D" w:rsidRPr="001A1E48">
        <w:t>invit</w:t>
      </w:r>
      <w:r w:rsidR="003F6085" w:rsidRPr="001A1E48">
        <w:t>e</w:t>
      </w:r>
      <w:r w:rsidR="0015767D" w:rsidRPr="001A1E48">
        <w:rPr>
          <w:u w:val="none"/>
        </w:rPr>
        <w:t xml:space="preserve"> les États parties à s’abstenir d’apporter des modifications substantielles au cours de cette phase ;</w:t>
      </w:r>
    </w:p>
    <w:p w14:paraId="4E98E4B0" w14:textId="43FEB52F" w:rsidR="0037171B" w:rsidRPr="001A1E48" w:rsidRDefault="0037171B" w:rsidP="00475817">
      <w:pPr>
        <w:pStyle w:val="COMParaDecision"/>
        <w:rPr>
          <w:u w:val="none"/>
        </w:rPr>
      </w:pPr>
      <w:r w:rsidRPr="001A1E48">
        <w:t>Approuve</w:t>
      </w:r>
      <w:r w:rsidRPr="001A1E48">
        <w:rPr>
          <w:u w:val="none"/>
        </w:rPr>
        <w:t xml:space="preserve"> les révisions apportées aux Directives opérationnelles figurant en annexe de la présente résolution (concernant le traitement des dossiers de candidature pour les mécanismes d’inscription sur les listes de la Convention), et </w:t>
      </w:r>
      <w:r w:rsidRPr="001A1E48">
        <w:t>prend acte</w:t>
      </w:r>
      <w:r w:rsidRPr="001A1E48">
        <w:rPr>
          <w:u w:val="none"/>
        </w:rPr>
        <w:t xml:space="preserve"> du fait que le calendrier révisé qui y est inclus sera mis en œuvre à compter du cycle de candidatures 2027 ;</w:t>
      </w:r>
    </w:p>
    <w:p w14:paraId="0DE86411" w14:textId="77777777" w:rsidR="00E87883" w:rsidRPr="001A1E48" w:rsidRDefault="00E87883" w:rsidP="00475817">
      <w:pPr>
        <w:pStyle w:val="COMParaDecision"/>
        <w:numPr>
          <w:ilvl w:val="0"/>
          <w:numId w:val="0"/>
        </w:numPr>
        <w:spacing w:before="240"/>
        <w:ind w:left="1134"/>
        <w:rPr>
          <w:b/>
          <w:bCs/>
          <w:u w:val="none"/>
        </w:rPr>
      </w:pPr>
      <w:r w:rsidRPr="001A1E48">
        <w:rPr>
          <w:b/>
          <w:u w:val="none"/>
        </w:rPr>
        <w:t>Système de soumission unique des rapports périodiques à l’échelle mondiale</w:t>
      </w:r>
    </w:p>
    <w:p w14:paraId="4EB5C413" w14:textId="611DB9D0" w:rsidR="00D95C4C" w:rsidRPr="001A1E48" w:rsidRDefault="00C20B88" w:rsidP="0015767D">
      <w:pPr>
        <w:pStyle w:val="COMParaDecision"/>
      </w:pPr>
      <w:r w:rsidRPr="001A1E48">
        <w:t>Prend note</w:t>
      </w:r>
      <w:r w:rsidR="003F6085" w:rsidRPr="001A1E48">
        <w:t xml:space="preserve"> en outre</w:t>
      </w:r>
      <w:r w:rsidRPr="001A1E48">
        <w:rPr>
          <w:u w:val="none"/>
        </w:rPr>
        <w:t xml:space="preserve"> des révisions proposées aux Directives opérationnelles approuvées lors de la vingtième session du Comité concernant </w:t>
      </w:r>
      <w:r w:rsidR="003F6085" w:rsidRPr="001A1E48">
        <w:rPr>
          <w:u w:val="none"/>
        </w:rPr>
        <w:t xml:space="preserve">la transition </w:t>
      </w:r>
      <w:r w:rsidRPr="001A1E48">
        <w:rPr>
          <w:u w:val="none"/>
        </w:rPr>
        <w:t>vers un système de soumission unique des rapports périodiques à l’échelle mondiale ;</w:t>
      </w:r>
    </w:p>
    <w:p w14:paraId="6D561A15" w14:textId="77777777" w:rsidR="0088350F" w:rsidRPr="001A1E48" w:rsidRDefault="00C20B88" w:rsidP="00417DE5">
      <w:pPr>
        <w:pStyle w:val="COMParaDecision"/>
        <w:rPr>
          <w:u w:val="none"/>
        </w:rPr>
        <w:sectPr w:rsidR="0088350F" w:rsidRPr="001A1E48" w:rsidSect="00655736">
          <w:headerReference w:type="even" r:id="rId28"/>
          <w:headerReference w:type="default" r:id="rId29"/>
          <w:headerReference w:type="first" r:id="rId30"/>
          <w:pgSz w:w="11906" w:h="16838" w:code="9"/>
          <w:pgMar w:top="1418" w:right="1134" w:bottom="1134" w:left="1134" w:header="397" w:footer="284" w:gutter="0"/>
          <w:cols w:space="708"/>
          <w:titlePg/>
          <w:docGrid w:linePitch="360"/>
        </w:sectPr>
      </w:pPr>
      <w:r w:rsidRPr="001A1E48">
        <w:t>Approuve</w:t>
      </w:r>
      <w:r w:rsidRPr="001A1E48">
        <w:rPr>
          <w:u w:val="none"/>
        </w:rPr>
        <w:t xml:space="preserve"> les révisions apportées aux Directives opérationnelles figurant en annexe de la présente résolution (nécessaires pour soutenir l’avancée vers le système de soumission unique des rapports périodiques à l’échelle mondiale).</w:t>
      </w:r>
    </w:p>
    <w:p w14:paraId="54DB1852" w14:textId="77777777" w:rsidR="0088350F" w:rsidRPr="001A1E48" w:rsidRDefault="0088350F" w:rsidP="0088350F">
      <w:pPr>
        <w:spacing w:after="160"/>
        <w:jc w:val="center"/>
        <w:rPr>
          <w:rFonts w:ascii="Arial" w:hAnsi="Arial" w:cs="Arial"/>
          <w:b/>
          <w:bCs/>
          <w:sz w:val="22"/>
          <w:szCs w:val="22"/>
        </w:rPr>
      </w:pPr>
      <w:bookmarkStart w:id="2" w:name="_ANNEX"/>
      <w:bookmarkEnd w:id="2"/>
      <w:r w:rsidRPr="001A1E48">
        <w:rPr>
          <w:rFonts w:ascii="Arial" w:hAnsi="Arial" w:cs="Arial"/>
          <w:b/>
          <w:bCs/>
          <w:sz w:val="22"/>
          <w:szCs w:val="22"/>
        </w:rPr>
        <w:lastRenderedPageBreak/>
        <w:t>ANNEXE</w:t>
      </w:r>
    </w:p>
    <w:p w14:paraId="7440F2C7" w14:textId="77777777" w:rsidR="0088350F" w:rsidRPr="001A1E48" w:rsidRDefault="0088350F" w:rsidP="0088350F">
      <w:pPr>
        <w:spacing w:after="160"/>
        <w:jc w:val="center"/>
        <w:rPr>
          <w:rFonts w:ascii="Arial" w:hAnsi="Arial" w:cs="Arial"/>
          <w:b/>
          <w:bCs/>
          <w:sz w:val="22"/>
          <w:szCs w:val="22"/>
        </w:rPr>
      </w:pPr>
      <w:r w:rsidRPr="001A1E48">
        <w:rPr>
          <w:rFonts w:ascii="Arial" w:hAnsi="Arial" w:cs="Arial"/>
          <w:b/>
          <w:bCs/>
          <w:sz w:val="22"/>
          <w:szCs w:val="22"/>
        </w:rPr>
        <w:t>Propositions d'amendements aux Directives opérationnelles pour la mise en œuvre de la Convention</w:t>
      </w:r>
    </w:p>
    <w:p w14:paraId="7AAEB932" w14:textId="4C6E4DBC" w:rsidR="0088350F" w:rsidRPr="001A1E48" w:rsidRDefault="0088350F" w:rsidP="0088350F">
      <w:pPr>
        <w:spacing w:after="160"/>
        <w:jc w:val="both"/>
        <w:rPr>
          <w:rFonts w:ascii="Arial" w:hAnsi="Arial" w:cs="Arial"/>
          <w:sz w:val="22"/>
          <w:szCs w:val="22"/>
        </w:rPr>
      </w:pPr>
      <w:r w:rsidRPr="001A1E48">
        <w:rPr>
          <w:rFonts w:ascii="Arial" w:hAnsi="Arial" w:cs="Arial"/>
          <w:b/>
          <w:bCs/>
          <w:sz w:val="22"/>
          <w:szCs w:val="22"/>
        </w:rPr>
        <w:t>Remarque</w:t>
      </w:r>
      <w:r w:rsidRPr="001A1E48">
        <w:rPr>
          <w:rFonts w:ascii="Arial" w:hAnsi="Arial" w:cs="Arial"/>
          <w:sz w:val="22"/>
          <w:szCs w:val="22"/>
        </w:rPr>
        <w:t xml:space="preserve"> : Les propositions d’amendements aux Directives opérationnelles surlignées en vert dans la colonne de droite reflètent les révisions approuvées par la vingtième session du Comité (Décision </w:t>
      </w:r>
      <w:hyperlink r:id="rId31" w:history="1">
        <w:r w:rsidRPr="001A1E48">
          <w:rPr>
            <w:rStyle w:val="Hyperlink"/>
            <w:rFonts w:ascii="Arial" w:hAnsi="Arial" w:cs="Arial"/>
            <w:sz w:val="22"/>
            <w:szCs w:val="22"/>
          </w:rPr>
          <w:t>20.COM 8</w:t>
        </w:r>
      </w:hyperlink>
      <w:r w:rsidRPr="001A1E48">
        <w:rPr>
          <w:rFonts w:ascii="Arial" w:hAnsi="Arial" w:cs="Arial"/>
          <w:sz w:val="22"/>
          <w:szCs w:val="22"/>
        </w:rPr>
        <w:t xml:space="preserve">) concernant le traitement des dossiers relatifs aux mécanismes d’inscription de la Convention. Celles surlignées en bleu reflètent les révisions approuvées par le Comité lors de la même session (Décision </w:t>
      </w:r>
      <w:hyperlink r:id="rId32" w:history="1">
        <w:r w:rsidRPr="001A1E48">
          <w:rPr>
            <w:rStyle w:val="Hyperlink"/>
            <w:rFonts w:ascii="Arial" w:hAnsi="Arial" w:cs="Arial"/>
            <w:sz w:val="22"/>
            <w:szCs w:val="22"/>
          </w:rPr>
          <w:t>20.COM 6.c</w:t>
        </w:r>
      </w:hyperlink>
      <w:r w:rsidRPr="001A1E48">
        <w:rPr>
          <w:rFonts w:ascii="Arial" w:hAnsi="Arial" w:cs="Arial"/>
          <w:sz w:val="22"/>
          <w:szCs w:val="22"/>
        </w:rPr>
        <w:t xml:space="preserve">) afin de soutenir la transition vers un système de soumission </w:t>
      </w:r>
      <w:r w:rsidR="00EA0D2D" w:rsidRPr="001A1E48">
        <w:rPr>
          <w:rFonts w:ascii="Arial" w:hAnsi="Arial" w:cs="Arial"/>
          <w:sz w:val="22"/>
          <w:szCs w:val="22"/>
        </w:rPr>
        <w:t xml:space="preserve">unique </w:t>
      </w:r>
      <w:r w:rsidRPr="001A1E48">
        <w:rPr>
          <w:rFonts w:ascii="Arial" w:hAnsi="Arial" w:cs="Arial"/>
          <w:sz w:val="22"/>
          <w:szCs w:val="22"/>
        </w:rPr>
        <w:t>à l’échelle mondiale des rapports périodiques.</w:t>
      </w:r>
    </w:p>
    <w:tbl>
      <w:tblPr>
        <w:tblW w:w="50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45"/>
        <w:gridCol w:w="6392"/>
        <w:gridCol w:w="9"/>
        <w:gridCol w:w="811"/>
        <w:gridCol w:w="6695"/>
      </w:tblGrid>
      <w:tr w:rsidR="0088350F" w:rsidRPr="001A1E48" w14:paraId="6CB2A2EB" w14:textId="77777777" w:rsidTr="001C3409">
        <w:trPr>
          <w:cantSplit/>
        </w:trPr>
        <w:tc>
          <w:tcPr>
            <w:tcW w:w="2466" w:type="pct"/>
            <w:gridSpan w:val="3"/>
            <w:shd w:val="clear" w:color="auto" w:fill="C6D9F1"/>
          </w:tcPr>
          <w:p w14:paraId="1C03AB94" w14:textId="77777777" w:rsidR="0088350F" w:rsidRPr="001A1E48" w:rsidRDefault="0088350F" w:rsidP="006C5D46">
            <w:pPr>
              <w:spacing w:before="120" w:after="120"/>
              <w:jc w:val="center"/>
              <w:rPr>
                <w:rFonts w:ascii="Arial" w:hAnsi="Arial" w:cs="Arial"/>
                <w:b/>
                <w:bCs/>
                <w:sz w:val="22"/>
                <w:szCs w:val="22"/>
              </w:rPr>
            </w:pPr>
            <w:r w:rsidRPr="001A1E48">
              <w:rPr>
                <w:rFonts w:ascii="Arial" w:hAnsi="Arial" w:cs="Arial"/>
                <w:b/>
                <w:sz w:val="22"/>
              </w:rPr>
              <w:t>Directives opérationnelles (édition 2024)</w:t>
            </w:r>
          </w:p>
        </w:tc>
        <w:tc>
          <w:tcPr>
            <w:tcW w:w="2534" w:type="pct"/>
            <w:gridSpan w:val="2"/>
            <w:shd w:val="clear" w:color="auto" w:fill="8DB3E2"/>
          </w:tcPr>
          <w:p w14:paraId="53D9FC58" w14:textId="77777777" w:rsidR="0088350F" w:rsidRPr="001A1E48" w:rsidRDefault="0088350F" w:rsidP="006C5D46">
            <w:pPr>
              <w:spacing w:before="120" w:after="120"/>
              <w:jc w:val="center"/>
              <w:rPr>
                <w:rFonts w:ascii="Arial" w:hAnsi="Arial" w:cs="Arial"/>
                <w:sz w:val="22"/>
                <w:szCs w:val="22"/>
              </w:rPr>
            </w:pPr>
            <w:r w:rsidRPr="001A1E48">
              <w:rPr>
                <w:rFonts w:ascii="Arial" w:hAnsi="Arial" w:cs="Arial"/>
                <w:b/>
                <w:sz w:val="22"/>
              </w:rPr>
              <w:t>Amendements proposés</w:t>
            </w:r>
          </w:p>
        </w:tc>
      </w:tr>
      <w:tr w:rsidR="0088350F" w:rsidRPr="001A1E48" w14:paraId="079AB67A" w14:textId="77777777" w:rsidTr="00B3394B">
        <w:trPr>
          <w:cantSplit/>
          <w:trHeight w:val="280"/>
        </w:trPr>
        <w:tc>
          <w:tcPr>
            <w:tcW w:w="308" w:type="pct"/>
          </w:tcPr>
          <w:p w14:paraId="1C21013E" w14:textId="77777777" w:rsidR="0088350F" w:rsidRPr="001A1E48" w:rsidRDefault="0088350F" w:rsidP="006C5D46">
            <w:pPr>
              <w:spacing w:before="120" w:after="120"/>
              <w:rPr>
                <w:rFonts w:ascii="Arial" w:hAnsi="Arial" w:cs="Arial"/>
                <w:b/>
                <w:bCs/>
                <w:color w:val="4F81BD" w:themeColor="accent1"/>
                <w:sz w:val="22"/>
                <w:szCs w:val="22"/>
              </w:rPr>
            </w:pPr>
            <w:r w:rsidRPr="001A1E48">
              <w:rPr>
                <w:rFonts w:ascii="Arial" w:hAnsi="Arial" w:cs="Arial"/>
                <w:b/>
                <w:color w:val="4F81BD" w:themeColor="accent1"/>
                <w:sz w:val="22"/>
              </w:rPr>
              <w:t>I.7</w:t>
            </w:r>
          </w:p>
        </w:tc>
        <w:tc>
          <w:tcPr>
            <w:tcW w:w="2155" w:type="pct"/>
          </w:tcPr>
          <w:p w14:paraId="39396258" w14:textId="77777777" w:rsidR="0088350F" w:rsidRPr="001A1E48" w:rsidRDefault="0088350F" w:rsidP="006C5D46">
            <w:pPr>
              <w:spacing w:before="120" w:after="120"/>
              <w:jc w:val="both"/>
              <w:rPr>
                <w:rFonts w:ascii="Arial" w:hAnsi="Arial" w:cs="Arial"/>
                <w:b/>
                <w:bCs/>
                <w:color w:val="4F81BD" w:themeColor="accent1"/>
                <w:sz w:val="22"/>
                <w:szCs w:val="22"/>
              </w:rPr>
            </w:pPr>
            <w:r w:rsidRPr="001A1E48">
              <w:rPr>
                <w:rFonts w:ascii="Arial" w:hAnsi="Arial" w:cs="Arial"/>
                <w:b/>
                <w:color w:val="4F81BD" w:themeColor="accent1"/>
                <w:sz w:val="22"/>
              </w:rPr>
              <w:t>Soumission des dossiers</w:t>
            </w:r>
          </w:p>
        </w:tc>
        <w:tc>
          <w:tcPr>
            <w:tcW w:w="277" w:type="pct"/>
            <w:gridSpan w:val="2"/>
          </w:tcPr>
          <w:p w14:paraId="697E93FF" w14:textId="77777777" w:rsidR="0088350F" w:rsidRPr="001A1E48" w:rsidRDefault="0088350F" w:rsidP="006C5D46">
            <w:pPr>
              <w:spacing w:before="120" w:after="120"/>
              <w:jc w:val="both"/>
              <w:rPr>
                <w:rFonts w:ascii="Arial" w:hAnsi="Arial" w:cs="Arial"/>
                <w:b/>
                <w:bCs/>
                <w:color w:val="4F81BD" w:themeColor="accent1"/>
                <w:sz w:val="22"/>
                <w:szCs w:val="22"/>
              </w:rPr>
            </w:pPr>
            <w:r w:rsidRPr="001A1E48">
              <w:rPr>
                <w:rFonts w:ascii="Arial" w:hAnsi="Arial" w:cs="Arial"/>
                <w:b/>
                <w:color w:val="4F81BD" w:themeColor="accent1"/>
                <w:sz w:val="22"/>
              </w:rPr>
              <w:t>I.7</w:t>
            </w:r>
          </w:p>
        </w:tc>
        <w:tc>
          <w:tcPr>
            <w:tcW w:w="2257" w:type="pct"/>
          </w:tcPr>
          <w:p w14:paraId="38008929"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104C0A58" w14:textId="77777777" w:rsidTr="0012385F">
        <w:trPr>
          <w:cantSplit/>
        </w:trPr>
        <w:tc>
          <w:tcPr>
            <w:tcW w:w="308" w:type="pct"/>
          </w:tcPr>
          <w:p w14:paraId="55570BDC"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20.2</w:t>
            </w:r>
          </w:p>
        </w:tc>
        <w:tc>
          <w:tcPr>
            <w:tcW w:w="2155" w:type="pct"/>
          </w:tcPr>
          <w:p w14:paraId="076ED0D7"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Le formulaire ICH-01 LR à LSU est utilisé pour le transfert d’un élément de la Liste représentative du patrimoine culturel immatériel de l’humanité à la Liste du patrimoine culturel immatériel nécessitant une sauvegarde urgente, et comprend une possibilité de demande simultanée d’assistance internationale.</w:t>
            </w:r>
          </w:p>
          <w:p w14:paraId="414E7A62"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Le formulaire ICH-02 LSU à LR, annexé au formulaire de rapport périodique ICH-11, est utilisé pour le transfert d’un élément de la Liste du patrimoine culturel immatériel nécessitant une sauvegarde urgente à la Liste représentative du patrimoine culturel immatériel de l’humanité.</w:t>
            </w:r>
          </w:p>
        </w:tc>
        <w:tc>
          <w:tcPr>
            <w:tcW w:w="277" w:type="pct"/>
            <w:gridSpan w:val="2"/>
          </w:tcPr>
          <w:p w14:paraId="7AB9D6DE"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20.2</w:t>
            </w:r>
          </w:p>
        </w:tc>
        <w:tc>
          <w:tcPr>
            <w:tcW w:w="2257" w:type="pct"/>
          </w:tcPr>
          <w:p w14:paraId="4674F79D" w14:textId="3EA8F1B9"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7D111B45" w14:textId="77777777" w:rsidTr="0012385F">
        <w:trPr>
          <w:cantSplit/>
        </w:trPr>
        <w:tc>
          <w:tcPr>
            <w:tcW w:w="308" w:type="pct"/>
          </w:tcPr>
          <w:p w14:paraId="5035904F" w14:textId="77777777" w:rsidR="0088350F" w:rsidRPr="001A1E48" w:rsidRDefault="0088350F" w:rsidP="006C5D46">
            <w:pPr>
              <w:spacing w:before="120" w:after="120"/>
              <w:rPr>
                <w:rFonts w:ascii="Arial" w:hAnsi="Arial" w:cs="Arial"/>
                <w:b/>
                <w:bCs/>
                <w:color w:val="4F81BD" w:themeColor="accent1"/>
                <w:sz w:val="22"/>
                <w:szCs w:val="22"/>
              </w:rPr>
            </w:pPr>
            <w:r w:rsidRPr="001A1E48">
              <w:rPr>
                <w:rFonts w:ascii="Arial" w:hAnsi="Arial" w:cs="Arial"/>
                <w:b/>
                <w:color w:val="4F81BD" w:themeColor="accent1"/>
                <w:sz w:val="22"/>
              </w:rPr>
              <w:t>I.15</w:t>
            </w:r>
          </w:p>
        </w:tc>
        <w:tc>
          <w:tcPr>
            <w:tcW w:w="2155" w:type="pct"/>
          </w:tcPr>
          <w:p w14:paraId="31EE0556" w14:textId="77777777" w:rsidR="0088350F" w:rsidRPr="001A1E48" w:rsidRDefault="0088350F" w:rsidP="006C5D46">
            <w:pPr>
              <w:spacing w:before="120" w:after="120"/>
              <w:jc w:val="both"/>
              <w:rPr>
                <w:rFonts w:ascii="Arial" w:hAnsi="Arial" w:cs="Arial"/>
                <w:b/>
                <w:bCs/>
                <w:color w:val="4F81BD" w:themeColor="accent1"/>
                <w:sz w:val="22"/>
                <w:szCs w:val="22"/>
              </w:rPr>
            </w:pPr>
            <w:r w:rsidRPr="001A1E48">
              <w:rPr>
                <w:rFonts w:ascii="Arial" w:hAnsi="Arial" w:cs="Arial"/>
                <w:b/>
                <w:color w:val="4F81BD" w:themeColor="accent1"/>
                <w:sz w:val="22"/>
              </w:rPr>
              <w:t>Calendrier - Vue d’ensemble des procédures</w:t>
            </w:r>
          </w:p>
        </w:tc>
        <w:tc>
          <w:tcPr>
            <w:tcW w:w="277" w:type="pct"/>
            <w:gridSpan w:val="2"/>
          </w:tcPr>
          <w:p w14:paraId="134F7788" w14:textId="77777777" w:rsidR="0088350F" w:rsidRPr="001A1E48" w:rsidRDefault="0088350F" w:rsidP="006C5D46">
            <w:pPr>
              <w:spacing w:before="120" w:after="120"/>
              <w:jc w:val="both"/>
              <w:rPr>
                <w:rFonts w:ascii="Arial" w:hAnsi="Arial" w:cs="Arial"/>
                <w:b/>
                <w:bCs/>
                <w:color w:val="4F81BD" w:themeColor="accent1"/>
                <w:sz w:val="22"/>
                <w:szCs w:val="22"/>
              </w:rPr>
            </w:pPr>
            <w:r w:rsidRPr="001A1E48">
              <w:rPr>
                <w:rFonts w:ascii="Arial" w:hAnsi="Arial" w:cs="Arial"/>
                <w:b/>
                <w:color w:val="4F81BD" w:themeColor="accent1"/>
                <w:sz w:val="22"/>
              </w:rPr>
              <w:t>I.15</w:t>
            </w:r>
          </w:p>
        </w:tc>
        <w:tc>
          <w:tcPr>
            <w:tcW w:w="2257" w:type="pct"/>
          </w:tcPr>
          <w:p w14:paraId="6AA9543A" w14:textId="724E2A89" w:rsidR="0088350F" w:rsidRPr="001A1E48" w:rsidRDefault="0088350F" w:rsidP="006C5D46">
            <w:pPr>
              <w:spacing w:before="120" w:after="120"/>
              <w:jc w:val="both"/>
              <w:rPr>
                <w:rFonts w:ascii="Arial" w:hAnsi="Arial" w:cs="Arial"/>
                <w:color w:val="4F81BD" w:themeColor="accent1"/>
                <w:sz w:val="22"/>
                <w:szCs w:val="22"/>
              </w:rPr>
            </w:pPr>
            <w:r w:rsidRPr="001A1E48">
              <w:rPr>
                <w:rFonts w:ascii="Arial" w:hAnsi="Arial" w:cs="Arial"/>
                <w:sz w:val="22"/>
              </w:rPr>
              <w:t>Aucun changement</w:t>
            </w:r>
          </w:p>
        </w:tc>
      </w:tr>
      <w:tr w:rsidR="0088350F" w:rsidRPr="001A1E48" w14:paraId="371335D2" w14:textId="77777777" w:rsidTr="002B3BC4">
        <w:tc>
          <w:tcPr>
            <w:tcW w:w="308" w:type="pct"/>
          </w:tcPr>
          <w:p w14:paraId="14501CFB"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54.</w:t>
            </w:r>
          </w:p>
        </w:tc>
        <w:tc>
          <w:tcPr>
            <w:tcW w:w="2155" w:type="pct"/>
          </w:tcPr>
          <w:tbl>
            <w:tblPr>
              <w:tblStyle w:val="TableGrid"/>
              <w:tblW w:w="6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4713"/>
            </w:tblGrid>
            <w:tr w:rsidR="0088350F" w:rsidRPr="001A1E48" w14:paraId="75D273B1" w14:textId="77777777" w:rsidTr="00D2091F">
              <w:trPr>
                <w:cantSplit/>
              </w:trPr>
              <w:tc>
                <w:tcPr>
                  <w:tcW w:w="1463" w:type="dxa"/>
                </w:tcPr>
                <w:p w14:paraId="607486D9"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Phase 1 :</w:t>
                  </w:r>
                </w:p>
              </w:tc>
              <w:tc>
                <w:tcPr>
                  <w:tcW w:w="4713" w:type="dxa"/>
                </w:tcPr>
                <w:p w14:paraId="71661F7A" w14:textId="77777777" w:rsidR="0088350F" w:rsidRPr="001A1E48" w:rsidRDefault="0088350F" w:rsidP="006C5D46">
                  <w:pPr>
                    <w:spacing w:before="60" w:after="60"/>
                    <w:jc w:val="both"/>
                    <w:rPr>
                      <w:rFonts w:ascii="Arial" w:hAnsi="Arial" w:cs="Arial"/>
                      <w:sz w:val="22"/>
                      <w:szCs w:val="22"/>
                    </w:rPr>
                  </w:pPr>
                  <w:r w:rsidRPr="001A1E48">
                    <w:rPr>
                      <w:rFonts w:ascii="Arial" w:hAnsi="Arial" w:cs="Arial"/>
                      <w:sz w:val="22"/>
                    </w:rPr>
                    <w:t xml:space="preserve">Préparation et soumission </w:t>
                  </w:r>
                </w:p>
              </w:tc>
            </w:tr>
            <w:tr w:rsidR="0088350F" w:rsidRPr="001A1E48" w14:paraId="00E253DA" w14:textId="77777777" w:rsidTr="00D2091F">
              <w:trPr>
                <w:cantSplit/>
              </w:trPr>
              <w:tc>
                <w:tcPr>
                  <w:tcW w:w="1463" w:type="dxa"/>
                </w:tcPr>
                <w:p w14:paraId="25AD4E8E"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31 mars</w:t>
                  </w:r>
                </w:p>
                <w:p w14:paraId="04AB5DCE"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année 0</w:t>
                  </w:r>
                </w:p>
              </w:tc>
              <w:tc>
                <w:tcPr>
                  <w:tcW w:w="4713" w:type="dxa"/>
                </w:tcPr>
                <w:p w14:paraId="3D3A4E80" w14:textId="77777777" w:rsidR="0088350F" w:rsidRPr="001A1E48" w:rsidRDefault="0088350F" w:rsidP="006C5D46">
                  <w:pPr>
                    <w:spacing w:before="60" w:after="60"/>
                    <w:jc w:val="both"/>
                    <w:rPr>
                      <w:rFonts w:ascii="Arial" w:hAnsi="Arial" w:cs="Arial"/>
                      <w:sz w:val="22"/>
                      <w:szCs w:val="22"/>
                    </w:rPr>
                  </w:pPr>
                  <w:r w:rsidRPr="001A1E48">
                    <w:rPr>
                      <w:rFonts w:ascii="Arial" w:hAnsi="Arial" w:cs="Arial"/>
                      <w:sz w:val="22"/>
                    </w:rPr>
                    <w:t>Date limite pour les demandes d’assistance préparatoire.</w:t>
                  </w:r>
                </w:p>
              </w:tc>
            </w:tr>
            <w:tr w:rsidR="0088350F" w:rsidRPr="001A1E48" w14:paraId="6D3B9B3E" w14:textId="77777777" w:rsidTr="00D2091F">
              <w:trPr>
                <w:cantSplit/>
              </w:trPr>
              <w:tc>
                <w:tcPr>
                  <w:tcW w:w="1463" w:type="dxa"/>
                </w:tcPr>
                <w:p w14:paraId="05B79363" w14:textId="3BC2ABED"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lastRenderedPageBreak/>
                    <w:t>15 décembre</w:t>
                  </w:r>
                </w:p>
                <w:p w14:paraId="6E9DF17D"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année 0</w:t>
                  </w:r>
                </w:p>
              </w:tc>
              <w:tc>
                <w:tcPr>
                  <w:tcW w:w="4713" w:type="dxa"/>
                </w:tcPr>
                <w:p w14:paraId="3C463A69" w14:textId="77777777" w:rsidR="0088350F" w:rsidRPr="001A1E48" w:rsidRDefault="0088350F" w:rsidP="006C5D46">
                  <w:pPr>
                    <w:spacing w:before="60" w:after="60"/>
                    <w:jc w:val="both"/>
                    <w:rPr>
                      <w:rFonts w:ascii="Arial" w:hAnsi="Arial" w:cs="Arial"/>
                      <w:sz w:val="22"/>
                      <w:szCs w:val="22"/>
                    </w:rPr>
                  </w:pPr>
                  <w:r w:rsidRPr="001A1E48">
                    <w:rPr>
                      <w:rFonts w:ascii="Arial" w:hAnsi="Arial" w:cs="Arial"/>
                      <w:sz w:val="22"/>
                    </w:rPr>
                    <w:t>Date limite pour la soumission des demandes de transfert de la Liste du patrimoine culturel immatériel nécessitant une sauvegarde urgente à la Liste représentative du patrimoine culturel immatériel de l’humanité.</w:t>
                  </w:r>
                </w:p>
              </w:tc>
            </w:tr>
            <w:tr w:rsidR="0088350F" w:rsidRPr="001A1E48" w14:paraId="054FD2B5" w14:textId="77777777" w:rsidTr="00D2091F">
              <w:trPr>
                <w:cantSplit/>
              </w:trPr>
              <w:tc>
                <w:tcPr>
                  <w:tcW w:w="1463" w:type="dxa"/>
                </w:tcPr>
                <w:p w14:paraId="22BF9635"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31 mars</w:t>
                  </w:r>
                </w:p>
                <w:p w14:paraId="2AF22C52"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année 1</w:t>
                  </w:r>
                </w:p>
              </w:tc>
              <w:tc>
                <w:tcPr>
                  <w:tcW w:w="4713" w:type="dxa"/>
                </w:tcPr>
                <w:p w14:paraId="279B210E" w14:textId="77777777" w:rsidR="0088350F" w:rsidRPr="001A1E48" w:rsidRDefault="0088350F" w:rsidP="006C5D46">
                  <w:pPr>
                    <w:spacing w:before="60" w:after="60"/>
                    <w:jc w:val="both"/>
                    <w:rPr>
                      <w:rFonts w:ascii="Arial" w:hAnsi="Arial" w:cs="Arial"/>
                      <w:sz w:val="22"/>
                      <w:szCs w:val="22"/>
                    </w:rPr>
                  </w:pPr>
                  <w:r w:rsidRPr="001A1E48">
                    <w:rPr>
                      <w:rFonts w:ascii="Arial" w:hAnsi="Arial" w:cs="Arial"/>
                      <w:sz w:val="22"/>
                    </w:rPr>
                    <w:t>Date limite à laquelle les candidatures pour la Liste du patrimoine culturel immatériel nécessitant une sauvegarde urgente (y compris celles soumises simultanément aux demandes d'assistance internationale) et pour la Liste représentative du patrimoine culturel immatériel de l’humanité, ainsi que les propositions de programmes, projets et activités reflétant le mieux les principes et objectifs de la Convention doivent avoir été reçues par le Secrétariat. Les dossiers reçus après cette date sont examinés au cycle suivant. Le Secrétariat publie sur le site Internet de la Convention les dossiers tels qu’ils ont été reçus, dans leur langue originale.</w:t>
                  </w:r>
                </w:p>
              </w:tc>
            </w:tr>
            <w:tr w:rsidR="0088350F" w:rsidRPr="001A1E48" w14:paraId="00E3AD39" w14:textId="77777777" w:rsidTr="00D2091F">
              <w:trPr>
                <w:cantSplit/>
              </w:trPr>
              <w:tc>
                <w:tcPr>
                  <w:tcW w:w="1463" w:type="dxa"/>
                </w:tcPr>
                <w:p w14:paraId="62531B34" w14:textId="77777777" w:rsidR="0088350F" w:rsidRPr="001A1E48" w:rsidRDefault="0088350F" w:rsidP="006C5D46">
                  <w:pPr>
                    <w:spacing w:before="60" w:after="60"/>
                    <w:jc w:val="right"/>
                    <w:rPr>
                      <w:rFonts w:ascii="Arial" w:hAnsi="Arial" w:cs="Arial"/>
                      <w:sz w:val="22"/>
                    </w:rPr>
                  </w:pPr>
                </w:p>
                <w:p w14:paraId="29479599" w14:textId="77777777" w:rsidR="0088350F" w:rsidRPr="001A1E48" w:rsidRDefault="0088350F" w:rsidP="006C5D46">
                  <w:pPr>
                    <w:spacing w:before="60" w:after="60"/>
                    <w:jc w:val="right"/>
                    <w:rPr>
                      <w:rFonts w:ascii="Arial" w:hAnsi="Arial" w:cs="Arial"/>
                      <w:sz w:val="22"/>
                    </w:rPr>
                  </w:pPr>
                </w:p>
                <w:p w14:paraId="3A42E427" w14:textId="77777777" w:rsidR="0088350F" w:rsidRPr="001A1E48" w:rsidRDefault="0088350F" w:rsidP="006C5D46">
                  <w:pPr>
                    <w:spacing w:before="60" w:after="60"/>
                    <w:jc w:val="right"/>
                    <w:rPr>
                      <w:rFonts w:ascii="Arial" w:hAnsi="Arial" w:cs="Arial"/>
                      <w:sz w:val="22"/>
                    </w:rPr>
                  </w:pPr>
                </w:p>
                <w:p w14:paraId="33377047" w14:textId="77777777" w:rsidR="0088350F" w:rsidRPr="001A1E48" w:rsidRDefault="0088350F" w:rsidP="006C5D46">
                  <w:pPr>
                    <w:spacing w:before="60" w:after="60"/>
                    <w:jc w:val="right"/>
                    <w:rPr>
                      <w:rFonts w:ascii="Arial" w:hAnsi="Arial" w:cs="Arial"/>
                      <w:sz w:val="22"/>
                    </w:rPr>
                  </w:pPr>
                </w:p>
                <w:p w14:paraId="70DB31E6"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30 juin</w:t>
                  </w:r>
                </w:p>
                <w:p w14:paraId="24164A27"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année 1</w:t>
                  </w:r>
                </w:p>
              </w:tc>
              <w:tc>
                <w:tcPr>
                  <w:tcW w:w="4713" w:type="dxa"/>
                </w:tcPr>
                <w:p w14:paraId="06278EEA" w14:textId="77777777" w:rsidR="0088350F" w:rsidRPr="001A1E48" w:rsidRDefault="0088350F" w:rsidP="006C5D46">
                  <w:pPr>
                    <w:spacing w:before="60" w:after="60"/>
                    <w:jc w:val="both"/>
                    <w:rPr>
                      <w:rFonts w:ascii="Arial" w:hAnsi="Arial" w:cs="Arial"/>
                      <w:sz w:val="22"/>
                    </w:rPr>
                  </w:pPr>
                </w:p>
                <w:p w14:paraId="36A26B32" w14:textId="77777777" w:rsidR="0088350F" w:rsidRPr="001A1E48" w:rsidRDefault="0088350F" w:rsidP="006C5D46">
                  <w:pPr>
                    <w:spacing w:before="60" w:after="60"/>
                    <w:jc w:val="both"/>
                    <w:rPr>
                      <w:rFonts w:ascii="Arial" w:hAnsi="Arial" w:cs="Arial"/>
                      <w:sz w:val="22"/>
                    </w:rPr>
                  </w:pPr>
                </w:p>
                <w:p w14:paraId="0FF71BE2" w14:textId="77777777" w:rsidR="0088350F" w:rsidRPr="001A1E48" w:rsidRDefault="0088350F" w:rsidP="006C5D46">
                  <w:pPr>
                    <w:spacing w:before="60" w:after="60"/>
                    <w:jc w:val="both"/>
                    <w:rPr>
                      <w:rFonts w:ascii="Arial" w:hAnsi="Arial" w:cs="Arial"/>
                      <w:sz w:val="22"/>
                    </w:rPr>
                  </w:pPr>
                </w:p>
                <w:p w14:paraId="15F561DB" w14:textId="77777777" w:rsidR="0088350F" w:rsidRPr="001A1E48" w:rsidRDefault="0088350F" w:rsidP="006C5D46">
                  <w:pPr>
                    <w:spacing w:before="60" w:after="60"/>
                    <w:jc w:val="both"/>
                    <w:rPr>
                      <w:rFonts w:ascii="Arial" w:hAnsi="Arial" w:cs="Arial"/>
                      <w:sz w:val="22"/>
                    </w:rPr>
                  </w:pPr>
                </w:p>
                <w:p w14:paraId="01B7BD3E" w14:textId="7CF22E7E" w:rsidR="002B3BC4" w:rsidRPr="001A1E48" w:rsidRDefault="0088350F" w:rsidP="002B3BC4">
                  <w:pPr>
                    <w:spacing w:before="60" w:after="60"/>
                    <w:jc w:val="both"/>
                    <w:rPr>
                      <w:rFonts w:ascii="Arial" w:hAnsi="Arial" w:cs="Arial"/>
                      <w:sz w:val="22"/>
                    </w:rPr>
                  </w:pPr>
                  <w:r w:rsidRPr="001A1E48">
                    <w:rPr>
                      <w:rFonts w:ascii="Arial" w:hAnsi="Arial" w:cs="Arial"/>
                      <w:sz w:val="22"/>
                    </w:rPr>
                    <w:t>Date limite à laquelle le Secrétariat doit avoir traité les dossiers, y compris l’enregistrement et l’accusé de réception. Si un dossier est incomplet, l’État partie est invité à le compléter.</w:t>
                  </w:r>
                </w:p>
              </w:tc>
            </w:tr>
            <w:tr w:rsidR="0088350F" w:rsidRPr="001A1E48" w14:paraId="2E5AB907" w14:textId="77777777" w:rsidTr="00D2091F">
              <w:trPr>
                <w:cantSplit/>
              </w:trPr>
              <w:tc>
                <w:tcPr>
                  <w:tcW w:w="1463" w:type="dxa"/>
                </w:tcPr>
                <w:p w14:paraId="397911F1" w14:textId="77777777" w:rsidR="0088350F" w:rsidRPr="001A1E48" w:rsidRDefault="0088350F" w:rsidP="002B3BC4">
                  <w:pPr>
                    <w:keepNext/>
                    <w:spacing w:before="60" w:after="60"/>
                    <w:jc w:val="right"/>
                    <w:rPr>
                      <w:rFonts w:ascii="Arial" w:hAnsi="Arial" w:cs="Arial"/>
                      <w:sz w:val="22"/>
                      <w:szCs w:val="22"/>
                    </w:rPr>
                  </w:pPr>
                  <w:r w:rsidRPr="001A1E48">
                    <w:rPr>
                      <w:rFonts w:ascii="Arial" w:hAnsi="Arial" w:cs="Arial"/>
                      <w:sz w:val="22"/>
                    </w:rPr>
                    <w:lastRenderedPageBreak/>
                    <w:t>30 septembre</w:t>
                  </w:r>
                </w:p>
                <w:p w14:paraId="74B217CB" w14:textId="77777777" w:rsidR="0088350F" w:rsidRPr="001A1E48" w:rsidRDefault="0088350F" w:rsidP="002B3BC4">
                  <w:pPr>
                    <w:keepNext/>
                    <w:spacing w:before="60" w:after="60"/>
                    <w:jc w:val="right"/>
                    <w:rPr>
                      <w:rFonts w:ascii="Arial" w:hAnsi="Arial" w:cs="Arial"/>
                      <w:sz w:val="22"/>
                      <w:szCs w:val="22"/>
                    </w:rPr>
                  </w:pPr>
                  <w:r w:rsidRPr="001A1E48">
                    <w:rPr>
                      <w:rFonts w:ascii="Arial" w:hAnsi="Arial" w:cs="Arial"/>
                      <w:sz w:val="22"/>
                    </w:rPr>
                    <w:t>année 1</w:t>
                  </w:r>
                </w:p>
              </w:tc>
              <w:tc>
                <w:tcPr>
                  <w:tcW w:w="4713" w:type="dxa"/>
                </w:tcPr>
                <w:p w14:paraId="6F47BE41" w14:textId="77777777" w:rsidR="0088350F" w:rsidRPr="001A1E48" w:rsidRDefault="0088350F" w:rsidP="002B3BC4">
                  <w:pPr>
                    <w:keepNext/>
                    <w:spacing w:before="60" w:after="60"/>
                    <w:jc w:val="both"/>
                    <w:rPr>
                      <w:rFonts w:ascii="Arial" w:hAnsi="Arial" w:cs="Arial"/>
                      <w:sz w:val="22"/>
                      <w:szCs w:val="22"/>
                    </w:rPr>
                  </w:pPr>
                  <w:r w:rsidRPr="001A1E48">
                    <w:rPr>
                      <w:rFonts w:ascii="Arial" w:hAnsi="Arial" w:cs="Arial"/>
                      <w:sz w:val="22"/>
                    </w:rPr>
                    <w:t xml:space="preserve">Date limite à laquelle les informations manquantes requises pour compléter le dossier, si nécessaire, doivent être soumises par l’État partie au Secrétariat. Les dossiers restés incomplets sont retournés aux États parties qui peuvent les compléter pour un prochain cycle. Les dossiers révisés par les États soumissionnaires et transmis au Secrétariat </w:t>
                  </w:r>
                  <w:proofErr w:type="gramStart"/>
                  <w:r w:rsidRPr="001A1E48">
                    <w:rPr>
                      <w:rFonts w:ascii="Arial" w:hAnsi="Arial" w:cs="Arial"/>
                      <w:sz w:val="22"/>
                    </w:rPr>
                    <w:t>suite à</w:t>
                  </w:r>
                  <w:proofErr w:type="gramEnd"/>
                  <w:r w:rsidRPr="001A1E48">
                    <w:rPr>
                      <w:rFonts w:ascii="Arial" w:hAnsi="Arial" w:cs="Arial"/>
                      <w:sz w:val="22"/>
                    </w:rPr>
                    <w:t xml:space="preserve"> ses demandes d’informations complémentaires, sont publiés sur le site et remplacent les dossiers initialement reçus. Leurs traductions en anglais ou en français sont également publiées sur le site dès qu’elles sont disponibles.</w:t>
                  </w:r>
                </w:p>
              </w:tc>
            </w:tr>
            <w:tr w:rsidR="0088350F" w:rsidRPr="001A1E48" w14:paraId="40AA6E65" w14:textId="77777777" w:rsidTr="00D2091F">
              <w:trPr>
                <w:cantSplit/>
              </w:trPr>
              <w:tc>
                <w:tcPr>
                  <w:tcW w:w="1463" w:type="dxa"/>
                </w:tcPr>
                <w:p w14:paraId="69790D4B"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31 janvier</w:t>
                  </w:r>
                </w:p>
                <w:p w14:paraId="63FFE896"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année 2</w:t>
                  </w:r>
                </w:p>
              </w:tc>
              <w:tc>
                <w:tcPr>
                  <w:tcW w:w="4713" w:type="dxa"/>
                </w:tcPr>
                <w:p w14:paraId="6B8AA35F" w14:textId="77777777" w:rsidR="0088350F" w:rsidRPr="001A1E48" w:rsidRDefault="0088350F" w:rsidP="006C5D46">
                  <w:pPr>
                    <w:spacing w:before="60" w:after="60"/>
                    <w:jc w:val="both"/>
                    <w:rPr>
                      <w:rFonts w:ascii="Arial" w:hAnsi="Arial" w:cs="Arial"/>
                      <w:sz w:val="22"/>
                      <w:szCs w:val="22"/>
                    </w:rPr>
                  </w:pPr>
                  <w:r w:rsidRPr="001A1E48">
                    <w:rPr>
                      <w:rFonts w:ascii="Arial" w:hAnsi="Arial" w:cs="Arial"/>
                      <w:sz w:val="22"/>
                    </w:rPr>
                    <w:t>Date limite à laquelle les demandes de transfert de la Liste représentative du patrimoine culturel immatériel de l'humanité à la Liste du patrimoine culturel immatériel nécessitant une sauvegarde urgente doivent être reçues par le Secrétariat. Le Secrétariat enregistre les demandes. Les demandes sont transmises à l’Organe d’évaluation la même année que leur soumission, sans vérifier si un dossier est complet.</w:t>
                  </w:r>
                </w:p>
              </w:tc>
            </w:tr>
          </w:tbl>
          <w:p w14:paraId="6559EE55" w14:textId="77777777" w:rsidR="0088350F" w:rsidRPr="001A1E48" w:rsidRDefault="0088350F" w:rsidP="006C5D46">
            <w:pPr>
              <w:spacing w:before="120" w:after="120"/>
              <w:jc w:val="both"/>
              <w:rPr>
                <w:rFonts w:ascii="Arial" w:hAnsi="Arial" w:cs="Arial"/>
                <w:sz w:val="22"/>
                <w:szCs w:val="22"/>
              </w:rPr>
            </w:pPr>
          </w:p>
        </w:tc>
        <w:tc>
          <w:tcPr>
            <w:tcW w:w="277" w:type="pct"/>
            <w:gridSpan w:val="2"/>
          </w:tcPr>
          <w:p w14:paraId="46192452"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lastRenderedPageBreak/>
              <w:t>54.</w:t>
            </w:r>
          </w:p>
        </w:tc>
        <w:tc>
          <w:tcPr>
            <w:tcW w:w="2257" w:type="pct"/>
          </w:tcPr>
          <w:tbl>
            <w:tblPr>
              <w:tblStyle w:val="TableGrid"/>
              <w:tblW w:w="6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512"/>
              <w:gridCol w:w="4967"/>
            </w:tblGrid>
            <w:tr w:rsidR="0088350F" w:rsidRPr="001A1E48" w14:paraId="7128EB10" w14:textId="77777777" w:rsidTr="00D2091F">
              <w:trPr>
                <w:cantSplit/>
              </w:trPr>
              <w:tc>
                <w:tcPr>
                  <w:tcW w:w="1512" w:type="dxa"/>
                  <w:shd w:val="clear" w:color="auto" w:fill="FFFFFF"/>
                </w:tcPr>
                <w:p w14:paraId="4D9337C7"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Phase 1 :</w:t>
                  </w:r>
                </w:p>
              </w:tc>
              <w:tc>
                <w:tcPr>
                  <w:tcW w:w="4967" w:type="dxa"/>
                  <w:shd w:val="clear" w:color="auto" w:fill="FFFFFF"/>
                </w:tcPr>
                <w:p w14:paraId="23CFACE7" w14:textId="364A7B24" w:rsidR="0088350F" w:rsidRPr="001A1E48" w:rsidRDefault="0088350F" w:rsidP="006C5D46">
                  <w:pPr>
                    <w:spacing w:before="60" w:after="60"/>
                    <w:jc w:val="both"/>
                    <w:rPr>
                      <w:rFonts w:ascii="Arial" w:hAnsi="Arial" w:cs="Arial"/>
                      <w:sz w:val="22"/>
                      <w:szCs w:val="22"/>
                    </w:rPr>
                  </w:pPr>
                  <w:r w:rsidRPr="001A1E48">
                    <w:rPr>
                      <w:rFonts w:ascii="Arial" w:hAnsi="Arial" w:cs="Arial"/>
                      <w:sz w:val="22"/>
                    </w:rPr>
                    <w:t>Aucun changement</w:t>
                  </w:r>
                </w:p>
              </w:tc>
            </w:tr>
            <w:tr w:rsidR="0088350F" w:rsidRPr="001A1E48" w14:paraId="61C19B0F" w14:textId="77777777" w:rsidTr="00D2091F">
              <w:trPr>
                <w:cantSplit/>
              </w:trPr>
              <w:tc>
                <w:tcPr>
                  <w:tcW w:w="1512" w:type="dxa"/>
                  <w:shd w:val="clear" w:color="auto" w:fill="FFFFFF"/>
                </w:tcPr>
                <w:p w14:paraId="49CEBA26"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31 mars</w:t>
                  </w:r>
                </w:p>
                <w:p w14:paraId="1AC82F08"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année 0</w:t>
                  </w:r>
                </w:p>
              </w:tc>
              <w:tc>
                <w:tcPr>
                  <w:tcW w:w="4967" w:type="dxa"/>
                  <w:shd w:val="clear" w:color="auto" w:fill="FFFFFF"/>
                </w:tcPr>
                <w:p w14:paraId="0CC0F69D" w14:textId="6262D7F6" w:rsidR="0088350F" w:rsidRPr="001A1E48" w:rsidRDefault="0088350F" w:rsidP="006C5D46">
                  <w:pPr>
                    <w:spacing w:before="60" w:after="60"/>
                    <w:jc w:val="both"/>
                    <w:rPr>
                      <w:rFonts w:ascii="Arial" w:hAnsi="Arial" w:cs="Arial"/>
                      <w:sz w:val="22"/>
                      <w:szCs w:val="22"/>
                    </w:rPr>
                  </w:pPr>
                  <w:r w:rsidRPr="001A1E48">
                    <w:rPr>
                      <w:rFonts w:ascii="Arial" w:hAnsi="Arial" w:cs="Arial"/>
                      <w:sz w:val="22"/>
                    </w:rPr>
                    <w:t>Aucun changement</w:t>
                  </w:r>
                </w:p>
              </w:tc>
            </w:tr>
            <w:tr w:rsidR="0088350F" w:rsidRPr="001A1E48" w14:paraId="4EFB2132" w14:textId="77777777" w:rsidTr="00BA6F92">
              <w:trPr>
                <w:cantSplit/>
              </w:trPr>
              <w:tc>
                <w:tcPr>
                  <w:tcW w:w="1512" w:type="dxa"/>
                  <w:shd w:val="clear" w:color="auto" w:fill="DBE5F1" w:themeFill="accent1" w:themeFillTint="33"/>
                </w:tcPr>
                <w:p w14:paraId="5B6666DD" w14:textId="77777777" w:rsidR="0088350F" w:rsidRPr="001A1E48" w:rsidRDefault="0088350F" w:rsidP="006C5D46">
                  <w:pPr>
                    <w:spacing w:before="60" w:after="60"/>
                    <w:jc w:val="right"/>
                    <w:rPr>
                      <w:rFonts w:ascii="Arial" w:hAnsi="Arial" w:cs="Arial"/>
                      <w:strike/>
                      <w:sz w:val="22"/>
                      <w:szCs w:val="22"/>
                    </w:rPr>
                  </w:pPr>
                  <w:r w:rsidRPr="001A1E48">
                    <w:rPr>
                      <w:rFonts w:ascii="Arial" w:hAnsi="Arial" w:cs="Arial"/>
                      <w:strike/>
                      <w:sz w:val="22"/>
                    </w:rPr>
                    <w:lastRenderedPageBreak/>
                    <w:t>15 décembre</w:t>
                  </w:r>
                </w:p>
                <w:p w14:paraId="02851304"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trike/>
                      <w:sz w:val="22"/>
                    </w:rPr>
                    <w:t>Année 0</w:t>
                  </w:r>
                </w:p>
              </w:tc>
              <w:tc>
                <w:tcPr>
                  <w:tcW w:w="4967" w:type="dxa"/>
                  <w:shd w:val="clear" w:color="auto" w:fill="DBE5F1" w:themeFill="accent1" w:themeFillTint="33"/>
                </w:tcPr>
                <w:p w14:paraId="4637350E" w14:textId="77777777" w:rsidR="0088350F" w:rsidRPr="001A1E48" w:rsidRDefault="0088350F" w:rsidP="006C5D46">
                  <w:pPr>
                    <w:spacing w:before="60" w:after="60"/>
                    <w:jc w:val="both"/>
                    <w:rPr>
                      <w:rFonts w:ascii="Arial" w:hAnsi="Arial" w:cs="Arial"/>
                      <w:strike/>
                      <w:sz w:val="22"/>
                      <w:szCs w:val="22"/>
                    </w:rPr>
                  </w:pPr>
                  <w:r w:rsidRPr="001A1E48">
                    <w:rPr>
                      <w:rFonts w:ascii="Arial" w:hAnsi="Arial" w:cs="Arial"/>
                      <w:strike/>
                      <w:sz w:val="22"/>
                    </w:rPr>
                    <w:t>Date limite pour la soumission des demandes de transfert de la Liste du patrimoine culturel immatériel nécessitant une sauvegarde urgente à la Liste représentative du patrimoine culturel immatériel de l’humanité.</w:t>
                  </w:r>
                </w:p>
              </w:tc>
            </w:tr>
            <w:tr w:rsidR="0088350F" w:rsidRPr="001A1E48" w14:paraId="54DFEA43" w14:textId="77777777" w:rsidTr="002B3BC4">
              <w:trPr>
                <w:cantSplit/>
                <w:trHeight w:val="3870"/>
              </w:trPr>
              <w:tc>
                <w:tcPr>
                  <w:tcW w:w="1512" w:type="dxa"/>
                  <w:shd w:val="clear" w:color="auto" w:fill="FFFFFF"/>
                </w:tcPr>
                <w:p w14:paraId="1335541B"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31 mars</w:t>
                  </w:r>
                </w:p>
                <w:p w14:paraId="7FE85A95"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année 1</w:t>
                  </w:r>
                </w:p>
              </w:tc>
              <w:tc>
                <w:tcPr>
                  <w:tcW w:w="4967" w:type="dxa"/>
                  <w:shd w:val="clear" w:color="auto" w:fill="FFFFFF"/>
                </w:tcPr>
                <w:p w14:paraId="0FE810F9" w14:textId="0503E7F0" w:rsidR="002B3BC4" w:rsidRPr="001A1E48" w:rsidRDefault="0088350F" w:rsidP="002B3BC4">
                  <w:pPr>
                    <w:spacing w:before="60" w:after="60"/>
                    <w:jc w:val="both"/>
                    <w:rPr>
                      <w:rFonts w:ascii="Arial" w:hAnsi="Arial" w:cs="Arial"/>
                      <w:sz w:val="22"/>
                      <w:szCs w:val="22"/>
                    </w:rPr>
                  </w:pPr>
                  <w:r w:rsidRPr="001A1E48">
                    <w:rPr>
                      <w:rFonts w:ascii="Arial" w:hAnsi="Arial" w:cs="Arial"/>
                      <w:sz w:val="22"/>
                    </w:rPr>
                    <w:t>Aucun changement</w:t>
                  </w:r>
                </w:p>
              </w:tc>
            </w:tr>
            <w:tr w:rsidR="0088350F" w:rsidRPr="001A1E48" w14:paraId="40A55546" w14:textId="77777777" w:rsidTr="00A87092">
              <w:trPr>
                <w:cantSplit/>
              </w:trPr>
              <w:tc>
                <w:tcPr>
                  <w:tcW w:w="1512" w:type="dxa"/>
                  <w:shd w:val="clear" w:color="auto" w:fill="E1EBF7" w:themeFill="text2" w:themeFillTint="1A"/>
                </w:tcPr>
                <w:p w14:paraId="1522A697" w14:textId="77777777" w:rsidR="0088350F" w:rsidRPr="001A1E48" w:rsidRDefault="0088350F" w:rsidP="006C5D46">
                  <w:pPr>
                    <w:spacing w:before="60" w:after="60"/>
                    <w:jc w:val="right"/>
                    <w:rPr>
                      <w:rFonts w:ascii="Arial" w:hAnsi="Arial" w:cs="Arial"/>
                      <w:b/>
                      <w:bCs/>
                      <w:sz w:val="22"/>
                      <w:szCs w:val="22"/>
                      <w:u w:val="single"/>
                    </w:rPr>
                  </w:pPr>
                  <w:r w:rsidRPr="001A1E48">
                    <w:rPr>
                      <w:rFonts w:ascii="Arial" w:hAnsi="Arial" w:cs="Arial"/>
                      <w:b/>
                      <w:bCs/>
                      <w:sz w:val="22"/>
                      <w:u w:val="single"/>
                    </w:rPr>
                    <w:t>30 juin</w:t>
                  </w:r>
                </w:p>
                <w:p w14:paraId="6D5DB79C" w14:textId="77777777" w:rsidR="0088350F" w:rsidRPr="001A1E48" w:rsidRDefault="0088350F" w:rsidP="006C5D46">
                  <w:pPr>
                    <w:spacing w:before="60" w:after="60"/>
                    <w:jc w:val="right"/>
                    <w:rPr>
                      <w:rFonts w:ascii="Arial" w:hAnsi="Arial" w:cs="Arial"/>
                      <w:sz w:val="22"/>
                    </w:rPr>
                  </w:pPr>
                  <w:r w:rsidRPr="001A1E48">
                    <w:rPr>
                      <w:rFonts w:ascii="Arial" w:hAnsi="Arial" w:cs="Arial"/>
                      <w:b/>
                      <w:bCs/>
                      <w:sz w:val="22"/>
                      <w:u w:val="single"/>
                    </w:rPr>
                    <w:t>année 1</w:t>
                  </w:r>
                </w:p>
              </w:tc>
              <w:tc>
                <w:tcPr>
                  <w:tcW w:w="4967" w:type="dxa"/>
                  <w:shd w:val="clear" w:color="auto" w:fill="E1EBF7" w:themeFill="text2" w:themeFillTint="1A"/>
                </w:tcPr>
                <w:p w14:paraId="07AE3148" w14:textId="77777777" w:rsidR="0088350F" w:rsidRPr="001A1E48" w:rsidRDefault="0088350F" w:rsidP="006C5D46">
                  <w:pPr>
                    <w:spacing w:before="60" w:after="60"/>
                    <w:jc w:val="both"/>
                    <w:rPr>
                      <w:rFonts w:ascii="Arial" w:hAnsi="Arial" w:cs="Arial"/>
                      <w:sz w:val="22"/>
                    </w:rPr>
                  </w:pPr>
                  <w:r w:rsidRPr="001A1E48">
                    <w:rPr>
                      <w:rFonts w:ascii="Arial" w:hAnsi="Arial" w:cs="Arial"/>
                      <w:b/>
                      <w:sz w:val="22"/>
                      <w:u w:val="single"/>
                    </w:rPr>
                    <w:t>Date limite pour la soumission des demandes de transfert de la Liste du patrimoine culturel immatériel nécessitant une sauvegarde urgente à la Liste représentative du patrimoine culturel immatériel de l’humanité.</w:t>
                  </w:r>
                </w:p>
              </w:tc>
            </w:tr>
            <w:tr w:rsidR="0088350F" w:rsidRPr="001A1E48" w14:paraId="1E0621B3" w14:textId="77777777" w:rsidTr="00A87092">
              <w:trPr>
                <w:cantSplit/>
              </w:trPr>
              <w:tc>
                <w:tcPr>
                  <w:tcW w:w="1512" w:type="dxa"/>
                  <w:shd w:val="clear" w:color="auto" w:fill="EAF1DD" w:themeFill="accent3" w:themeFillTint="33"/>
                </w:tcPr>
                <w:p w14:paraId="21C52829" w14:textId="77777777" w:rsidR="0088350F" w:rsidRPr="001A1E48" w:rsidRDefault="0088350F" w:rsidP="006C5D46">
                  <w:pPr>
                    <w:spacing w:before="60" w:after="60"/>
                    <w:jc w:val="right"/>
                    <w:rPr>
                      <w:rFonts w:ascii="Arial" w:hAnsi="Arial" w:cs="Arial"/>
                      <w:strike/>
                      <w:sz w:val="22"/>
                      <w:szCs w:val="22"/>
                    </w:rPr>
                  </w:pPr>
                  <w:r w:rsidRPr="001A1E48">
                    <w:rPr>
                      <w:rFonts w:ascii="Arial" w:hAnsi="Arial" w:cs="Arial"/>
                      <w:strike/>
                      <w:sz w:val="22"/>
                    </w:rPr>
                    <w:t>30 juin</w:t>
                  </w:r>
                </w:p>
                <w:p w14:paraId="23A27C8C" w14:textId="77777777" w:rsidR="0088350F" w:rsidRPr="001A1E48" w:rsidRDefault="0088350F" w:rsidP="006C5D46">
                  <w:pPr>
                    <w:spacing w:before="60" w:after="60"/>
                    <w:jc w:val="right"/>
                    <w:rPr>
                      <w:rFonts w:ascii="Arial" w:hAnsi="Arial" w:cs="Arial"/>
                      <w:sz w:val="22"/>
                    </w:rPr>
                  </w:pPr>
                  <w:r w:rsidRPr="001A1E48">
                    <w:rPr>
                      <w:rFonts w:ascii="Arial" w:hAnsi="Arial" w:cs="Arial"/>
                      <w:b/>
                      <w:bCs/>
                      <w:sz w:val="22"/>
                      <w:u w:val="single"/>
                    </w:rPr>
                    <w:t>31 août</w:t>
                  </w:r>
                </w:p>
                <w:p w14:paraId="2B90BD8F"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année 1</w:t>
                  </w:r>
                </w:p>
              </w:tc>
              <w:tc>
                <w:tcPr>
                  <w:tcW w:w="4967" w:type="dxa"/>
                  <w:shd w:val="clear" w:color="auto" w:fill="EAF1DD" w:themeFill="accent3" w:themeFillTint="33"/>
                </w:tcPr>
                <w:p w14:paraId="6AC4E15A" w14:textId="77777777" w:rsidR="0088350F" w:rsidRPr="001A1E48" w:rsidRDefault="0088350F" w:rsidP="006C5D46">
                  <w:pPr>
                    <w:spacing w:before="60" w:after="60"/>
                    <w:jc w:val="both"/>
                    <w:rPr>
                      <w:rFonts w:ascii="Arial" w:hAnsi="Arial" w:cs="Arial"/>
                      <w:sz w:val="22"/>
                      <w:szCs w:val="22"/>
                    </w:rPr>
                  </w:pPr>
                  <w:r w:rsidRPr="001A1E48">
                    <w:rPr>
                      <w:rFonts w:ascii="Arial" w:hAnsi="Arial" w:cs="Arial"/>
                      <w:sz w:val="22"/>
                    </w:rPr>
                    <w:t>Date limite à laquelle le Secrétariat doit avoir traité les dossiers, y compris l’enregistrement et l’accusé de réception. Si un dossier est incomplet, l’État partie est invité à le compléter.</w:t>
                  </w:r>
                </w:p>
              </w:tc>
            </w:tr>
            <w:tr w:rsidR="0088350F" w:rsidRPr="001A1E48" w14:paraId="7F7EDFEF" w14:textId="77777777" w:rsidTr="00A87092">
              <w:trPr>
                <w:cantSplit/>
              </w:trPr>
              <w:tc>
                <w:tcPr>
                  <w:tcW w:w="1512" w:type="dxa"/>
                  <w:shd w:val="clear" w:color="auto" w:fill="EAF1DD" w:themeFill="accent3" w:themeFillTint="33"/>
                </w:tcPr>
                <w:p w14:paraId="6C4787FF" w14:textId="77777777" w:rsidR="0088350F" w:rsidRPr="001A1E48" w:rsidRDefault="0088350F" w:rsidP="002B3BC4">
                  <w:pPr>
                    <w:keepNext/>
                    <w:spacing w:before="60" w:after="60"/>
                    <w:jc w:val="right"/>
                    <w:rPr>
                      <w:rFonts w:ascii="Arial" w:hAnsi="Arial" w:cs="Arial"/>
                      <w:sz w:val="22"/>
                      <w:szCs w:val="22"/>
                    </w:rPr>
                  </w:pPr>
                  <w:r w:rsidRPr="001A1E48">
                    <w:rPr>
                      <w:rFonts w:ascii="Arial" w:hAnsi="Arial" w:cs="Arial"/>
                      <w:strike/>
                      <w:sz w:val="22"/>
                    </w:rPr>
                    <w:lastRenderedPageBreak/>
                    <w:t>30</w:t>
                  </w:r>
                  <w:r w:rsidRPr="001A1E48">
                    <w:rPr>
                      <w:rFonts w:ascii="Arial" w:hAnsi="Arial" w:cs="Arial"/>
                      <w:sz w:val="22"/>
                    </w:rPr>
                    <w:t xml:space="preserve"> </w:t>
                  </w:r>
                  <w:r w:rsidRPr="001A1E48">
                    <w:rPr>
                      <w:rFonts w:ascii="Arial" w:hAnsi="Arial" w:cs="Arial"/>
                      <w:strike/>
                      <w:sz w:val="22"/>
                    </w:rPr>
                    <w:t>septembre</w:t>
                  </w:r>
                </w:p>
                <w:p w14:paraId="0F3935C7" w14:textId="77777777" w:rsidR="0088350F" w:rsidRPr="001A1E48" w:rsidRDefault="0088350F" w:rsidP="002B3BC4">
                  <w:pPr>
                    <w:keepNext/>
                    <w:spacing w:before="60" w:after="60"/>
                    <w:jc w:val="right"/>
                    <w:rPr>
                      <w:rFonts w:ascii="Arial" w:hAnsi="Arial" w:cs="Arial"/>
                      <w:b/>
                      <w:bCs/>
                      <w:sz w:val="22"/>
                      <w:u w:val="single"/>
                    </w:rPr>
                  </w:pPr>
                  <w:r w:rsidRPr="001A1E48">
                    <w:rPr>
                      <w:rFonts w:ascii="Arial" w:hAnsi="Arial" w:cs="Arial"/>
                      <w:b/>
                      <w:bCs/>
                      <w:sz w:val="22"/>
                      <w:u w:val="single"/>
                    </w:rPr>
                    <w:t>30 novembre</w:t>
                  </w:r>
                </w:p>
                <w:p w14:paraId="20D0DBC0" w14:textId="77777777" w:rsidR="0088350F" w:rsidRPr="001A1E48" w:rsidRDefault="0088350F" w:rsidP="002B3BC4">
                  <w:pPr>
                    <w:keepNext/>
                    <w:spacing w:before="60" w:after="60"/>
                    <w:jc w:val="right"/>
                    <w:rPr>
                      <w:rFonts w:ascii="Arial" w:hAnsi="Arial" w:cs="Arial"/>
                      <w:sz w:val="22"/>
                      <w:szCs w:val="22"/>
                    </w:rPr>
                  </w:pPr>
                  <w:r w:rsidRPr="001A1E48">
                    <w:rPr>
                      <w:rFonts w:ascii="Arial" w:hAnsi="Arial" w:cs="Arial"/>
                      <w:sz w:val="22"/>
                    </w:rPr>
                    <w:t>année 1</w:t>
                  </w:r>
                </w:p>
              </w:tc>
              <w:tc>
                <w:tcPr>
                  <w:tcW w:w="4967" w:type="dxa"/>
                  <w:shd w:val="clear" w:color="auto" w:fill="EAF1DD" w:themeFill="accent3" w:themeFillTint="33"/>
                </w:tcPr>
                <w:p w14:paraId="078B2108" w14:textId="77777777" w:rsidR="0088350F" w:rsidRPr="001A1E48" w:rsidRDefault="0088350F" w:rsidP="002B3BC4">
                  <w:pPr>
                    <w:keepNext/>
                    <w:spacing w:before="60" w:after="60"/>
                    <w:jc w:val="both"/>
                    <w:rPr>
                      <w:rFonts w:ascii="Arial" w:hAnsi="Arial" w:cs="Arial"/>
                      <w:sz w:val="22"/>
                      <w:szCs w:val="22"/>
                    </w:rPr>
                  </w:pPr>
                  <w:r w:rsidRPr="001A1E48">
                    <w:rPr>
                      <w:rFonts w:ascii="Arial" w:hAnsi="Arial" w:cs="Arial"/>
                      <w:sz w:val="22"/>
                    </w:rPr>
                    <w:t xml:space="preserve">Date limite à laquelle les informations manquantes requises pour compléter le dossier, si nécessaire, doivent être soumises par l’État partie au Secrétariat. Les dossiers restés incomplets sont retournés aux États parties qui peuvent les compléter pour un prochain cycle. Les dossiers révisés par les États soumissionnaires et transmis au Secrétariat </w:t>
                  </w:r>
                  <w:proofErr w:type="gramStart"/>
                  <w:r w:rsidRPr="001A1E48">
                    <w:rPr>
                      <w:rFonts w:ascii="Arial" w:hAnsi="Arial" w:cs="Arial"/>
                      <w:sz w:val="22"/>
                    </w:rPr>
                    <w:t>suite à</w:t>
                  </w:r>
                  <w:proofErr w:type="gramEnd"/>
                  <w:r w:rsidRPr="001A1E48">
                    <w:rPr>
                      <w:rFonts w:ascii="Arial" w:hAnsi="Arial" w:cs="Arial"/>
                      <w:sz w:val="22"/>
                    </w:rPr>
                    <w:t xml:space="preserve"> ses demandes d’informations complémentaires, sont publiés sur le site et remplacent les dossiers initialement reçus. Leurs traductions en anglais ou en français sont également publiées sur le site dès qu’elles sont disponibles.</w:t>
                  </w:r>
                </w:p>
              </w:tc>
            </w:tr>
            <w:tr w:rsidR="0088350F" w:rsidRPr="001A1E48" w14:paraId="542655B6" w14:textId="77777777" w:rsidTr="00D2091F">
              <w:trPr>
                <w:cantSplit/>
              </w:trPr>
              <w:tc>
                <w:tcPr>
                  <w:tcW w:w="1512" w:type="dxa"/>
                  <w:shd w:val="clear" w:color="auto" w:fill="FFFFFF"/>
                </w:tcPr>
                <w:p w14:paraId="4161BE39"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31 janvier</w:t>
                  </w:r>
                </w:p>
                <w:p w14:paraId="5DCB67D9" w14:textId="77777777" w:rsidR="0088350F" w:rsidRPr="001A1E48" w:rsidRDefault="0088350F" w:rsidP="006C5D46">
                  <w:pPr>
                    <w:spacing w:before="60" w:after="60"/>
                    <w:jc w:val="right"/>
                    <w:rPr>
                      <w:rFonts w:ascii="Arial" w:hAnsi="Arial" w:cs="Arial"/>
                      <w:sz w:val="22"/>
                      <w:szCs w:val="22"/>
                    </w:rPr>
                  </w:pPr>
                  <w:r w:rsidRPr="001A1E48">
                    <w:rPr>
                      <w:rFonts w:ascii="Arial" w:hAnsi="Arial" w:cs="Arial"/>
                      <w:sz w:val="22"/>
                    </w:rPr>
                    <w:t>année 2</w:t>
                  </w:r>
                </w:p>
              </w:tc>
              <w:tc>
                <w:tcPr>
                  <w:tcW w:w="4967" w:type="dxa"/>
                  <w:shd w:val="clear" w:color="auto" w:fill="FFFFFF"/>
                </w:tcPr>
                <w:p w14:paraId="5F5BD32F" w14:textId="77777777" w:rsidR="0088350F" w:rsidRPr="001A1E48" w:rsidRDefault="0088350F" w:rsidP="006C5D46">
                  <w:pPr>
                    <w:spacing w:before="60" w:after="60"/>
                    <w:jc w:val="both"/>
                    <w:rPr>
                      <w:rFonts w:ascii="Arial" w:hAnsi="Arial" w:cs="Arial"/>
                      <w:sz w:val="22"/>
                    </w:rPr>
                  </w:pPr>
                  <w:r w:rsidRPr="001A1E48">
                    <w:rPr>
                      <w:rFonts w:ascii="Arial" w:hAnsi="Arial" w:cs="Arial"/>
                      <w:sz w:val="22"/>
                    </w:rPr>
                    <w:t>Aucun changement.</w:t>
                  </w:r>
                </w:p>
                <w:p w14:paraId="60C1ACBB" w14:textId="77777777" w:rsidR="0088350F" w:rsidRPr="001A1E48" w:rsidRDefault="0088350F" w:rsidP="006C5D46">
                  <w:pPr>
                    <w:spacing w:before="60" w:after="60"/>
                    <w:jc w:val="both"/>
                    <w:rPr>
                      <w:rFonts w:ascii="Arial" w:hAnsi="Arial" w:cs="Arial"/>
                      <w:sz w:val="22"/>
                      <w:szCs w:val="22"/>
                    </w:rPr>
                  </w:pPr>
                </w:p>
                <w:p w14:paraId="010C690A" w14:textId="77777777" w:rsidR="0088350F" w:rsidRPr="001A1E48" w:rsidRDefault="0088350F" w:rsidP="006C5D46">
                  <w:pPr>
                    <w:spacing w:before="60" w:after="60"/>
                    <w:jc w:val="both"/>
                    <w:rPr>
                      <w:rFonts w:ascii="Arial" w:hAnsi="Arial" w:cs="Arial"/>
                      <w:sz w:val="22"/>
                      <w:szCs w:val="22"/>
                    </w:rPr>
                  </w:pPr>
                </w:p>
              </w:tc>
            </w:tr>
          </w:tbl>
          <w:p w14:paraId="5DB2FFFB" w14:textId="77777777" w:rsidR="0088350F" w:rsidRPr="001A1E48" w:rsidRDefault="0088350F" w:rsidP="006C5D46">
            <w:pPr>
              <w:spacing w:before="120" w:after="120"/>
              <w:jc w:val="both"/>
              <w:rPr>
                <w:rFonts w:ascii="Arial" w:hAnsi="Arial" w:cs="Arial"/>
                <w:sz w:val="22"/>
                <w:szCs w:val="22"/>
              </w:rPr>
            </w:pPr>
          </w:p>
        </w:tc>
      </w:tr>
      <w:tr w:rsidR="0088350F" w:rsidRPr="001A1E48" w14:paraId="62BF94E2" w14:textId="77777777" w:rsidTr="0012385F">
        <w:trPr>
          <w:cantSplit/>
        </w:trPr>
        <w:tc>
          <w:tcPr>
            <w:tcW w:w="308" w:type="pct"/>
            <w:tcBorders>
              <w:top w:val="single" w:sz="4" w:space="0" w:color="auto"/>
              <w:left w:val="single" w:sz="4" w:space="0" w:color="auto"/>
              <w:bottom w:val="single" w:sz="4" w:space="0" w:color="auto"/>
              <w:right w:val="single" w:sz="4" w:space="0" w:color="auto"/>
            </w:tcBorders>
          </w:tcPr>
          <w:p w14:paraId="770499DE" w14:textId="77777777" w:rsidR="0088350F" w:rsidRPr="001A1E48" w:rsidRDefault="0088350F" w:rsidP="00F62EDB">
            <w:pPr>
              <w:spacing w:before="120" w:after="120"/>
              <w:rPr>
                <w:rFonts w:ascii="Arial" w:hAnsi="Arial" w:cs="Arial"/>
                <w:sz w:val="22"/>
              </w:rPr>
            </w:pPr>
            <w:r w:rsidRPr="001A1E48">
              <w:rPr>
                <w:rFonts w:ascii="Arial" w:hAnsi="Arial" w:cs="Arial"/>
                <w:sz w:val="22"/>
              </w:rPr>
              <w:lastRenderedPageBreak/>
              <w:t>55</w:t>
            </w:r>
          </w:p>
        </w:tc>
        <w:tc>
          <w:tcPr>
            <w:tcW w:w="2155" w:type="pct"/>
            <w:tcBorders>
              <w:top w:val="single" w:sz="4" w:space="0" w:color="auto"/>
              <w:left w:val="single" w:sz="4" w:space="0" w:color="auto"/>
              <w:bottom w:val="single" w:sz="4" w:space="0" w:color="auto"/>
              <w:right w:val="single" w:sz="4" w:space="0" w:color="auto"/>
            </w:tcBorders>
          </w:tcPr>
          <w:tbl>
            <w:tblPr>
              <w:tblStyle w:val="TableGrid"/>
              <w:tblW w:w="6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4"/>
              <w:gridCol w:w="4803"/>
            </w:tblGrid>
            <w:tr w:rsidR="0088350F" w:rsidRPr="001A1E48" w14:paraId="353D157F" w14:textId="77777777" w:rsidTr="00D2091F">
              <w:trPr>
                <w:cantSplit/>
              </w:trPr>
              <w:tc>
                <w:tcPr>
                  <w:tcW w:w="1364" w:type="dxa"/>
                </w:tcPr>
                <w:p w14:paraId="068FDF06"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Phase 2 :</w:t>
                  </w:r>
                </w:p>
              </w:tc>
              <w:tc>
                <w:tcPr>
                  <w:tcW w:w="4803" w:type="dxa"/>
                </w:tcPr>
                <w:p w14:paraId="586BA8F1"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Évaluation</w:t>
                  </w:r>
                </w:p>
              </w:tc>
            </w:tr>
            <w:tr w:rsidR="0088350F" w:rsidRPr="001A1E48" w14:paraId="5A30EDFB" w14:textId="77777777" w:rsidTr="00D2091F">
              <w:trPr>
                <w:cantSplit/>
              </w:trPr>
              <w:tc>
                <w:tcPr>
                  <w:tcW w:w="1364" w:type="dxa"/>
                </w:tcPr>
                <w:p w14:paraId="036E6ADA"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décembre année 1 à mai année 2</w:t>
                  </w:r>
                </w:p>
              </w:tc>
              <w:tc>
                <w:tcPr>
                  <w:tcW w:w="4803" w:type="dxa"/>
                </w:tcPr>
                <w:p w14:paraId="3E05EC23"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Évaluation individuelle des dossiers par les membres de l’Organe d’évaluation</w:t>
                  </w:r>
                </w:p>
                <w:p w14:paraId="0440C460" w14:textId="77777777" w:rsidR="0088350F" w:rsidRPr="001A1E48" w:rsidRDefault="0088350F" w:rsidP="00DD6279">
                  <w:pPr>
                    <w:spacing w:before="60"/>
                    <w:jc w:val="both"/>
                    <w:rPr>
                      <w:rFonts w:ascii="Arial" w:hAnsi="Arial" w:cs="Arial"/>
                      <w:sz w:val="22"/>
                      <w:szCs w:val="22"/>
                    </w:rPr>
                  </w:pPr>
                </w:p>
                <w:p w14:paraId="43BA3931" w14:textId="77777777" w:rsidR="0088350F" w:rsidRPr="001A1E48" w:rsidRDefault="0088350F" w:rsidP="00DD6279">
                  <w:pPr>
                    <w:jc w:val="both"/>
                    <w:rPr>
                      <w:rFonts w:ascii="Arial" w:hAnsi="Arial" w:cs="Arial"/>
                      <w:sz w:val="22"/>
                      <w:szCs w:val="22"/>
                    </w:rPr>
                  </w:pPr>
                </w:p>
              </w:tc>
            </w:tr>
            <w:tr w:rsidR="0088350F" w:rsidRPr="001A1E48" w14:paraId="649F87A9" w14:textId="77777777" w:rsidTr="00D2091F">
              <w:trPr>
                <w:cantSplit/>
              </w:trPr>
              <w:tc>
                <w:tcPr>
                  <w:tcW w:w="1364" w:type="dxa"/>
                </w:tcPr>
                <w:p w14:paraId="2226A694"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 xml:space="preserve">juin </w:t>
                  </w:r>
                </w:p>
                <w:p w14:paraId="3FD140ED"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année 2</w:t>
                  </w:r>
                </w:p>
              </w:tc>
              <w:tc>
                <w:tcPr>
                  <w:tcW w:w="4803" w:type="dxa"/>
                </w:tcPr>
                <w:p w14:paraId="59B490AC"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 xml:space="preserve">Réunion au cours de laquelle l’Organe d’évaluation achève collectivement l’évaluation des dossiers et décide lesquels seront concernés par le processus de dialogue. Seule l’évaluation des dossiers inclus dans le processus de dialogue restera en attente de validation jusqu’à la réunion finale de l’Organe d’évaluation. </w:t>
                  </w:r>
                </w:p>
                <w:p w14:paraId="7F1F08BF"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Le processus de dialogue est engagé lorsque l’Organe d’évaluation estime qu’un court processus de questions-réponses avec le ou les États soumissionnaires, mené par écrit par l’intermédiaire du Secrétariat, pourrait influencer le résultat de son évaluation.</w:t>
                  </w:r>
                </w:p>
              </w:tc>
            </w:tr>
            <w:tr w:rsidR="0088350F" w:rsidRPr="001A1E48" w14:paraId="63209958" w14:textId="77777777" w:rsidTr="00D2091F">
              <w:trPr>
                <w:cantSplit/>
              </w:trPr>
              <w:tc>
                <w:tcPr>
                  <w:tcW w:w="1364" w:type="dxa"/>
                </w:tcPr>
                <w:p w14:paraId="57245D66"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Deux semaines après la réunion de juin année 2</w:t>
                  </w:r>
                </w:p>
              </w:tc>
              <w:tc>
                <w:tcPr>
                  <w:tcW w:w="4803" w:type="dxa"/>
                </w:tcPr>
                <w:p w14:paraId="291FE753"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 xml:space="preserve">Date limite à laquelle l’Organe d’évaluation devra transmettre, par l’intermédiaire du Secrétariat, ses questions aux États parties concernés par le processus de dialogue, dans l’une des deux langues de travail de la Convention. </w:t>
                  </w:r>
                </w:p>
                <w:p w14:paraId="47FA29C1"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Les États parties devront répondre aux demandes de l’Organe d’évaluation, par l’intermédiaire du Secrétariat, dans un délai de quatre semaines à compter de la réception de la lettre, dans les deux langues de travail de la Convention</w:t>
                  </w:r>
                </w:p>
              </w:tc>
            </w:tr>
            <w:tr w:rsidR="0088350F" w:rsidRPr="001A1E48" w14:paraId="1B6D92DE" w14:textId="77777777" w:rsidTr="00D2091F">
              <w:trPr>
                <w:cantSplit/>
              </w:trPr>
              <w:tc>
                <w:tcPr>
                  <w:tcW w:w="1364" w:type="dxa"/>
                </w:tcPr>
                <w:p w14:paraId="74A7A2B3"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 xml:space="preserve">Au plus tard en </w:t>
                  </w:r>
                  <w:r w:rsidRPr="001A1E48">
                    <w:rPr>
                      <w:rFonts w:ascii="Arial" w:hAnsi="Arial" w:cs="Arial"/>
                      <w:sz w:val="22"/>
                    </w:rPr>
                    <w:lastRenderedPageBreak/>
                    <w:t>septembre année 2</w:t>
                  </w:r>
                </w:p>
              </w:tc>
              <w:tc>
                <w:tcPr>
                  <w:tcW w:w="4803" w:type="dxa"/>
                </w:tcPr>
                <w:p w14:paraId="5E19B625"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lastRenderedPageBreak/>
                    <w:t xml:space="preserve">Réunion au cours de laquelle l’Organe d’évaluation achève l’évaluation des dossiers </w:t>
                  </w:r>
                  <w:r w:rsidRPr="001A1E48">
                    <w:rPr>
                      <w:rFonts w:ascii="Arial" w:hAnsi="Arial" w:cs="Arial"/>
                      <w:sz w:val="22"/>
                    </w:rPr>
                    <w:lastRenderedPageBreak/>
                    <w:t>concernés par le processus de dialogue et son rapport de l’examen de tous les dossiers.</w:t>
                  </w:r>
                </w:p>
              </w:tc>
            </w:tr>
            <w:tr w:rsidR="0088350F" w:rsidRPr="001A1E48" w14:paraId="303A362F" w14:textId="77777777" w:rsidTr="00D2091F">
              <w:trPr>
                <w:cantSplit/>
              </w:trPr>
              <w:tc>
                <w:tcPr>
                  <w:tcW w:w="1364" w:type="dxa"/>
                </w:tcPr>
                <w:p w14:paraId="55A817ED"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lastRenderedPageBreak/>
                    <w:t>Quatre semaines avant la session du Comité</w:t>
                  </w:r>
                </w:p>
              </w:tc>
              <w:tc>
                <w:tcPr>
                  <w:tcW w:w="4803" w:type="dxa"/>
                </w:tcPr>
                <w:p w14:paraId="2CAAD1AA"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Le Secrétariat transmet aux membres du Comité les rapports d’évaluation et les rend disponibles en ligne à des fins de consultation.</w:t>
                  </w:r>
                </w:p>
              </w:tc>
            </w:tr>
          </w:tbl>
          <w:p w14:paraId="443D713B" w14:textId="77777777" w:rsidR="0088350F" w:rsidRPr="001A1E48" w:rsidRDefault="0088350F" w:rsidP="00F62EDB">
            <w:pPr>
              <w:spacing w:before="60" w:after="60"/>
              <w:jc w:val="right"/>
              <w:rPr>
                <w:rFonts w:ascii="Arial" w:hAnsi="Arial" w:cs="Arial"/>
                <w:sz w:val="22"/>
              </w:rPr>
            </w:pPr>
          </w:p>
        </w:tc>
        <w:tc>
          <w:tcPr>
            <w:tcW w:w="277" w:type="pct"/>
            <w:gridSpan w:val="2"/>
            <w:tcBorders>
              <w:top w:val="single" w:sz="4" w:space="0" w:color="auto"/>
              <w:left w:val="single" w:sz="4" w:space="0" w:color="auto"/>
              <w:bottom w:val="single" w:sz="4" w:space="0" w:color="auto"/>
              <w:right w:val="single" w:sz="4" w:space="0" w:color="auto"/>
            </w:tcBorders>
          </w:tcPr>
          <w:p w14:paraId="042DBB34" w14:textId="77777777" w:rsidR="0088350F" w:rsidRPr="001A1E48" w:rsidRDefault="0088350F" w:rsidP="00F62EDB">
            <w:pPr>
              <w:spacing w:before="120" w:after="120"/>
              <w:jc w:val="both"/>
              <w:rPr>
                <w:rFonts w:ascii="Arial" w:hAnsi="Arial" w:cs="Arial"/>
                <w:sz w:val="22"/>
              </w:rPr>
            </w:pPr>
          </w:p>
        </w:tc>
        <w:tc>
          <w:tcPr>
            <w:tcW w:w="2257" w:type="pct"/>
            <w:tcBorders>
              <w:top w:val="single" w:sz="4" w:space="0" w:color="auto"/>
              <w:left w:val="single" w:sz="4" w:space="0" w:color="auto"/>
              <w:bottom w:val="single" w:sz="4" w:space="0" w:color="auto"/>
              <w:right w:val="single" w:sz="4" w:space="0" w:color="auto"/>
            </w:tcBorders>
          </w:tcPr>
          <w:tbl>
            <w:tblPr>
              <w:tblStyle w:val="TableGrid"/>
              <w:tblW w:w="6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4"/>
              <w:gridCol w:w="4900"/>
            </w:tblGrid>
            <w:tr w:rsidR="0088350F" w:rsidRPr="001A1E48" w14:paraId="3C31CAA8" w14:textId="77777777" w:rsidTr="00D2091F">
              <w:trPr>
                <w:cantSplit/>
              </w:trPr>
              <w:tc>
                <w:tcPr>
                  <w:tcW w:w="1364" w:type="dxa"/>
                </w:tcPr>
                <w:p w14:paraId="69737A67"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Phase 2 :</w:t>
                  </w:r>
                </w:p>
              </w:tc>
              <w:tc>
                <w:tcPr>
                  <w:tcW w:w="4900" w:type="dxa"/>
                </w:tcPr>
                <w:p w14:paraId="0E2BAA52"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Aucun changement.</w:t>
                  </w:r>
                </w:p>
              </w:tc>
            </w:tr>
            <w:tr w:rsidR="0088350F" w:rsidRPr="001A1E48" w14:paraId="2AEEB6C0" w14:textId="77777777" w:rsidTr="00A87092">
              <w:trPr>
                <w:cantSplit/>
              </w:trPr>
              <w:tc>
                <w:tcPr>
                  <w:tcW w:w="1364" w:type="dxa"/>
                  <w:shd w:val="clear" w:color="auto" w:fill="EAF1DD" w:themeFill="accent3" w:themeFillTint="33"/>
                </w:tcPr>
                <w:p w14:paraId="5D3851B7"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 xml:space="preserve">décembre année 1 à </w:t>
                  </w:r>
                  <w:r w:rsidRPr="001A1E48">
                    <w:rPr>
                      <w:rFonts w:ascii="Arial" w:hAnsi="Arial" w:cs="Arial"/>
                      <w:strike/>
                      <w:sz w:val="22"/>
                    </w:rPr>
                    <w:t>mai</w:t>
                  </w:r>
                  <w:r w:rsidRPr="001A1E48">
                    <w:rPr>
                      <w:rFonts w:ascii="Arial" w:hAnsi="Arial" w:cs="Arial"/>
                      <w:sz w:val="22"/>
                    </w:rPr>
                    <w:t xml:space="preserve"> </w:t>
                  </w:r>
                  <w:r w:rsidRPr="001A1E48">
                    <w:rPr>
                      <w:rFonts w:ascii="Arial" w:hAnsi="Arial" w:cs="Arial"/>
                      <w:b/>
                      <w:bCs/>
                      <w:sz w:val="22"/>
                      <w:u w:val="single"/>
                    </w:rPr>
                    <w:t>juin</w:t>
                  </w:r>
                  <w:r w:rsidRPr="001A1E48">
                    <w:rPr>
                      <w:rFonts w:ascii="Arial" w:hAnsi="Arial" w:cs="Arial"/>
                      <w:sz w:val="22"/>
                    </w:rPr>
                    <w:t xml:space="preserve"> année 2</w:t>
                  </w:r>
                </w:p>
              </w:tc>
              <w:tc>
                <w:tcPr>
                  <w:tcW w:w="4900" w:type="dxa"/>
                  <w:shd w:val="clear" w:color="auto" w:fill="EAF1DD" w:themeFill="accent3" w:themeFillTint="33"/>
                </w:tcPr>
                <w:p w14:paraId="54A3CCA5"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Évaluation individuelle des dossiers par les membres de l’Organe d’évaluation.</w:t>
                  </w:r>
                </w:p>
              </w:tc>
            </w:tr>
            <w:tr w:rsidR="0088350F" w:rsidRPr="001A1E48" w14:paraId="23C7C3B2" w14:textId="77777777" w:rsidTr="00D2091F">
              <w:trPr>
                <w:cantSplit/>
              </w:trPr>
              <w:tc>
                <w:tcPr>
                  <w:tcW w:w="1364" w:type="dxa"/>
                </w:tcPr>
                <w:p w14:paraId="22E5B14E"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 xml:space="preserve">juin </w:t>
                  </w:r>
                </w:p>
                <w:p w14:paraId="60CFB0BC"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année 2</w:t>
                  </w:r>
                </w:p>
              </w:tc>
              <w:tc>
                <w:tcPr>
                  <w:tcW w:w="4900" w:type="dxa"/>
                </w:tcPr>
                <w:p w14:paraId="1ABC0D5E"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Aucun changement.</w:t>
                  </w:r>
                </w:p>
                <w:p w14:paraId="3B59864C" w14:textId="77777777" w:rsidR="0088350F" w:rsidRPr="001A1E48" w:rsidRDefault="0088350F" w:rsidP="00DD6279">
                  <w:pPr>
                    <w:spacing w:before="60" w:after="60"/>
                    <w:jc w:val="both"/>
                    <w:rPr>
                      <w:rFonts w:ascii="Arial" w:hAnsi="Arial" w:cs="Arial"/>
                      <w:sz w:val="22"/>
                      <w:szCs w:val="22"/>
                    </w:rPr>
                  </w:pPr>
                </w:p>
                <w:p w14:paraId="7481DF75" w14:textId="77777777" w:rsidR="0088350F" w:rsidRPr="001A1E48" w:rsidRDefault="0088350F" w:rsidP="00DD6279">
                  <w:pPr>
                    <w:spacing w:before="60" w:after="60"/>
                    <w:jc w:val="both"/>
                    <w:rPr>
                      <w:rFonts w:ascii="Arial" w:hAnsi="Arial" w:cs="Arial"/>
                      <w:sz w:val="22"/>
                      <w:szCs w:val="22"/>
                    </w:rPr>
                  </w:pPr>
                </w:p>
                <w:p w14:paraId="35668124" w14:textId="77777777" w:rsidR="0088350F" w:rsidRPr="001A1E48" w:rsidRDefault="0088350F" w:rsidP="00DD6279">
                  <w:pPr>
                    <w:spacing w:before="60" w:after="60"/>
                    <w:jc w:val="both"/>
                    <w:rPr>
                      <w:rFonts w:ascii="Arial" w:hAnsi="Arial" w:cs="Arial"/>
                      <w:sz w:val="22"/>
                      <w:szCs w:val="22"/>
                    </w:rPr>
                  </w:pPr>
                </w:p>
                <w:p w14:paraId="387522D0" w14:textId="77777777" w:rsidR="0088350F" w:rsidRPr="001A1E48" w:rsidRDefault="0088350F" w:rsidP="00DD6279">
                  <w:pPr>
                    <w:spacing w:before="60" w:after="60"/>
                    <w:jc w:val="both"/>
                    <w:rPr>
                      <w:rFonts w:ascii="Arial" w:hAnsi="Arial" w:cs="Arial"/>
                      <w:sz w:val="22"/>
                      <w:szCs w:val="22"/>
                    </w:rPr>
                  </w:pPr>
                </w:p>
                <w:p w14:paraId="00C54C26" w14:textId="77777777" w:rsidR="0088350F" w:rsidRPr="001A1E48" w:rsidRDefault="0088350F" w:rsidP="00DD6279">
                  <w:pPr>
                    <w:spacing w:before="60" w:after="60"/>
                    <w:jc w:val="both"/>
                    <w:rPr>
                      <w:rFonts w:ascii="Arial" w:hAnsi="Arial" w:cs="Arial"/>
                      <w:sz w:val="22"/>
                      <w:szCs w:val="22"/>
                    </w:rPr>
                  </w:pPr>
                </w:p>
                <w:p w14:paraId="2C070554" w14:textId="77777777" w:rsidR="0088350F" w:rsidRPr="001A1E48" w:rsidRDefault="0088350F" w:rsidP="00DD6279">
                  <w:pPr>
                    <w:spacing w:before="60" w:after="60"/>
                    <w:jc w:val="both"/>
                    <w:rPr>
                      <w:rFonts w:ascii="Arial" w:hAnsi="Arial" w:cs="Arial"/>
                      <w:sz w:val="22"/>
                      <w:szCs w:val="22"/>
                    </w:rPr>
                  </w:pPr>
                </w:p>
                <w:p w14:paraId="246431D9" w14:textId="77777777" w:rsidR="0088350F" w:rsidRPr="001A1E48" w:rsidRDefault="0088350F" w:rsidP="00DD6279">
                  <w:pPr>
                    <w:spacing w:before="60" w:after="60"/>
                    <w:jc w:val="both"/>
                    <w:rPr>
                      <w:rFonts w:ascii="Arial" w:hAnsi="Arial" w:cs="Arial"/>
                      <w:sz w:val="22"/>
                      <w:szCs w:val="22"/>
                    </w:rPr>
                  </w:pPr>
                </w:p>
                <w:p w14:paraId="32D91801" w14:textId="77777777" w:rsidR="0088350F" w:rsidRPr="001A1E48" w:rsidRDefault="0088350F" w:rsidP="00DD6279">
                  <w:pPr>
                    <w:spacing w:before="60" w:after="60"/>
                    <w:jc w:val="both"/>
                    <w:rPr>
                      <w:rFonts w:ascii="Arial" w:hAnsi="Arial" w:cs="Arial"/>
                      <w:sz w:val="22"/>
                      <w:szCs w:val="22"/>
                    </w:rPr>
                  </w:pPr>
                </w:p>
                <w:p w14:paraId="4D7AA91B" w14:textId="77777777" w:rsidR="0088350F" w:rsidRPr="001A1E48" w:rsidRDefault="0088350F" w:rsidP="00DD6279">
                  <w:pPr>
                    <w:spacing w:before="60" w:after="60"/>
                    <w:jc w:val="both"/>
                    <w:rPr>
                      <w:rFonts w:ascii="Arial" w:hAnsi="Arial" w:cs="Arial"/>
                      <w:sz w:val="22"/>
                      <w:szCs w:val="22"/>
                    </w:rPr>
                  </w:pPr>
                </w:p>
                <w:p w14:paraId="75B63E9E" w14:textId="77777777" w:rsidR="0088350F" w:rsidRPr="001A1E48" w:rsidRDefault="0088350F" w:rsidP="00DD6279">
                  <w:pPr>
                    <w:spacing w:before="60" w:after="60"/>
                    <w:jc w:val="both"/>
                    <w:rPr>
                      <w:rFonts w:ascii="Arial" w:hAnsi="Arial" w:cs="Arial"/>
                      <w:sz w:val="22"/>
                      <w:szCs w:val="22"/>
                    </w:rPr>
                  </w:pPr>
                </w:p>
                <w:p w14:paraId="6B8D38C5" w14:textId="77777777" w:rsidR="0088350F" w:rsidRPr="001A1E48" w:rsidRDefault="0088350F" w:rsidP="00DD6279">
                  <w:pPr>
                    <w:spacing w:before="60" w:after="60"/>
                    <w:jc w:val="both"/>
                    <w:rPr>
                      <w:rFonts w:ascii="Arial" w:hAnsi="Arial" w:cs="Arial"/>
                      <w:sz w:val="22"/>
                      <w:szCs w:val="22"/>
                    </w:rPr>
                  </w:pPr>
                </w:p>
              </w:tc>
            </w:tr>
            <w:tr w:rsidR="0088350F" w:rsidRPr="001A1E48" w14:paraId="0E173D78" w14:textId="77777777" w:rsidTr="00D2091F">
              <w:trPr>
                <w:cantSplit/>
              </w:trPr>
              <w:tc>
                <w:tcPr>
                  <w:tcW w:w="1364" w:type="dxa"/>
                </w:tcPr>
                <w:p w14:paraId="41AB4D52"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Deux semaines après la réunion de juin année 2</w:t>
                  </w:r>
                </w:p>
              </w:tc>
              <w:tc>
                <w:tcPr>
                  <w:tcW w:w="4900" w:type="dxa"/>
                </w:tcPr>
                <w:p w14:paraId="63C20B78"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Aucun changement.</w:t>
                  </w:r>
                </w:p>
                <w:p w14:paraId="263EDBC7" w14:textId="77777777" w:rsidR="0088350F" w:rsidRPr="001A1E48" w:rsidRDefault="0088350F" w:rsidP="00DD6279">
                  <w:pPr>
                    <w:spacing w:before="60" w:after="60"/>
                    <w:jc w:val="both"/>
                    <w:rPr>
                      <w:rFonts w:ascii="Arial" w:hAnsi="Arial" w:cs="Arial"/>
                      <w:sz w:val="22"/>
                      <w:szCs w:val="22"/>
                    </w:rPr>
                  </w:pPr>
                </w:p>
                <w:p w14:paraId="54822B52" w14:textId="77777777" w:rsidR="0088350F" w:rsidRPr="001A1E48" w:rsidRDefault="0088350F" w:rsidP="00DD6279">
                  <w:pPr>
                    <w:spacing w:before="60" w:after="60"/>
                    <w:jc w:val="both"/>
                    <w:rPr>
                      <w:rFonts w:ascii="Arial" w:hAnsi="Arial" w:cs="Arial"/>
                      <w:sz w:val="22"/>
                      <w:szCs w:val="22"/>
                    </w:rPr>
                  </w:pPr>
                </w:p>
                <w:p w14:paraId="20C4D450" w14:textId="77777777" w:rsidR="0088350F" w:rsidRPr="001A1E48" w:rsidRDefault="0088350F" w:rsidP="00DD6279">
                  <w:pPr>
                    <w:spacing w:before="60" w:after="60"/>
                    <w:jc w:val="both"/>
                    <w:rPr>
                      <w:rFonts w:ascii="Arial" w:hAnsi="Arial" w:cs="Arial"/>
                      <w:sz w:val="22"/>
                      <w:szCs w:val="22"/>
                    </w:rPr>
                  </w:pPr>
                </w:p>
                <w:p w14:paraId="3A11CDA4" w14:textId="77777777" w:rsidR="0088350F" w:rsidRPr="001A1E48" w:rsidRDefault="0088350F" w:rsidP="00DD6279">
                  <w:pPr>
                    <w:spacing w:before="60" w:after="60"/>
                    <w:jc w:val="both"/>
                    <w:rPr>
                      <w:rFonts w:ascii="Arial" w:hAnsi="Arial" w:cs="Arial"/>
                      <w:sz w:val="22"/>
                      <w:szCs w:val="22"/>
                    </w:rPr>
                  </w:pPr>
                </w:p>
                <w:p w14:paraId="580AD87B" w14:textId="77777777" w:rsidR="0088350F" w:rsidRPr="001A1E48" w:rsidRDefault="0088350F" w:rsidP="00DD6279">
                  <w:pPr>
                    <w:spacing w:before="60" w:after="60"/>
                    <w:jc w:val="both"/>
                    <w:rPr>
                      <w:rFonts w:ascii="Arial" w:hAnsi="Arial" w:cs="Arial"/>
                      <w:sz w:val="22"/>
                      <w:szCs w:val="22"/>
                    </w:rPr>
                  </w:pPr>
                </w:p>
                <w:p w14:paraId="331FC099" w14:textId="77777777" w:rsidR="0088350F" w:rsidRPr="001A1E48" w:rsidRDefault="0088350F" w:rsidP="00DD6279">
                  <w:pPr>
                    <w:spacing w:before="60" w:after="60"/>
                    <w:jc w:val="both"/>
                    <w:rPr>
                      <w:rFonts w:ascii="Arial" w:hAnsi="Arial" w:cs="Arial"/>
                      <w:sz w:val="22"/>
                      <w:szCs w:val="22"/>
                    </w:rPr>
                  </w:pPr>
                </w:p>
                <w:p w14:paraId="642C8638" w14:textId="77777777" w:rsidR="0088350F" w:rsidRPr="001A1E48" w:rsidRDefault="0088350F" w:rsidP="00DD6279">
                  <w:pPr>
                    <w:spacing w:before="60" w:after="60"/>
                    <w:jc w:val="both"/>
                    <w:rPr>
                      <w:rFonts w:ascii="Arial" w:hAnsi="Arial" w:cs="Arial"/>
                      <w:sz w:val="22"/>
                      <w:szCs w:val="22"/>
                    </w:rPr>
                  </w:pPr>
                </w:p>
                <w:p w14:paraId="1B260DFA" w14:textId="77777777" w:rsidR="0088350F" w:rsidRPr="001A1E48" w:rsidRDefault="0088350F" w:rsidP="00DD6279">
                  <w:pPr>
                    <w:spacing w:before="60" w:after="60"/>
                    <w:jc w:val="both"/>
                    <w:rPr>
                      <w:rFonts w:ascii="Arial" w:hAnsi="Arial" w:cs="Arial"/>
                      <w:sz w:val="22"/>
                      <w:szCs w:val="22"/>
                    </w:rPr>
                  </w:pPr>
                </w:p>
                <w:p w14:paraId="1DF2FE6C" w14:textId="77777777" w:rsidR="0088350F" w:rsidRPr="001A1E48" w:rsidRDefault="0088350F" w:rsidP="00DD6279">
                  <w:pPr>
                    <w:spacing w:before="60"/>
                    <w:jc w:val="both"/>
                    <w:rPr>
                      <w:rFonts w:ascii="Arial" w:hAnsi="Arial" w:cs="Arial"/>
                      <w:sz w:val="22"/>
                      <w:szCs w:val="22"/>
                    </w:rPr>
                  </w:pPr>
                </w:p>
              </w:tc>
            </w:tr>
            <w:tr w:rsidR="0088350F" w:rsidRPr="001A1E48" w14:paraId="5C03FF52" w14:textId="77777777" w:rsidTr="00D2091F">
              <w:trPr>
                <w:cantSplit/>
              </w:trPr>
              <w:tc>
                <w:tcPr>
                  <w:tcW w:w="1364" w:type="dxa"/>
                </w:tcPr>
                <w:p w14:paraId="2C9DDBF8"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 xml:space="preserve">Au plus tard en </w:t>
                  </w:r>
                  <w:r w:rsidRPr="001A1E48">
                    <w:rPr>
                      <w:rFonts w:ascii="Arial" w:hAnsi="Arial" w:cs="Arial"/>
                      <w:sz w:val="22"/>
                    </w:rPr>
                    <w:lastRenderedPageBreak/>
                    <w:t>septembre année 2</w:t>
                  </w:r>
                </w:p>
              </w:tc>
              <w:tc>
                <w:tcPr>
                  <w:tcW w:w="4900" w:type="dxa"/>
                </w:tcPr>
                <w:p w14:paraId="3F0C757D"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lastRenderedPageBreak/>
                    <w:t>Aucun changement.</w:t>
                  </w:r>
                </w:p>
              </w:tc>
            </w:tr>
            <w:tr w:rsidR="0088350F" w:rsidRPr="001A1E48" w14:paraId="392BCCCE" w14:textId="77777777" w:rsidTr="00D2091F">
              <w:trPr>
                <w:cantSplit/>
              </w:trPr>
              <w:tc>
                <w:tcPr>
                  <w:tcW w:w="1364" w:type="dxa"/>
                </w:tcPr>
                <w:p w14:paraId="2066CE7F"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Quatre semaines avant la session du Comité</w:t>
                  </w:r>
                </w:p>
              </w:tc>
              <w:tc>
                <w:tcPr>
                  <w:tcW w:w="4900" w:type="dxa"/>
                </w:tcPr>
                <w:p w14:paraId="230CB295" w14:textId="01E5A76D"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Aucun changement</w:t>
                  </w:r>
                </w:p>
              </w:tc>
            </w:tr>
          </w:tbl>
          <w:p w14:paraId="605CCA09" w14:textId="77777777" w:rsidR="0088350F" w:rsidRPr="001A1E48" w:rsidRDefault="0088350F" w:rsidP="00F62EDB">
            <w:pPr>
              <w:spacing w:before="60" w:after="60"/>
              <w:jc w:val="right"/>
              <w:rPr>
                <w:rFonts w:ascii="Arial" w:hAnsi="Arial" w:cs="Arial"/>
                <w:sz w:val="22"/>
              </w:rPr>
            </w:pPr>
          </w:p>
        </w:tc>
      </w:tr>
      <w:tr w:rsidR="0088350F" w:rsidRPr="001A1E48" w14:paraId="784CA6B0" w14:textId="77777777" w:rsidTr="0012385F">
        <w:trPr>
          <w:cantSplit/>
        </w:trPr>
        <w:tc>
          <w:tcPr>
            <w:tcW w:w="308" w:type="pct"/>
            <w:tcBorders>
              <w:top w:val="single" w:sz="4" w:space="0" w:color="auto"/>
              <w:left w:val="single" w:sz="4" w:space="0" w:color="auto"/>
              <w:bottom w:val="single" w:sz="4" w:space="0" w:color="auto"/>
              <w:right w:val="single" w:sz="4" w:space="0" w:color="auto"/>
            </w:tcBorders>
          </w:tcPr>
          <w:p w14:paraId="6ABF853B" w14:textId="77777777" w:rsidR="0088350F" w:rsidRPr="001A1E48" w:rsidRDefault="0088350F" w:rsidP="00F62EDB">
            <w:pPr>
              <w:spacing w:before="120" w:after="120"/>
              <w:rPr>
                <w:rFonts w:ascii="Arial" w:hAnsi="Arial" w:cs="Arial"/>
                <w:sz w:val="22"/>
              </w:rPr>
            </w:pPr>
            <w:r w:rsidRPr="001A1E48">
              <w:rPr>
                <w:rFonts w:ascii="Arial" w:hAnsi="Arial" w:cs="Arial"/>
                <w:sz w:val="22"/>
              </w:rPr>
              <w:lastRenderedPageBreak/>
              <w:t>56.</w:t>
            </w:r>
          </w:p>
        </w:tc>
        <w:tc>
          <w:tcPr>
            <w:tcW w:w="2155" w:type="pct"/>
            <w:tcBorders>
              <w:top w:val="single" w:sz="4" w:space="0" w:color="auto"/>
              <w:left w:val="single" w:sz="4" w:space="0" w:color="auto"/>
              <w:bottom w:val="single" w:sz="4" w:space="0" w:color="auto"/>
              <w:right w:val="single" w:sz="4" w:space="0" w:color="auto"/>
            </w:tcBorders>
          </w:tcPr>
          <w:tbl>
            <w:tblPr>
              <w:tblStyle w:val="TableGrid"/>
              <w:tblW w:w="6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4"/>
              <w:gridCol w:w="4803"/>
            </w:tblGrid>
            <w:tr w:rsidR="0088350F" w:rsidRPr="001A1E48" w14:paraId="1158C874" w14:textId="77777777" w:rsidTr="00D2091F">
              <w:trPr>
                <w:cantSplit/>
              </w:trPr>
              <w:tc>
                <w:tcPr>
                  <w:tcW w:w="1364" w:type="dxa"/>
                </w:tcPr>
                <w:p w14:paraId="50670E2F"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Phase 3 :</w:t>
                  </w:r>
                </w:p>
              </w:tc>
              <w:tc>
                <w:tcPr>
                  <w:tcW w:w="4803" w:type="dxa"/>
                </w:tcPr>
                <w:p w14:paraId="1C98148B"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Examen</w:t>
                  </w:r>
                </w:p>
              </w:tc>
            </w:tr>
            <w:tr w:rsidR="0088350F" w:rsidRPr="001A1E48" w14:paraId="1FFC79A4" w14:textId="77777777" w:rsidTr="00D2091F">
              <w:trPr>
                <w:cantSplit/>
              </w:trPr>
              <w:tc>
                <w:tcPr>
                  <w:tcW w:w="1364" w:type="dxa"/>
                </w:tcPr>
                <w:p w14:paraId="160EC736"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novembre</w:t>
                  </w:r>
                </w:p>
                <w:p w14:paraId="4FFD1784"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année 2</w:t>
                  </w:r>
                </w:p>
              </w:tc>
              <w:tc>
                <w:tcPr>
                  <w:tcW w:w="4803" w:type="dxa"/>
                </w:tcPr>
                <w:p w14:paraId="3B7C05EF" w14:textId="7777777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Le Comité examine les candidatures, propositions et demandes et prend ses décisions.</w:t>
                  </w:r>
                </w:p>
              </w:tc>
            </w:tr>
          </w:tbl>
          <w:p w14:paraId="33D35DEC" w14:textId="77777777" w:rsidR="0088350F" w:rsidRPr="001A1E48" w:rsidRDefault="0088350F" w:rsidP="00F62EDB">
            <w:pPr>
              <w:spacing w:before="60" w:after="60"/>
              <w:jc w:val="right"/>
              <w:rPr>
                <w:rFonts w:ascii="Arial" w:hAnsi="Arial" w:cs="Arial"/>
                <w:sz w:val="22"/>
              </w:rPr>
            </w:pPr>
          </w:p>
        </w:tc>
        <w:tc>
          <w:tcPr>
            <w:tcW w:w="277" w:type="pct"/>
            <w:gridSpan w:val="2"/>
            <w:tcBorders>
              <w:top w:val="single" w:sz="4" w:space="0" w:color="auto"/>
              <w:left w:val="single" w:sz="4" w:space="0" w:color="auto"/>
              <w:bottom w:val="single" w:sz="4" w:space="0" w:color="auto"/>
              <w:right w:val="single" w:sz="4" w:space="0" w:color="auto"/>
            </w:tcBorders>
          </w:tcPr>
          <w:p w14:paraId="4EC6FC4D" w14:textId="77777777" w:rsidR="0088350F" w:rsidRPr="001A1E48" w:rsidRDefault="0088350F" w:rsidP="00F62EDB">
            <w:pPr>
              <w:spacing w:before="120" w:after="120"/>
              <w:jc w:val="both"/>
              <w:rPr>
                <w:rFonts w:ascii="Arial" w:hAnsi="Arial" w:cs="Arial"/>
                <w:sz w:val="22"/>
              </w:rPr>
            </w:pPr>
            <w:r w:rsidRPr="001A1E48">
              <w:rPr>
                <w:rFonts w:ascii="Arial" w:hAnsi="Arial" w:cs="Arial"/>
                <w:sz w:val="22"/>
              </w:rPr>
              <w:t>56.</w:t>
            </w:r>
          </w:p>
        </w:tc>
        <w:tc>
          <w:tcPr>
            <w:tcW w:w="2257" w:type="pct"/>
            <w:tcBorders>
              <w:top w:val="single" w:sz="4" w:space="0" w:color="auto"/>
              <w:left w:val="single" w:sz="4" w:space="0" w:color="auto"/>
              <w:bottom w:val="single" w:sz="4" w:space="0" w:color="auto"/>
              <w:right w:val="single" w:sz="4" w:space="0" w:color="auto"/>
            </w:tcBorders>
          </w:tcPr>
          <w:tbl>
            <w:tblPr>
              <w:tblStyle w:val="TableGrid"/>
              <w:tblW w:w="6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4"/>
              <w:gridCol w:w="4900"/>
            </w:tblGrid>
            <w:tr w:rsidR="0088350F" w:rsidRPr="001A1E48" w14:paraId="79AE3AE9" w14:textId="77777777" w:rsidTr="00D2091F">
              <w:trPr>
                <w:cantSplit/>
              </w:trPr>
              <w:tc>
                <w:tcPr>
                  <w:tcW w:w="1364" w:type="dxa"/>
                </w:tcPr>
                <w:p w14:paraId="42CA0072"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Phase 3 :</w:t>
                  </w:r>
                </w:p>
              </w:tc>
              <w:tc>
                <w:tcPr>
                  <w:tcW w:w="4900" w:type="dxa"/>
                </w:tcPr>
                <w:p w14:paraId="5A7FF386" w14:textId="6254ADC7" w:rsidR="0088350F" w:rsidRPr="001A1E48" w:rsidRDefault="0088350F" w:rsidP="00DD6279">
                  <w:pPr>
                    <w:spacing w:before="60" w:after="60"/>
                    <w:jc w:val="both"/>
                    <w:rPr>
                      <w:rFonts w:ascii="Arial" w:hAnsi="Arial" w:cs="Arial"/>
                      <w:sz w:val="22"/>
                      <w:szCs w:val="22"/>
                    </w:rPr>
                  </w:pPr>
                  <w:r w:rsidRPr="001A1E48">
                    <w:rPr>
                      <w:rFonts w:ascii="Arial" w:hAnsi="Arial" w:cs="Arial"/>
                      <w:sz w:val="22"/>
                    </w:rPr>
                    <w:t>Aucun changement</w:t>
                  </w:r>
                </w:p>
              </w:tc>
            </w:tr>
            <w:tr w:rsidR="0088350F" w:rsidRPr="001A1E48" w14:paraId="0E830C19" w14:textId="77777777" w:rsidTr="00D2091F">
              <w:trPr>
                <w:cantSplit/>
              </w:trPr>
              <w:tc>
                <w:tcPr>
                  <w:tcW w:w="1364" w:type="dxa"/>
                </w:tcPr>
                <w:p w14:paraId="2C16F7AE"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novembre</w:t>
                  </w:r>
                </w:p>
                <w:p w14:paraId="08288B95" w14:textId="77777777" w:rsidR="0088350F" w:rsidRPr="001A1E48" w:rsidRDefault="0088350F" w:rsidP="00DD6279">
                  <w:pPr>
                    <w:spacing w:before="60" w:after="60"/>
                    <w:jc w:val="right"/>
                    <w:rPr>
                      <w:rFonts w:ascii="Arial" w:hAnsi="Arial" w:cs="Arial"/>
                      <w:sz w:val="22"/>
                      <w:szCs w:val="22"/>
                    </w:rPr>
                  </w:pPr>
                  <w:r w:rsidRPr="001A1E48">
                    <w:rPr>
                      <w:rFonts w:ascii="Arial" w:hAnsi="Arial" w:cs="Arial"/>
                      <w:sz w:val="22"/>
                    </w:rPr>
                    <w:t>année 2</w:t>
                  </w:r>
                </w:p>
              </w:tc>
              <w:tc>
                <w:tcPr>
                  <w:tcW w:w="4900" w:type="dxa"/>
                </w:tcPr>
                <w:p w14:paraId="167F7D8B" w14:textId="659B9970" w:rsidR="0088350F" w:rsidRPr="001A1E48" w:rsidRDefault="0088350F" w:rsidP="00DD6279">
                  <w:pPr>
                    <w:spacing w:before="60" w:after="60"/>
                    <w:jc w:val="both"/>
                    <w:rPr>
                      <w:rFonts w:ascii="Arial" w:hAnsi="Arial" w:cs="Arial"/>
                      <w:sz w:val="22"/>
                    </w:rPr>
                  </w:pPr>
                  <w:r w:rsidRPr="001A1E48">
                    <w:rPr>
                      <w:rFonts w:ascii="Arial" w:hAnsi="Arial" w:cs="Arial"/>
                      <w:sz w:val="22"/>
                    </w:rPr>
                    <w:t>Aucun changement</w:t>
                  </w:r>
                </w:p>
                <w:p w14:paraId="33FFE9A1" w14:textId="77777777" w:rsidR="0088350F" w:rsidRPr="001A1E48" w:rsidRDefault="0088350F" w:rsidP="00DD6279">
                  <w:pPr>
                    <w:spacing w:before="60"/>
                    <w:jc w:val="both"/>
                    <w:rPr>
                      <w:rFonts w:ascii="Arial" w:hAnsi="Arial" w:cs="Arial"/>
                      <w:sz w:val="22"/>
                    </w:rPr>
                  </w:pPr>
                </w:p>
                <w:p w14:paraId="7BB29ECD" w14:textId="77777777" w:rsidR="0088350F" w:rsidRPr="001A1E48" w:rsidRDefault="0088350F" w:rsidP="00DD6279">
                  <w:pPr>
                    <w:jc w:val="both"/>
                    <w:rPr>
                      <w:rFonts w:ascii="Arial" w:hAnsi="Arial" w:cs="Arial"/>
                      <w:sz w:val="22"/>
                      <w:szCs w:val="22"/>
                    </w:rPr>
                  </w:pPr>
                </w:p>
              </w:tc>
            </w:tr>
          </w:tbl>
          <w:p w14:paraId="5473C4AB" w14:textId="77777777" w:rsidR="0088350F" w:rsidRPr="001A1E48" w:rsidRDefault="0088350F" w:rsidP="00F62EDB">
            <w:pPr>
              <w:spacing w:before="60" w:after="60"/>
              <w:jc w:val="right"/>
              <w:rPr>
                <w:rFonts w:ascii="Arial" w:hAnsi="Arial" w:cs="Arial"/>
                <w:sz w:val="22"/>
              </w:rPr>
            </w:pPr>
          </w:p>
        </w:tc>
      </w:tr>
      <w:tr w:rsidR="0088350F" w:rsidRPr="001A1E48" w14:paraId="53DAA006" w14:textId="77777777" w:rsidTr="0012385F">
        <w:trPr>
          <w:cantSplit/>
        </w:trPr>
        <w:tc>
          <w:tcPr>
            <w:tcW w:w="308" w:type="pct"/>
          </w:tcPr>
          <w:p w14:paraId="2FA3B496" w14:textId="77777777" w:rsidR="0088350F" w:rsidRPr="001A1E48" w:rsidRDefault="0088350F" w:rsidP="006C5D46">
            <w:pPr>
              <w:spacing w:before="120" w:after="120"/>
              <w:rPr>
                <w:rFonts w:ascii="Arial" w:hAnsi="Arial" w:cs="Arial"/>
                <w:color w:val="4F81BD" w:themeColor="accent1"/>
                <w:sz w:val="22"/>
                <w:szCs w:val="22"/>
              </w:rPr>
            </w:pPr>
            <w:r w:rsidRPr="001A1E48">
              <w:rPr>
                <w:rFonts w:ascii="Arial" w:hAnsi="Arial" w:cs="Arial"/>
                <w:b/>
                <w:color w:val="4F81BD" w:themeColor="accent1"/>
                <w:sz w:val="22"/>
              </w:rPr>
              <w:t>V.1</w:t>
            </w:r>
          </w:p>
        </w:tc>
        <w:tc>
          <w:tcPr>
            <w:tcW w:w="2155" w:type="pct"/>
          </w:tcPr>
          <w:p w14:paraId="3653A1B4" w14:textId="77777777" w:rsidR="0088350F" w:rsidRPr="001A1E48" w:rsidRDefault="0088350F" w:rsidP="006C5D46">
            <w:pPr>
              <w:spacing w:before="120" w:after="120"/>
              <w:jc w:val="both"/>
              <w:rPr>
                <w:rFonts w:ascii="Arial" w:hAnsi="Arial" w:cs="Arial"/>
                <w:color w:val="4F81BD" w:themeColor="accent1"/>
                <w:sz w:val="22"/>
                <w:szCs w:val="22"/>
              </w:rPr>
            </w:pPr>
            <w:r w:rsidRPr="001A1E48">
              <w:rPr>
                <w:rFonts w:ascii="Arial" w:hAnsi="Arial" w:cs="Arial"/>
                <w:b/>
                <w:color w:val="4F81BD" w:themeColor="accent1"/>
                <w:sz w:val="22"/>
              </w:rPr>
              <w:t>Rapports des États parties sur la mise en œuvre de la Convention</w:t>
            </w:r>
          </w:p>
        </w:tc>
        <w:tc>
          <w:tcPr>
            <w:tcW w:w="277" w:type="pct"/>
            <w:gridSpan w:val="2"/>
          </w:tcPr>
          <w:p w14:paraId="416F4D9B" w14:textId="77777777" w:rsidR="0088350F" w:rsidRPr="001A1E48" w:rsidRDefault="0088350F" w:rsidP="006C5D46">
            <w:pPr>
              <w:spacing w:before="120" w:after="120"/>
              <w:jc w:val="both"/>
              <w:rPr>
                <w:rFonts w:ascii="Arial" w:hAnsi="Arial" w:cs="Arial"/>
                <w:color w:val="4F81BD" w:themeColor="accent1"/>
                <w:sz w:val="22"/>
                <w:szCs w:val="22"/>
              </w:rPr>
            </w:pPr>
            <w:r w:rsidRPr="001A1E48">
              <w:rPr>
                <w:rFonts w:ascii="Arial" w:hAnsi="Arial" w:cs="Arial"/>
                <w:b/>
                <w:color w:val="4F81BD" w:themeColor="accent1"/>
                <w:sz w:val="22"/>
              </w:rPr>
              <w:t>V.1</w:t>
            </w:r>
          </w:p>
        </w:tc>
        <w:tc>
          <w:tcPr>
            <w:tcW w:w="2257" w:type="pct"/>
          </w:tcPr>
          <w:p w14:paraId="66011DA1" w14:textId="1D5A4EFB"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5F2F52EF" w14:textId="77777777" w:rsidTr="0012385F">
        <w:trPr>
          <w:cantSplit/>
        </w:trPr>
        <w:tc>
          <w:tcPr>
            <w:tcW w:w="308" w:type="pct"/>
          </w:tcPr>
          <w:p w14:paraId="0539EDA9"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151.</w:t>
            </w:r>
          </w:p>
        </w:tc>
        <w:tc>
          <w:tcPr>
            <w:tcW w:w="2155" w:type="pct"/>
          </w:tcPr>
          <w:p w14:paraId="1A5F19F4"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Chaque État partie à la Convention soumet périodiquement au Comité des rapports sur les dispositions juridiques, réglementaires et autres mesures prises pour la mise en œuvre de la Convention. Les États parties sont encouragés à compléter les données rassemblées sur la mise en œuvre de la Convention avec les informations fournies par des organisations non gouvernementales pertinentes.</w:t>
            </w:r>
          </w:p>
        </w:tc>
        <w:tc>
          <w:tcPr>
            <w:tcW w:w="277" w:type="pct"/>
            <w:gridSpan w:val="2"/>
          </w:tcPr>
          <w:p w14:paraId="4D7369E6" w14:textId="77777777" w:rsidR="0088350F" w:rsidRPr="001A1E48" w:rsidRDefault="0088350F" w:rsidP="006C5D46">
            <w:pPr>
              <w:spacing w:before="120" w:after="120"/>
              <w:ind w:right="175"/>
              <w:jc w:val="both"/>
              <w:rPr>
                <w:rFonts w:ascii="Arial" w:hAnsi="Arial" w:cs="Arial"/>
                <w:sz w:val="22"/>
                <w:szCs w:val="22"/>
              </w:rPr>
            </w:pPr>
            <w:r w:rsidRPr="001A1E48">
              <w:rPr>
                <w:rFonts w:ascii="Arial" w:hAnsi="Arial" w:cs="Arial"/>
                <w:sz w:val="22"/>
              </w:rPr>
              <w:t>151.</w:t>
            </w:r>
          </w:p>
        </w:tc>
        <w:tc>
          <w:tcPr>
            <w:tcW w:w="2257" w:type="pct"/>
          </w:tcPr>
          <w:p w14:paraId="5FB2889A" w14:textId="2C94BF3D" w:rsidR="0088350F" w:rsidRPr="001A1E48" w:rsidRDefault="0088350F" w:rsidP="006C5D46">
            <w:pPr>
              <w:spacing w:before="120" w:after="120"/>
              <w:ind w:right="175"/>
              <w:jc w:val="both"/>
              <w:rPr>
                <w:rFonts w:ascii="Arial" w:hAnsi="Arial" w:cs="Arial"/>
                <w:sz w:val="22"/>
                <w:szCs w:val="22"/>
              </w:rPr>
            </w:pPr>
            <w:r w:rsidRPr="001A1E48">
              <w:rPr>
                <w:rFonts w:ascii="Arial" w:hAnsi="Arial" w:cs="Arial"/>
                <w:sz w:val="22"/>
              </w:rPr>
              <w:t>Aucun changement</w:t>
            </w:r>
          </w:p>
        </w:tc>
      </w:tr>
      <w:tr w:rsidR="0088350F" w:rsidRPr="001A1E48" w14:paraId="579E0DA4" w14:textId="77777777" w:rsidTr="00A87092">
        <w:trPr>
          <w:cantSplit/>
        </w:trPr>
        <w:tc>
          <w:tcPr>
            <w:tcW w:w="308" w:type="pct"/>
          </w:tcPr>
          <w:p w14:paraId="358D969B"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lastRenderedPageBreak/>
              <w:t>152.</w:t>
            </w:r>
          </w:p>
        </w:tc>
        <w:tc>
          <w:tcPr>
            <w:tcW w:w="2155" w:type="pct"/>
          </w:tcPr>
          <w:p w14:paraId="13D794D9" w14:textId="77777777" w:rsidR="0088350F" w:rsidRPr="001A1E48" w:rsidRDefault="0088350F" w:rsidP="006C5D46">
            <w:pPr>
              <w:spacing w:before="120" w:after="120"/>
              <w:jc w:val="both"/>
              <w:rPr>
                <w:rFonts w:ascii="Arial" w:hAnsi="Arial" w:cs="Arial"/>
                <w:color w:val="000000"/>
                <w:sz w:val="22"/>
                <w:szCs w:val="22"/>
              </w:rPr>
            </w:pPr>
            <w:r w:rsidRPr="001A1E48">
              <w:rPr>
                <w:rFonts w:ascii="Arial" w:hAnsi="Arial" w:cs="Arial"/>
                <w:color w:val="000000"/>
                <w:sz w:val="22"/>
              </w:rPr>
              <w:t>Les États parties soumettent leurs rapports périodiques au Comité, au plus tard le 15 décembre, tous les six ans selon une rotation région par région. L’ordre de cette rotation est établi par le Comité au début du cycle de soumission des rapports périodiques de six ans. Les États parties utilisent le processus de soumission des rapports périodiques pour renforcer les mesures de suivi, ainsi que la coopération et les échanges actifs au niveau régional, afin d’assurer une sauvegarde efficace du patrimoine culturel immatériel. Le formulaire ICH-10 est utilisé pour ces rapports, il peut être rempli en ligne par chaque État partie (</w:t>
            </w:r>
            <w:hyperlink r:id="rId33" w:history="1">
              <w:r w:rsidRPr="001A1E48">
                <w:rPr>
                  <w:rFonts w:ascii="Arial" w:hAnsi="Arial" w:cs="Arial"/>
                  <w:b/>
                  <w:bCs/>
                  <w:color w:val="0000FF"/>
                  <w:sz w:val="22"/>
                  <w:u w:val="single"/>
                </w:rPr>
                <w:t>https://ich.unesco.org</w:t>
              </w:r>
            </w:hyperlink>
            <w:r w:rsidRPr="001A1E48">
              <w:rPr>
                <w:rFonts w:ascii="Arial" w:hAnsi="Arial" w:cs="Arial"/>
                <w:color w:val="000000"/>
                <w:sz w:val="22"/>
              </w:rPr>
              <w:t>), et il est révisé par le Secrétariat à intervalles appropriés.</w:t>
            </w:r>
          </w:p>
        </w:tc>
        <w:tc>
          <w:tcPr>
            <w:tcW w:w="277" w:type="pct"/>
            <w:gridSpan w:val="2"/>
          </w:tcPr>
          <w:p w14:paraId="507608D2" w14:textId="77777777" w:rsidR="0088350F" w:rsidRPr="001A1E48" w:rsidRDefault="0088350F" w:rsidP="006C5D46">
            <w:pPr>
              <w:spacing w:before="120" w:after="120"/>
              <w:jc w:val="both"/>
              <w:rPr>
                <w:rFonts w:ascii="Arial" w:hAnsi="Arial" w:cs="Arial"/>
                <w:color w:val="000000"/>
                <w:sz w:val="22"/>
                <w:szCs w:val="22"/>
              </w:rPr>
            </w:pPr>
            <w:r w:rsidRPr="001A1E48">
              <w:rPr>
                <w:rFonts w:ascii="Arial" w:hAnsi="Arial" w:cs="Arial"/>
                <w:sz w:val="22"/>
              </w:rPr>
              <w:t>152.</w:t>
            </w:r>
          </w:p>
        </w:tc>
        <w:tc>
          <w:tcPr>
            <w:tcW w:w="2257" w:type="pct"/>
            <w:shd w:val="clear" w:color="auto" w:fill="E1EBF7" w:themeFill="text2" w:themeFillTint="1A"/>
          </w:tcPr>
          <w:p w14:paraId="5B3D3EC6" w14:textId="77777777" w:rsidR="0088350F" w:rsidRPr="001A1E48" w:rsidRDefault="0088350F" w:rsidP="006C5D46">
            <w:pPr>
              <w:spacing w:before="120" w:after="120"/>
              <w:jc w:val="both"/>
              <w:rPr>
                <w:rFonts w:ascii="Arial" w:hAnsi="Arial" w:cs="Arial"/>
                <w:strike/>
                <w:color w:val="000000"/>
                <w:sz w:val="22"/>
                <w:szCs w:val="22"/>
              </w:rPr>
            </w:pPr>
            <w:r w:rsidRPr="001A1E48">
              <w:rPr>
                <w:rFonts w:ascii="Arial" w:hAnsi="Arial" w:cs="Arial"/>
                <w:color w:val="000000"/>
                <w:sz w:val="22"/>
              </w:rPr>
              <w:t xml:space="preserve">Les États parties soumettent leurs rapports périodiques au Comité, au plus tard le </w:t>
            </w:r>
            <w:r w:rsidRPr="001A1E48">
              <w:rPr>
                <w:rFonts w:ascii="Arial" w:hAnsi="Arial" w:cs="Arial"/>
                <w:strike/>
                <w:color w:val="000000"/>
                <w:sz w:val="22"/>
              </w:rPr>
              <w:t>15 décembre tous les six ans, selon une rotation région par région.</w:t>
            </w:r>
            <w:r w:rsidRPr="001A1E48">
              <w:rPr>
                <w:rFonts w:ascii="Arial" w:hAnsi="Arial" w:cs="Arial"/>
                <w:color w:val="000000"/>
                <w:sz w:val="22"/>
              </w:rPr>
              <w:t xml:space="preserve"> </w:t>
            </w:r>
            <w:r w:rsidRPr="001A1E48">
              <w:rPr>
                <w:rFonts w:ascii="Arial" w:hAnsi="Arial" w:cs="Arial"/>
                <w:b/>
                <w:color w:val="000000"/>
                <w:sz w:val="22"/>
                <w:u w:val="single"/>
              </w:rPr>
              <w:t>30 juin, tous les quatre ans, selon un calendrier établi par le Comité.</w:t>
            </w:r>
            <w:r w:rsidRPr="001A1E48">
              <w:rPr>
                <w:rFonts w:ascii="Arial" w:hAnsi="Arial" w:cs="Arial"/>
                <w:color w:val="000000"/>
                <w:sz w:val="22"/>
              </w:rPr>
              <w:t xml:space="preserve"> </w:t>
            </w:r>
            <w:r w:rsidRPr="001A1E48">
              <w:rPr>
                <w:rFonts w:ascii="Arial" w:hAnsi="Arial" w:cs="Arial"/>
                <w:strike/>
                <w:color w:val="000000"/>
                <w:sz w:val="22"/>
              </w:rPr>
              <w:t>L’ordre de cette rotation est établi par le Comité au début du cycle de soumission des rapports périodiques de six ans.</w:t>
            </w:r>
            <w:r w:rsidRPr="001A1E48">
              <w:rPr>
                <w:rFonts w:ascii="Arial" w:hAnsi="Arial" w:cs="Arial"/>
                <w:color w:val="000000"/>
                <w:sz w:val="22"/>
              </w:rPr>
              <w:t xml:space="preserve"> Les États parties utilisent le processus de soumission des rapports périodiques pour renforcer les mesures de suivi, ainsi que la coopération et les échanges actifs au niveau régional, afin d’assurer une sauvegarde efficace du patrimoine culturel immatériel. Le formulaire ICH-10 est utilisé pour ces rapports, il peut être rempli en ligne par chaque État partie (</w:t>
            </w:r>
            <w:hyperlink r:id="rId34" w:history="1">
              <w:r w:rsidRPr="001A1E48">
                <w:rPr>
                  <w:rFonts w:ascii="Arial" w:hAnsi="Arial" w:cs="Arial"/>
                  <w:b/>
                  <w:bCs/>
                  <w:color w:val="0000FF"/>
                  <w:sz w:val="22"/>
                  <w:u w:val="single"/>
                </w:rPr>
                <w:t>https://ich.unesco.org</w:t>
              </w:r>
            </w:hyperlink>
            <w:r w:rsidRPr="001A1E48">
              <w:rPr>
                <w:rFonts w:ascii="Arial" w:hAnsi="Arial" w:cs="Arial"/>
                <w:color w:val="000000"/>
                <w:sz w:val="22"/>
              </w:rPr>
              <w:t>), et il est révisé par le Secrétariat à intervalles appropriés.</w:t>
            </w:r>
          </w:p>
        </w:tc>
      </w:tr>
      <w:tr w:rsidR="0088350F" w:rsidRPr="001A1E48" w14:paraId="759DCECA" w14:textId="77777777" w:rsidTr="0012385F">
        <w:trPr>
          <w:cantSplit/>
        </w:trPr>
        <w:tc>
          <w:tcPr>
            <w:tcW w:w="308" w:type="pct"/>
          </w:tcPr>
          <w:p w14:paraId="657E3301"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153.</w:t>
            </w:r>
          </w:p>
        </w:tc>
        <w:tc>
          <w:tcPr>
            <w:tcW w:w="2155" w:type="pct"/>
          </w:tcPr>
          <w:p w14:paraId="357792D1" w14:textId="77777777" w:rsidR="0088350F" w:rsidRPr="001A1E48" w:rsidRDefault="0088350F" w:rsidP="006C5D46">
            <w:pPr>
              <w:spacing w:before="120" w:after="120"/>
              <w:jc w:val="both"/>
              <w:rPr>
                <w:rFonts w:ascii="Arial" w:hAnsi="Arial" w:cs="Arial"/>
                <w:color w:val="000000"/>
                <w:sz w:val="22"/>
                <w:szCs w:val="22"/>
              </w:rPr>
            </w:pPr>
            <w:r w:rsidRPr="001A1E48">
              <w:rPr>
                <w:rFonts w:ascii="Arial" w:hAnsi="Arial" w:cs="Arial"/>
                <w:color w:val="000000"/>
                <w:sz w:val="22"/>
              </w:rPr>
              <w:t>L’État partie fournit des informations concernant les dispositions législatives, réglementaires ou autres prises pour la mise en œuvre de la Convention au niveau national, y compris :</w:t>
            </w:r>
          </w:p>
          <w:p w14:paraId="47483384" w14:textId="77777777" w:rsidR="0088350F" w:rsidRPr="001A1E48" w:rsidRDefault="0088350F" w:rsidP="005423CA">
            <w:pPr>
              <w:numPr>
                <w:ilvl w:val="0"/>
                <w:numId w:val="8"/>
              </w:numPr>
              <w:tabs>
                <w:tab w:val="left" w:pos="1701"/>
              </w:tabs>
              <w:autoSpaceDE w:val="0"/>
              <w:autoSpaceDN w:val="0"/>
              <w:adjustRightInd w:val="0"/>
              <w:spacing w:after="120"/>
              <w:jc w:val="both"/>
              <w:rPr>
                <w:rFonts w:ascii="Arial" w:eastAsia="SimSun" w:hAnsi="Arial" w:cs="Arial"/>
                <w:sz w:val="22"/>
                <w:szCs w:val="22"/>
              </w:rPr>
            </w:pPr>
            <w:r w:rsidRPr="001A1E48">
              <w:rPr>
                <w:rFonts w:ascii="Arial" w:eastAsia="SimSun" w:hAnsi="Arial" w:cs="Arial"/>
                <w:sz w:val="22"/>
                <w:szCs w:val="22"/>
              </w:rPr>
              <w:t>l’établissement d’inventaires du patrimoine culturel immatériel présent sur son territoire, comme indiqué aux articles 11 et 12 de la Convention ;</w:t>
            </w:r>
          </w:p>
          <w:p w14:paraId="37ED35C1" w14:textId="77777777" w:rsidR="0088350F" w:rsidRPr="001A1E48" w:rsidRDefault="0088350F" w:rsidP="005423CA">
            <w:pPr>
              <w:numPr>
                <w:ilvl w:val="0"/>
                <w:numId w:val="8"/>
              </w:numPr>
              <w:tabs>
                <w:tab w:val="left" w:pos="1701"/>
              </w:tabs>
              <w:autoSpaceDE w:val="0"/>
              <w:autoSpaceDN w:val="0"/>
              <w:adjustRightInd w:val="0"/>
              <w:spacing w:after="120"/>
              <w:jc w:val="both"/>
              <w:rPr>
                <w:rFonts w:ascii="Arial" w:eastAsia="SimSun" w:hAnsi="Arial" w:cs="Arial"/>
                <w:sz w:val="22"/>
                <w:szCs w:val="22"/>
              </w:rPr>
            </w:pPr>
            <w:r w:rsidRPr="001A1E48">
              <w:rPr>
                <w:rFonts w:ascii="Arial" w:eastAsia="SimSun" w:hAnsi="Arial" w:cs="Arial"/>
                <w:sz w:val="22"/>
                <w:szCs w:val="22"/>
              </w:rPr>
              <w:t>les autres mesures de sauvegarde visées aux articles 11 et 13 de la Convention, y compris :</w:t>
            </w:r>
          </w:p>
          <w:p w14:paraId="22340F0C" w14:textId="77777777" w:rsidR="0088350F" w:rsidRPr="001A1E48" w:rsidRDefault="0088350F" w:rsidP="005423CA">
            <w:pPr>
              <w:numPr>
                <w:ilvl w:val="0"/>
                <w:numId w:val="17"/>
              </w:numPr>
              <w:tabs>
                <w:tab w:val="left" w:pos="1701"/>
              </w:tabs>
              <w:autoSpaceDE w:val="0"/>
              <w:autoSpaceDN w:val="0"/>
              <w:adjustRightInd w:val="0"/>
              <w:spacing w:after="120"/>
              <w:ind w:left="748"/>
              <w:jc w:val="both"/>
              <w:rPr>
                <w:rFonts w:ascii="Arial" w:eastAsia="SimSun" w:hAnsi="Arial" w:cs="Arial"/>
                <w:sz w:val="22"/>
                <w:szCs w:val="22"/>
              </w:rPr>
            </w:pPr>
            <w:r w:rsidRPr="001A1E48">
              <w:rPr>
                <w:rFonts w:ascii="Arial" w:eastAsia="SimSun" w:hAnsi="Arial" w:cs="Arial"/>
                <w:sz w:val="22"/>
                <w:szCs w:val="22"/>
              </w:rPr>
              <w:t>adopter une politique générale visant à mettre en valeur la fonction du patrimoine culturel immatériel dans la société et en intégrer la sauvegarde dans les programmes de planification ;</w:t>
            </w:r>
          </w:p>
          <w:p w14:paraId="42320258" w14:textId="77777777" w:rsidR="0088350F" w:rsidRPr="001A1E48" w:rsidRDefault="0088350F" w:rsidP="005423CA">
            <w:pPr>
              <w:numPr>
                <w:ilvl w:val="0"/>
                <w:numId w:val="17"/>
              </w:numPr>
              <w:tabs>
                <w:tab w:val="left" w:pos="1701"/>
              </w:tabs>
              <w:autoSpaceDE w:val="0"/>
              <w:autoSpaceDN w:val="0"/>
              <w:adjustRightInd w:val="0"/>
              <w:spacing w:after="120"/>
              <w:ind w:left="748"/>
              <w:jc w:val="both"/>
              <w:rPr>
                <w:rFonts w:ascii="Arial" w:eastAsia="SimSun" w:hAnsi="Arial" w:cs="Arial"/>
                <w:sz w:val="22"/>
                <w:szCs w:val="22"/>
              </w:rPr>
            </w:pPr>
            <w:r w:rsidRPr="001A1E48">
              <w:rPr>
                <w:rFonts w:ascii="Arial" w:eastAsia="SimSun" w:hAnsi="Arial" w:cs="Arial"/>
                <w:sz w:val="22"/>
                <w:szCs w:val="22"/>
              </w:rPr>
              <w:t>encourager les études scientifiques, techniques et artistiques pour une sauvegarde efficace ;</w:t>
            </w:r>
          </w:p>
          <w:p w14:paraId="1390D2A6" w14:textId="77777777" w:rsidR="0088350F" w:rsidRPr="001A1E48" w:rsidRDefault="0088350F" w:rsidP="005423CA">
            <w:pPr>
              <w:numPr>
                <w:ilvl w:val="0"/>
                <w:numId w:val="17"/>
              </w:numPr>
              <w:tabs>
                <w:tab w:val="left" w:pos="1701"/>
              </w:tabs>
              <w:autoSpaceDE w:val="0"/>
              <w:autoSpaceDN w:val="0"/>
              <w:adjustRightInd w:val="0"/>
              <w:spacing w:after="120"/>
              <w:ind w:left="748"/>
              <w:jc w:val="both"/>
              <w:rPr>
                <w:rFonts w:ascii="Arial" w:eastAsia="SimSun" w:hAnsi="Arial" w:cs="Arial"/>
                <w:color w:val="000000"/>
                <w:sz w:val="22"/>
                <w:szCs w:val="22"/>
              </w:rPr>
            </w:pPr>
            <w:r w:rsidRPr="001A1E48">
              <w:rPr>
                <w:rFonts w:ascii="Arial" w:eastAsia="SimSun" w:hAnsi="Arial" w:cs="Arial"/>
                <w:sz w:val="22"/>
                <w:szCs w:val="22"/>
              </w:rPr>
              <w:t>faciliter, dans la mesure du possible, l’accès aux informations relatives au patrimoine culturel immatériel tout en respectant les pratiques coutumières qui régissent l’accès à des aspects spécifiques de ce patrimoine.</w:t>
            </w:r>
          </w:p>
        </w:tc>
        <w:tc>
          <w:tcPr>
            <w:tcW w:w="277" w:type="pct"/>
            <w:gridSpan w:val="2"/>
          </w:tcPr>
          <w:p w14:paraId="35EDD444" w14:textId="77777777" w:rsidR="0088350F" w:rsidRPr="001A1E48" w:rsidRDefault="0088350F" w:rsidP="006C5D46">
            <w:pPr>
              <w:spacing w:before="120" w:after="120"/>
              <w:ind w:right="175"/>
              <w:jc w:val="both"/>
              <w:rPr>
                <w:rFonts w:ascii="Arial" w:hAnsi="Arial" w:cs="Arial"/>
                <w:sz w:val="22"/>
                <w:szCs w:val="22"/>
              </w:rPr>
            </w:pPr>
            <w:r w:rsidRPr="001A1E48">
              <w:rPr>
                <w:rFonts w:ascii="Arial" w:hAnsi="Arial" w:cs="Arial"/>
                <w:sz w:val="22"/>
              </w:rPr>
              <w:t>153.</w:t>
            </w:r>
          </w:p>
        </w:tc>
        <w:tc>
          <w:tcPr>
            <w:tcW w:w="2257" w:type="pct"/>
          </w:tcPr>
          <w:p w14:paraId="7FF503C0" w14:textId="617948A5" w:rsidR="0088350F" w:rsidRPr="001A1E48" w:rsidRDefault="0088350F" w:rsidP="006C5D46">
            <w:pPr>
              <w:spacing w:before="120" w:after="120"/>
              <w:ind w:right="175"/>
              <w:jc w:val="both"/>
              <w:rPr>
                <w:rFonts w:ascii="Arial" w:hAnsi="Arial" w:cs="Arial"/>
                <w:sz w:val="22"/>
                <w:szCs w:val="22"/>
              </w:rPr>
            </w:pPr>
            <w:r w:rsidRPr="001A1E48">
              <w:rPr>
                <w:rFonts w:ascii="Arial" w:hAnsi="Arial" w:cs="Arial"/>
                <w:sz w:val="22"/>
              </w:rPr>
              <w:t>Aucun changement</w:t>
            </w:r>
          </w:p>
        </w:tc>
      </w:tr>
      <w:tr w:rsidR="0088350F" w:rsidRPr="001A1E48" w14:paraId="1AC6CAC6" w14:textId="77777777" w:rsidTr="0012385F">
        <w:trPr>
          <w:cantSplit/>
        </w:trPr>
        <w:tc>
          <w:tcPr>
            <w:tcW w:w="308" w:type="pct"/>
          </w:tcPr>
          <w:p w14:paraId="421306E8"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lastRenderedPageBreak/>
              <w:t>154.</w:t>
            </w:r>
          </w:p>
        </w:tc>
        <w:tc>
          <w:tcPr>
            <w:tcW w:w="2155" w:type="pct"/>
          </w:tcPr>
          <w:p w14:paraId="6EFCBEEE"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L’État partie fournit des informations concernant les dispositions législatives, réglementaires ou autres prises par l’État partie au niveau national pour renforcer les capacités institutionnelles de sauvegarde du patrimoine culturel immatériel, comme indiqué à l’article 13 de la Convention, y compris :</w:t>
            </w:r>
          </w:p>
          <w:p w14:paraId="7135A9B1" w14:textId="77777777" w:rsidR="0088350F" w:rsidRPr="001A1E48" w:rsidRDefault="0088350F" w:rsidP="005423CA">
            <w:pPr>
              <w:numPr>
                <w:ilvl w:val="0"/>
                <w:numId w:val="7"/>
              </w:numPr>
              <w:autoSpaceDE w:val="0"/>
              <w:autoSpaceDN w:val="0"/>
              <w:adjustRightInd w:val="0"/>
              <w:spacing w:after="120"/>
              <w:ind w:left="656" w:hanging="656"/>
              <w:jc w:val="both"/>
              <w:rPr>
                <w:rFonts w:ascii="Arial" w:eastAsia="SimSun" w:hAnsi="Arial" w:cs="Arial"/>
                <w:sz w:val="22"/>
                <w:szCs w:val="22"/>
              </w:rPr>
            </w:pPr>
            <w:r w:rsidRPr="001A1E48">
              <w:rPr>
                <w:rFonts w:ascii="Arial" w:eastAsia="SimSun" w:hAnsi="Arial" w:cs="Arial"/>
                <w:sz w:val="22"/>
                <w:szCs w:val="22"/>
              </w:rPr>
              <w:t>désigner ou établir un ou plusieurs organismes compétents pour la sauvegarde de son patrimoine culturel immatériel ;</w:t>
            </w:r>
          </w:p>
          <w:p w14:paraId="32BBE79C" w14:textId="77777777" w:rsidR="0088350F" w:rsidRPr="001A1E48" w:rsidRDefault="0088350F" w:rsidP="005423CA">
            <w:pPr>
              <w:numPr>
                <w:ilvl w:val="0"/>
                <w:numId w:val="7"/>
              </w:numPr>
              <w:autoSpaceDE w:val="0"/>
              <w:autoSpaceDN w:val="0"/>
              <w:adjustRightInd w:val="0"/>
              <w:spacing w:after="120"/>
              <w:ind w:left="656" w:hanging="656"/>
              <w:jc w:val="both"/>
              <w:rPr>
                <w:rFonts w:ascii="Arial" w:eastAsia="SimSun" w:hAnsi="Arial" w:cs="Arial"/>
                <w:sz w:val="22"/>
                <w:szCs w:val="22"/>
              </w:rPr>
            </w:pPr>
            <w:r w:rsidRPr="001A1E48">
              <w:rPr>
                <w:rFonts w:ascii="Arial" w:eastAsia="SimSun" w:hAnsi="Arial" w:cs="Arial"/>
                <w:sz w:val="22"/>
                <w:szCs w:val="22"/>
              </w:rPr>
              <w:t>renforcer les institutions de formation à la gestion du patrimoine culturel immatériel ainsi que la transmission de ce patrimoine ;</w:t>
            </w:r>
          </w:p>
          <w:p w14:paraId="6DB10C55" w14:textId="77777777" w:rsidR="0088350F" w:rsidRPr="001A1E48" w:rsidRDefault="0088350F" w:rsidP="005423CA">
            <w:pPr>
              <w:numPr>
                <w:ilvl w:val="0"/>
                <w:numId w:val="7"/>
              </w:numPr>
              <w:autoSpaceDE w:val="0"/>
              <w:autoSpaceDN w:val="0"/>
              <w:adjustRightInd w:val="0"/>
              <w:spacing w:after="120"/>
              <w:ind w:left="656" w:hanging="656"/>
              <w:jc w:val="both"/>
              <w:rPr>
                <w:rFonts w:ascii="Arial" w:eastAsia="SimSun" w:hAnsi="Arial" w:cs="Arial"/>
                <w:sz w:val="22"/>
                <w:szCs w:val="22"/>
              </w:rPr>
            </w:pPr>
            <w:r w:rsidRPr="001A1E48">
              <w:rPr>
                <w:rFonts w:ascii="Arial" w:eastAsia="SimSun" w:hAnsi="Arial" w:cs="Arial"/>
                <w:sz w:val="22"/>
                <w:szCs w:val="22"/>
              </w:rPr>
              <w:t>établir des institutions de documentation sur le patrimoine culturel immatériel et, dans la mesure du possible, en faciliter l’accès.</w:t>
            </w:r>
          </w:p>
        </w:tc>
        <w:tc>
          <w:tcPr>
            <w:tcW w:w="277" w:type="pct"/>
            <w:gridSpan w:val="2"/>
          </w:tcPr>
          <w:p w14:paraId="3C330FB7"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154.</w:t>
            </w:r>
          </w:p>
        </w:tc>
        <w:tc>
          <w:tcPr>
            <w:tcW w:w="2257" w:type="pct"/>
          </w:tcPr>
          <w:p w14:paraId="0DEEBC9F" w14:textId="04E4D8B5" w:rsidR="0088350F" w:rsidRPr="001A1E48" w:rsidRDefault="0088350F" w:rsidP="006C5D46">
            <w:pPr>
              <w:spacing w:before="120" w:after="120"/>
              <w:jc w:val="both"/>
              <w:rPr>
                <w:rFonts w:ascii="Arial" w:hAnsi="Arial" w:cs="Arial"/>
                <w:sz w:val="22"/>
                <w:szCs w:val="22"/>
                <w:u w:val="single"/>
              </w:rPr>
            </w:pPr>
            <w:r w:rsidRPr="001A1E48">
              <w:rPr>
                <w:rFonts w:ascii="Arial" w:hAnsi="Arial" w:cs="Arial"/>
                <w:sz w:val="22"/>
              </w:rPr>
              <w:t>Aucun changement</w:t>
            </w:r>
          </w:p>
        </w:tc>
      </w:tr>
      <w:tr w:rsidR="0088350F" w:rsidRPr="001A1E48" w14:paraId="4C408C29" w14:textId="77777777" w:rsidTr="0012385F">
        <w:trPr>
          <w:cantSplit/>
        </w:trPr>
        <w:tc>
          <w:tcPr>
            <w:tcW w:w="308" w:type="pct"/>
          </w:tcPr>
          <w:p w14:paraId="575DCB72"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155.</w:t>
            </w:r>
          </w:p>
        </w:tc>
        <w:tc>
          <w:tcPr>
            <w:tcW w:w="2155" w:type="pct"/>
          </w:tcPr>
          <w:p w14:paraId="4452B320"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L’État partie fournit des informations concernant les dispositions législatives, réglementaires et autres prises au niveau national pour assurer une plus grande reconnaissance, le respect et la mise en valeur du patrimoine culturel immatériel, en particulier celles visées à l’article 14 de la Convention :</w:t>
            </w:r>
          </w:p>
          <w:p w14:paraId="33AE9CE1" w14:textId="77777777" w:rsidR="0088350F" w:rsidRPr="001A1E48" w:rsidRDefault="0088350F" w:rsidP="005423CA">
            <w:pPr>
              <w:numPr>
                <w:ilvl w:val="0"/>
                <w:numId w:val="10"/>
              </w:numPr>
              <w:autoSpaceDE w:val="0"/>
              <w:autoSpaceDN w:val="0"/>
              <w:adjustRightInd w:val="0"/>
              <w:spacing w:after="120"/>
              <w:ind w:left="656" w:hanging="656"/>
              <w:jc w:val="both"/>
              <w:rPr>
                <w:rFonts w:ascii="Arial" w:eastAsia="SimSun" w:hAnsi="Arial" w:cs="Arial"/>
                <w:sz w:val="22"/>
                <w:szCs w:val="22"/>
              </w:rPr>
            </w:pPr>
            <w:r w:rsidRPr="001A1E48">
              <w:rPr>
                <w:rFonts w:ascii="Arial" w:eastAsia="SimSun" w:hAnsi="Arial" w:cs="Arial"/>
                <w:sz w:val="22"/>
                <w:szCs w:val="22"/>
              </w:rPr>
              <w:t>des programmes éducatifs, de sensibilisation et de diffusion d’informations ;</w:t>
            </w:r>
          </w:p>
          <w:p w14:paraId="4CC53DCD" w14:textId="77777777" w:rsidR="0088350F" w:rsidRPr="001A1E48" w:rsidRDefault="0088350F" w:rsidP="005423CA">
            <w:pPr>
              <w:numPr>
                <w:ilvl w:val="0"/>
                <w:numId w:val="10"/>
              </w:numPr>
              <w:autoSpaceDE w:val="0"/>
              <w:autoSpaceDN w:val="0"/>
              <w:adjustRightInd w:val="0"/>
              <w:spacing w:after="120"/>
              <w:ind w:left="656" w:hanging="656"/>
              <w:jc w:val="both"/>
              <w:rPr>
                <w:rFonts w:ascii="Arial" w:eastAsia="SimSun" w:hAnsi="Arial" w:cs="Arial"/>
                <w:sz w:val="22"/>
                <w:szCs w:val="22"/>
              </w:rPr>
            </w:pPr>
            <w:r w:rsidRPr="001A1E48">
              <w:rPr>
                <w:rFonts w:ascii="Arial" w:eastAsia="SimSun" w:hAnsi="Arial" w:cs="Arial"/>
                <w:sz w:val="22"/>
                <w:szCs w:val="22"/>
              </w:rPr>
              <w:t>des programmes éducatifs et de formation au sein des communautés et des groupes concernés ;</w:t>
            </w:r>
          </w:p>
          <w:p w14:paraId="45E0C80D" w14:textId="77777777" w:rsidR="0088350F" w:rsidRPr="001A1E48" w:rsidRDefault="0088350F" w:rsidP="005423CA">
            <w:pPr>
              <w:numPr>
                <w:ilvl w:val="0"/>
                <w:numId w:val="10"/>
              </w:numPr>
              <w:autoSpaceDE w:val="0"/>
              <w:autoSpaceDN w:val="0"/>
              <w:adjustRightInd w:val="0"/>
              <w:spacing w:after="120"/>
              <w:ind w:left="656" w:hanging="656"/>
              <w:jc w:val="both"/>
              <w:rPr>
                <w:rFonts w:ascii="Arial" w:eastAsia="SimSun" w:hAnsi="Arial" w:cs="Arial"/>
                <w:sz w:val="22"/>
                <w:szCs w:val="22"/>
              </w:rPr>
            </w:pPr>
            <w:r w:rsidRPr="001A1E48">
              <w:rPr>
                <w:rFonts w:ascii="Arial" w:eastAsia="SimSun" w:hAnsi="Arial" w:cs="Arial"/>
                <w:sz w:val="22"/>
                <w:szCs w:val="22"/>
              </w:rPr>
              <w:t xml:space="preserve">des activités de renforcement des capacités en matière de sauvegarde du patrimoine culturel immatériel ; </w:t>
            </w:r>
          </w:p>
          <w:p w14:paraId="5B6767BF" w14:textId="77777777" w:rsidR="0088350F" w:rsidRPr="001A1E48" w:rsidRDefault="0088350F" w:rsidP="005423CA">
            <w:pPr>
              <w:numPr>
                <w:ilvl w:val="0"/>
                <w:numId w:val="10"/>
              </w:numPr>
              <w:autoSpaceDE w:val="0"/>
              <w:autoSpaceDN w:val="0"/>
              <w:adjustRightInd w:val="0"/>
              <w:spacing w:after="120"/>
              <w:ind w:left="656" w:hanging="656"/>
              <w:jc w:val="both"/>
              <w:rPr>
                <w:rFonts w:ascii="Arial" w:eastAsia="SimSun" w:hAnsi="Arial" w:cs="Arial"/>
                <w:sz w:val="22"/>
                <w:szCs w:val="22"/>
              </w:rPr>
            </w:pPr>
            <w:r w:rsidRPr="001A1E48">
              <w:rPr>
                <w:rFonts w:ascii="Arial" w:eastAsia="SimSun" w:hAnsi="Arial" w:cs="Arial"/>
                <w:sz w:val="22"/>
                <w:szCs w:val="22"/>
              </w:rPr>
              <w:t>des moyens non formels de transmission des savoirs ;</w:t>
            </w:r>
          </w:p>
          <w:p w14:paraId="2904001A" w14:textId="77777777" w:rsidR="0088350F" w:rsidRPr="001A1E48" w:rsidRDefault="0088350F" w:rsidP="005423CA">
            <w:pPr>
              <w:numPr>
                <w:ilvl w:val="0"/>
                <w:numId w:val="10"/>
              </w:numPr>
              <w:autoSpaceDE w:val="0"/>
              <w:autoSpaceDN w:val="0"/>
              <w:adjustRightInd w:val="0"/>
              <w:spacing w:after="120"/>
              <w:ind w:left="656" w:hanging="656"/>
              <w:jc w:val="both"/>
              <w:rPr>
                <w:rFonts w:ascii="Arial" w:eastAsia="SimSun" w:hAnsi="Arial" w:cs="Arial"/>
                <w:sz w:val="22"/>
                <w:szCs w:val="22"/>
              </w:rPr>
            </w:pPr>
            <w:r w:rsidRPr="001A1E48">
              <w:rPr>
                <w:rFonts w:ascii="Arial" w:eastAsia="SimSun" w:hAnsi="Arial" w:cs="Arial"/>
                <w:sz w:val="22"/>
                <w:szCs w:val="22"/>
              </w:rPr>
              <w:t>une éducation à la protection des espaces naturels et des lieux de mémoire.</w:t>
            </w:r>
          </w:p>
        </w:tc>
        <w:tc>
          <w:tcPr>
            <w:tcW w:w="277" w:type="pct"/>
            <w:gridSpan w:val="2"/>
          </w:tcPr>
          <w:p w14:paraId="1984A6A3"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155.</w:t>
            </w:r>
          </w:p>
        </w:tc>
        <w:tc>
          <w:tcPr>
            <w:tcW w:w="2257" w:type="pct"/>
          </w:tcPr>
          <w:p w14:paraId="10F96FBE" w14:textId="5A5A4768"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473629B1" w14:textId="77777777" w:rsidTr="0012385F">
        <w:trPr>
          <w:cantSplit/>
        </w:trPr>
        <w:tc>
          <w:tcPr>
            <w:tcW w:w="308" w:type="pct"/>
          </w:tcPr>
          <w:p w14:paraId="634DED50"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lastRenderedPageBreak/>
              <w:t>156.</w:t>
            </w:r>
          </w:p>
        </w:tc>
        <w:tc>
          <w:tcPr>
            <w:tcW w:w="2155" w:type="pct"/>
          </w:tcPr>
          <w:p w14:paraId="3F960FE5"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L’État partie fournit des informations concernant les mesures aux niveaux bilatéral, sous-régional, régional et international pour la mise en œuvre de la Convention, y compris les mesures de coopération internationale telles que l’échange d’informations et d’expériences, et des initiatives communes, qui sont visées à l’article 19 de la Convention.</w:t>
            </w:r>
          </w:p>
        </w:tc>
        <w:tc>
          <w:tcPr>
            <w:tcW w:w="277" w:type="pct"/>
            <w:gridSpan w:val="2"/>
          </w:tcPr>
          <w:p w14:paraId="7AECAB5D"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156.</w:t>
            </w:r>
          </w:p>
        </w:tc>
        <w:tc>
          <w:tcPr>
            <w:tcW w:w="2257" w:type="pct"/>
          </w:tcPr>
          <w:p w14:paraId="6477138E" w14:textId="54724EB3"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55209436" w14:textId="77777777" w:rsidTr="0012385F">
        <w:trPr>
          <w:cantSplit/>
        </w:trPr>
        <w:tc>
          <w:tcPr>
            <w:tcW w:w="308" w:type="pct"/>
          </w:tcPr>
          <w:p w14:paraId="03EA55DA"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157.</w:t>
            </w:r>
          </w:p>
        </w:tc>
        <w:tc>
          <w:tcPr>
            <w:tcW w:w="2155" w:type="pct"/>
          </w:tcPr>
          <w:p w14:paraId="4FEC4AE9"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L’État fournit des informations concernant l’état actuel de tous les éléments du patrimoine culturel immatériel inscrits sur la Liste représentative du patrimoine culturel immatériel de l’humanité présents sur son territoire. L’État partie accorde une attention particulière au rôle du genre et s’efforce d’assurer la participation la plus large possible des communautés, des groupes et, le cas échéant, des individus concernés ainsi que des organisations non gouvernementales pertinentes, au cours du processus de préparation de ces rapports qui, pour chaque élément concerné, portent sur :</w:t>
            </w:r>
          </w:p>
          <w:p w14:paraId="3702A7C2" w14:textId="77777777" w:rsidR="0088350F" w:rsidRPr="001A1E48" w:rsidRDefault="0088350F" w:rsidP="005423CA">
            <w:pPr>
              <w:numPr>
                <w:ilvl w:val="0"/>
                <w:numId w:val="6"/>
              </w:numPr>
              <w:spacing w:before="120" w:after="120"/>
              <w:ind w:left="656" w:hanging="656"/>
              <w:jc w:val="both"/>
              <w:rPr>
                <w:rFonts w:ascii="Arial" w:hAnsi="Arial" w:cs="Arial"/>
                <w:sz w:val="22"/>
                <w:szCs w:val="22"/>
              </w:rPr>
            </w:pPr>
            <w:r w:rsidRPr="001A1E48">
              <w:rPr>
                <w:rFonts w:ascii="Arial" w:hAnsi="Arial" w:cs="Arial"/>
                <w:sz w:val="22"/>
              </w:rPr>
              <w:t>les fonctions sociales et culturelles de l’élément ;</w:t>
            </w:r>
          </w:p>
          <w:p w14:paraId="7BEA9284" w14:textId="77777777" w:rsidR="0088350F" w:rsidRPr="001A1E48" w:rsidRDefault="0088350F" w:rsidP="005423CA">
            <w:pPr>
              <w:numPr>
                <w:ilvl w:val="0"/>
                <w:numId w:val="6"/>
              </w:numPr>
              <w:spacing w:before="120" w:after="120"/>
              <w:ind w:left="656" w:hanging="656"/>
              <w:jc w:val="both"/>
              <w:rPr>
                <w:rFonts w:ascii="Arial" w:hAnsi="Arial" w:cs="Arial"/>
                <w:sz w:val="22"/>
                <w:szCs w:val="22"/>
              </w:rPr>
            </w:pPr>
            <w:r w:rsidRPr="001A1E48">
              <w:rPr>
                <w:rFonts w:ascii="Arial" w:hAnsi="Arial" w:cs="Arial"/>
                <w:sz w:val="22"/>
              </w:rPr>
              <w:t>une analyse de sa viabilité et des risques auxquels il serait confronté le cas échéant ;</w:t>
            </w:r>
          </w:p>
          <w:p w14:paraId="7103D85F" w14:textId="77777777" w:rsidR="0088350F" w:rsidRPr="001A1E48" w:rsidRDefault="0088350F" w:rsidP="005423CA">
            <w:pPr>
              <w:numPr>
                <w:ilvl w:val="0"/>
                <w:numId w:val="6"/>
              </w:numPr>
              <w:spacing w:before="120" w:after="120"/>
              <w:ind w:left="656" w:hanging="656"/>
              <w:jc w:val="both"/>
              <w:rPr>
                <w:rFonts w:ascii="Arial" w:hAnsi="Arial" w:cs="Arial"/>
                <w:sz w:val="22"/>
                <w:szCs w:val="22"/>
              </w:rPr>
            </w:pPr>
            <w:r w:rsidRPr="001A1E48">
              <w:rPr>
                <w:rFonts w:ascii="Arial" w:hAnsi="Arial" w:cs="Arial"/>
                <w:sz w:val="22"/>
              </w:rPr>
              <w:t>sa contribution aux buts de la Liste ;</w:t>
            </w:r>
          </w:p>
          <w:p w14:paraId="3B90AF9F" w14:textId="77777777" w:rsidR="0088350F" w:rsidRPr="001A1E48" w:rsidRDefault="0088350F" w:rsidP="005423CA">
            <w:pPr>
              <w:numPr>
                <w:ilvl w:val="0"/>
                <w:numId w:val="6"/>
              </w:numPr>
              <w:spacing w:before="120" w:after="120"/>
              <w:ind w:left="656" w:hanging="656"/>
              <w:jc w:val="both"/>
              <w:rPr>
                <w:rFonts w:ascii="Arial" w:hAnsi="Arial" w:cs="Arial"/>
                <w:sz w:val="22"/>
                <w:szCs w:val="22"/>
              </w:rPr>
            </w:pPr>
            <w:r w:rsidRPr="001A1E48">
              <w:rPr>
                <w:rFonts w:ascii="Arial" w:hAnsi="Arial" w:cs="Arial"/>
                <w:sz w:val="22"/>
              </w:rPr>
              <w:t>les efforts pour promouvoir ou renforcer l’élément, en particulier la mise en œuvre de toute les mesures qui ont pu être nécessaires en conséquence de son inscription ;</w:t>
            </w:r>
          </w:p>
          <w:p w14:paraId="38AE2B06" w14:textId="77777777" w:rsidR="0088350F" w:rsidRPr="001A1E48" w:rsidRDefault="0088350F" w:rsidP="005423CA">
            <w:pPr>
              <w:numPr>
                <w:ilvl w:val="0"/>
                <w:numId w:val="6"/>
              </w:numPr>
              <w:spacing w:before="120" w:after="120"/>
              <w:ind w:left="656" w:hanging="656"/>
              <w:jc w:val="both"/>
              <w:rPr>
                <w:rFonts w:ascii="Arial" w:hAnsi="Arial" w:cs="Arial"/>
                <w:sz w:val="22"/>
                <w:szCs w:val="22"/>
              </w:rPr>
            </w:pPr>
            <w:r w:rsidRPr="001A1E48">
              <w:rPr>
                <w:rFonts w:ascii="Arial" w:hAnsi="Arial" w:cs="Arial"/>
                <w:sz w:val="22"/>
              </w:rPr>
              <w:t>la participation des communautés, des groupes et des individus ainsi que des organisations non gouvernementales pertinentes à la sauvegarde de l’élément et leur volonté constante d’en assurer une sauvegarde continue.</w:t>
            </w:r>
          </w:p>
        </w:tc>
        <w:tc>
          <w:tcPr>
            <w:tcW w:w="277" w:type="pct"/>
            <w:gridSpan w:val="2"/>
          </w:tcPr>
          <w:p w14:paraId="0CB54ADE"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157.</w:t>
            </w:r>
          </w:p>
        </w:tc>
        <w:tc>
          <w:tcPr>
            <w:tcW w:w="2257" w:type="pct"/>
          </w:tcPr>
          <w:p w14:paraId="2205D747" w14:textId="404214C6"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5B19D63B" w14:textId="77777777" w:rsidTr="0012385F">
        <w:trPr>
          <w:cantSplit/>
        </w:trPr>
        <w:tc>
          <w:tcPr>
            <w:tcW w:w="308" w:type="pct"/>
          </w:tcPr>
          <w:p w14:paraId="5DE2B827"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lastRenderedPageBreak/>
              <w:t>158.</w:t>
            </w:r>
          </w:p>
        </w:tc>
        <w:tc>
          <w:tcPr>
            <w:tcW w:w="2155" w:type="pct"/>
          </w:tcPr>
          <w:p w14:paraId="5DBF9685"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L’État partie fournit des informations concernant le contexte institutionnel de l’élément inscrit sur la Liste représentative du patrimoine culturel immatériel de l’humanité, y compris :</w:t>
            </w:r>
          </w:p>
          <w:p w14:paraId="19FE4ACE" w14:textId="77777777" w:rsidR="0088350F" w:rsidRPr="001A1E48" w:rsidRDefault="0088350F" w:rsidP="005423CA">
            <w:pPr>
              <w:numPr>
                <w:ilvl w:val="0"/>
                <w:numId w:val="11"/>
              </w:numPr>
              <w:spacing w:before="120" w:after="120"/>
              <w:ind w:left="656" w:hanging="656"/>
              <w:jc w:val="both"/>
              <w:rPr>
                <w:rFonts w:ascii="Arial" w:hAnsi="Arial" w:cs="Arial"/>
                <w:sz w:val="22"/>
                <w:szCs w:val="22"/>
              </w:rPr>
            </w:pPr>
            <w:r w:rsidRPr="001A1E48">
              <w:rPr>
                <w:rFonts w:ascii="Arial" w:hAnsi="Arial" w:cs="Arial"/>
                <w:sz w:val="22"/>
              </w:rPr>
              <w:t>le ou les organisme(s) compétent(s) impliqué(s) dans sa gestion et/ou sa sauvegarde ;</w:t>
            </w:r>
          </w:p>
          <w:p w14:paraId="4B88762F" w14:textId="77777777" w:rsidR="0088350F" w:rsidRPr="001A1E48" w:rsidRDefault="0088350F" w:rsidP="005423CA">
            <w:pPr>
              <w:numPr>
                <w:ilvl w:val="0"/>
                <w:numId w:val="11"/>
              </w:numPr>
              <w:spacing w:before="120" w:after="120"/>
              <w:ind w:left="656" w:hanging="656"/>
              <w:jc w:val="both"/>
              <w:rPr>
                <w:rFonts w:ascii="Arial" w:hAnsi="Arial" w:cs="Arial"/>
                <w:sz w:val="22"/>
                <w:szCs w:val="22"/>
              </w:rPr>
            </w:pPr>
            <w:r w:rsidRPr="001A1E48">
              <w:rPr>
                <w:rFonts w:ascii="Arial" w:hAnsi="Arial" w:cs="Arial"/>
                <w:sz w:val="22"/>
              </w:rPr>
              <w:t>la ou les organisation(s) de la communauté ou du groupe concernée(s) par l’élément et sa sauvegarde.</w:t>
            </w:r>
          </w:p>
        </w:tc>
        <w:tc>
          <w:tcPr>
            <w:tcW w:w="277" w:type="pct"/>
            <w:gridSpan w:val="2"/>
          </w:tcPr>
          <w:p w14:paraId="4D2ACF80"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158.</w:t>
            </w:r>
          </w:p>
        </w:tc>
        <w:tc>
          <w:tcPr>
            <w:tcW w:w="2257" w:type="pct"/>
          </w:tcPr>
          <w:p w14:paraId="7E6746F3" w14:textId="4223D169"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188592ED" w14:textId="77777777" w:rsidTr="00A87092">
        <w:trPr>
          <w:cantSplit/>
        </w:trPr>
        <w:tc>
          <w:tcPr>
            <w:tcW w:w="308" w:type="pct"/>
          </w:tcPr>
          <w:p w14:paraId="093C7C50"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159.</w:t>
            </w:r>
          </w:p>
        </w:tc>
        <w:tc>
          <w:tcPr>
            <w:tcW w:w="2155" w:type="pct"/>
          </w:tcPr>
          <w:p w14:paraId="7079CB99"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Les États parties répondent, en temps utile, aux demandes d’informations complémentaires spécifiques qui leur sont adressées par le Comité, si nécessaire et indépendamment du cycle régional établi par le Comité, conformément au paragraphe 152 ci-dessus.</w:t>
            </w:r>
          </w:p>
        </w:tc>
        <w:tc>
          <w:tcPr>
            <w:tcW w:w="277" w:type="pct"/>
            <w:gridSpan w:val="2"/>
          </w:tcPr>
          <w:p w14:paraId="0B8491D0"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159.</w:t>
            </w:r>
          </w:p>
        </w:tc>
        <w:tc>
          <w:tcPr>
            <w:tcW w:w="2257" w:type="pct"/>
            <w:shd w:val="clear" w:color="auto" w:fill="E1EBF7" w:themeFill="text2" w:themeFillTint="1A"/>
          </w:tcPr>
          <w:p w14:paraId="77DA9B52"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 xml:space="preserve">Les États parties répondent, en temps utile, aux demandes d’informations complémentaires spécifiques qui leur sont adressées par le Comité, si nécessaire et indépendamment du </w:t>
            </w:r>
            <w:r w:rsidRPr="001A1E48">
              <w:rPr>
                <w:rFonts w:ascii="Arial" w:hAnsi="Arial" w:cs="Arial"/>
                <w:bCs/>
                <w:strike/>
                <w:sz w:val="22"/>
              </w:rPr>
              <w:t xml:space="preserve">cycle </w:t>
            </w:r>
            <w:r w:rsidRPr="001A1E48">
              <w:rPr>
                <w:rFonts w:ascii="Arial" w:hAnsi="Arial" w:cs="Arial"/>
                <w:strike/>
                <w:sz w:val="22"/>
              </w:rPr>
              <w:t>régional</w:t>
            </w:r>
            <w:r w:rsidRPr="001A1E48">
              <w:rPr>
                <w:rFonts w:ascii="Arial" w:hAnsi="Arial" w:cs="Arial"/>
                <w:sz w:val="22"/>
              </w:rPr>
              <w:t xml:space="preserve"> </w:t>
            </w:r>
            <w:r w:rsidRPr="001A1E48">
              <w:rPr>
                <w:rFonts w:ascii="Arial" w:hAnsi="Arial" w:cs="Arial"/>
                <w:b/>
                <w:bCs/>
                <w:sz w:val="22"/>
                <w:u w:val="single"/>
              </w:rPr>
              <w:t xml:space="preserve">cycle </w:t>
            </w:r>
            <w:r w:rsidRPr="001A1E48">
              <w:rPr>
                <w:rFonts w:ascii="Arial" w:hAnsi="Arial" w:cs="Arial"/>
                <w:b/>
                <w:sz w:val="22"/>
                <w:u w:val="single"/>
              </w:rPr>
              <w:t>ordinaire de rapport</w:t>
            </w:r>
            <w:r w:rsidRPr="001A1E48">
              <w:rPr>
                <w:rFonts w:ascii="Arial" w:hAnsi="Arial" w:cs="Arial"/>
                <w:bCs/>
                <w:sz w:val="22"/>
              </w:rPr>
              <w:t xml:space="preserve"> </w:t>
            </w:r>
            <w:r w:rsidRPr="001A1E48">
              <w:rPr>
                <w:rFonts w:ascii="Arial" w:hAnsi="Arial" w:cs="Arial"/>
                <w:sz w:val="22"/>
              </w:rPr>
              <w:t xml:space="preserve">établi par le Comité, conformément au paragraphe 152 ci-dessus. </w:t>
            </w:r>
          </w:p>
        </w:tc>
      </w:tr>
      <w:tr w:rsidR="0088350F" w:rsidRPr="001A1E48" w14:paraId="4CF28358" w14:textId="77777777" w:rsidTr="0012385F">
        <w:trPr>
          <w:cantSplit/>
        </w:trPr>
        <w:tc>
          <w:tcPr>
            <w:tcW w:w="308" w:type="pct"/>
          </w:tcPr>
          <w:p w14:paraId="57624492" w14:textId="77777777" w:rsidR="0088350F" w:rsidRPr="001A1E48" w:rsidRDefault="0088350F" w:rsidP="006C5D46">
            <w:pPr>
              <w:spacing w:before="120" w:after="120"/>
              <w:rPr>
                <w:rFonts w:ascii="Arial" w:hAnsi="Arial" w:cs="Arial"/>
                <w:color w:val="4F81BD" w:themeColor="accent1"/>
                <w:sz w:val="22"/>
                <w:szCs w:val="22"/>
              </w:rPr>
            </w:pPr>
            <w:r w:rsidRPr="001A1E48">
              <w:rPr>
                <w:rFonts w:ascii="Arial" w:hAnsi="Arial" w:cs="Arial"/>
                <w:b/>
                <w:color w:val="4F81BD" w:themeColor="accent1"/>
                <w:sz w:val="22"/>
              </w:rPr>
              <w:t>V.2</w:t>
            </w:r>
          </w:p>
        </w:tc>
        <w:tc>
          <w:tcPr>
            <w:tcW w:w="2155" w:type="pct"/>
          </w:tcPr>
          <w:p w14:paraId="6FED70E6" w14:textId="77777777" w:rsidR="0088350F" w:rsidRPr="001A1E48" w:rsidRDefault="0088350F" w:rsidP="006C5D46">
            <w:pPr>
              <w:spacing w:before="120" w:after="120"/>
              <w:jc w:val="both"/>
              <w:rPr>
                <w:rFonts w:ascii="Arial" w:hAnsi="Arial" w:cs="Arial"/>
                <w:color w:val="4F81BD" w:themeColor="accent1"/>
                <w:sz w:val="22"/>
                <w:szCs w:val="22"/>
              </w:rPr>
            </w:pPr>
            <w:r w:rsidRPr="001A1E48">
              <w:rPr>
                <w:rFonts w:ascii="Arial" w:hAnsi="Arial" w:cs="Arial"/>
                <w:b/>
                <w:color w:val="4F81BD" w:themeColor="accent1"/>
                <w:sz w:val="22"/>
              </w:rPr>
              <w:t>Rapports des États parties sur les éléments inscrits sur la Liste du patrimoine culturel immatériel nécessitant une sauvegarde urgente</w:t>
            </w:r>
          </w:p>
        </w:tc>
        <w:tc>
          <w:tcPr>
            <w:tcW w:w="277" w:type="pct"/>
            <w:gridSpan w:val="2"/>
          </w:tcPr>
          <w:p w14:paraId="03111BEC" w14:textId="77777777" w:rsidR="0088350F" w:rsidRPr="001A1E48" w:rsidRDefault="0088350F" w:rsidP="006C5D46">
            <w:pPr>
              <w:spacing w:before="120" w:after="120"/>
              <w:jc w:val="both"/>
              <w:rPr>
                <w:rFonts w:ascii="Arial" w:hAnsi="Arial" w:cs="Arial"/>
                <w:color w:val="4F81BD" w:themeColor="accent1"/>
                <w:sz w:val="22"/>
                <w:szCs w:val="22"/>
              </w:rPr>
            </w:pPr>
            <w:r w:rsidRPr="001A1E48">
              <w:rPr>
                <w:rFonts w:ascii="Arial" w:hAnsi="Arial" w:cs="Arial"/>
                <w:b/>
                <w:color w:val="4F81BD" w:themeColor="accent1"/>
                <w:sz w:val="22"/>
              </w:rPr>
              <w:t>V.2</w:t>
            </w:r>
          </w:p>
        </w:tc>
        <w:tc>
          <w:tcPr>
            <w:tcW w:w="2257" w:type="pct"/>
          </w:tcPr>
          <w:p w14:paraId="4268E3A8" w14:textId="73258F0B"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72E7A668" w14:textId="77777777" w:rsidTr="0012385F">
        <w:trPr>
          <w:cantSplit/>
        </w:trPr>
        <w:tc>
          <w:tcPr>
            <w:tcW w:w="308" w:type="pct"/>
          </w:tcPr>
          <w:p w14:paraId="0EA59340"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160.</w:t>
            </w:r>
          </w:p>
        </w:tc>
        <w:tc>
          <w:tcPr>
            <w:tcW w:w="2155" w:type="pct"/>
          </w:tcPr>
          <w:p w14:paraId="010EAE49"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Chaque État partie soumet au Comité des rapports sur l’état des éléments du patrimoine culturel immatériel présents sur son territoire qui ont été inscrits sur la Liste du patrimoine culturel immatériel nécessitant une sauvegarde urgente à sa demande ou, en cas d'extrême urgence, après l’avoir consulté. L’État partie s’efforce d'associer le plus largement possible les communautés, les groupes et, le cas échéant, les individus concernés ainsi que les organisations non gouvernementales pertinentes pendant le processus de préparation de ces rapports.</w:t>
            </w:r>
          </w:p>
        </w:tc>
        <w:tc>
          <w:tcPr>
            <w:tcW w:w="277" w:type="pct"/>
            <w:gridSpan w:val="2"/>
          </w:tcPr>
          <w:p w14:paraId="2B40C431"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160.</w:t>
            </w:r>
          </w:p>
        </w:tc>
        <w:tc>
          <w:tcPr>
            <w:tcW w:w="2257" w:type="pct"/>
          </w:tcPr>
          <w:p w14:paraId="6EB362F1" w14:textId="02ED9A6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5D2409BA" w14:textId="77777777" w:rsidTr="00A87092">
        <w:trPr>
          <w:cantSplit/>
        </w:trPr>
        <w:tc>
          <w:tcPr>
            <w:tcW w:w="308" w:type="pct"/>
          </w:tcPr>
          <w:p w14:paraId="3BE7C6C3"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lastRenderedPageBreak/>
              <w:t>161.</w:t>
            </w:r>
          </w:p>
        </w:tc>
        <w:tc>
          <w:tcPr>
            <w:tcW w:w="2155" w:type="pct"/>
          </w:tcPr>
          <w:p w14:paraId="45C0FEBB"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Ces rapports sont normalement soumis au Comité, au plus tard le 15 décembre de la quatrième année qui suit l’année au cours de laquelle l’élément a été inscrit, et ensuite tous les quatre ans. Le formulaire ICH-11 est utilisé pour ces rapports, il peut être rempli en ligne par chaque État partie (</w:t>
            </w:r>
            <w:hyperlink r:id="rId35" w:history="1">
              <w:r w:rsidRPr="001A1E48">
                <w:rPr>
                  <w:rFonts w:ascii="Arial" w:hAnsi="Arial" w:cs="Arial"/>
                  <w:b/>
                  <w:bCs/>
                  <w:color w:val="0000FF"/>
                  <w:sz w:val="22"/>
                  <w:u w:val="single"/>
                </w:rPr>
                <w:t>https://ich.unesco.org</w:t>
              </w:r>
            </w:hyperlink>
            <w:r w:rsidRPr="001A1E48">
              <w:rPr>
                <w:rFonts w:ascii="Arial" w:hAnsi="Arial" w:cs="Arial"/>
                <w:sz w:val="22"/>
              </w:rPr>
              <w:t>), et il est révisé par le Secrétariat à intervalles appropriés. Au moment de l’inscription, le Comité peut, au cas par cas, établir un calendrier spécifique pour la présentation des rapports qui prévaudra sur le cycle normal de quatre ans.</w:t>
            </w:r>
          </w:p>
        </w:tc>
        <w:tc>
          <w:tcPr>
            <w:tcW w:w="277" w:type="pct"/>
            <w:gridSpan w:val="2"/>
          </w:tcPr>
          <w:p w14:paraId="17F9283F"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161.</w:t>
            </w:r>
          </w:p>
        </w:tc>
        <w:tc>
          <w:tcPr>
            <w:tcW w:w="2257" w:type="pct"/>
            <w:shd w:val="clear" w:color="auto" w:fill="E1EBF7" w:themeFill="text2" w:themeFillTint="1A"/>
          </w:tcPr>
          <w:p w14:paraId="4C89CA55"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 xml:space="preserve">Ces rapports sont normalement soumis au Comité, au plus tard le </w:t>
            </w:r>
            <w:r w:rsidRPr="001A1E48">
              <w:rPr>
                <w:rFonts w:ascii="Arial" w:hAnsi="Arial" w:cs="Arial"/>
                <w:strike/>
                <w:sz w:val="22"/>
              </w:rPr>
              <w:t xml:space="preserve">15 décembre de la quatrième année qui suit l’année au cours de laquelle l’élément a été inscrit, et ensuite tous les quatre ans </w:t>
            </w:r>
            <w:r w:rsidRPr="001A1E48">
              <w:rPr>
                <w:rFonts w:ascii="Arial" w:hAnsi="Arial" w:cs="Arial"/>
                <w:b/>
                <w:color w:val="000000"/>
                <w:sz w:val="22"/>
                <w:u w:val="single"/>
              </w:rPr>
              <w:t>30 juin tous les quatre ans, sur la base d’un calendrier établi par le Comité</w:t>
            </w:r>
            <w:r w:rsidRPr="001A1E48">
              <w:rPr>
                <w:rFonts w:ascii="Arial" w:hAnsi="Arial" w:cs="Arial"/>
                <w:bCs/>
                <w:color w:val="000000"/>
                <w:sz w:val="22"/>
              </w:rPr>
              <w:t>.</w:t>
            </w:r>
            <w:r w:rsidRPr="001A1E48">
              <w:rPr>
                <w:rFonts w:ascii="Arial" w:hAnsi="Arial" w:cs="Arial"/>
                <w:sz w:val="22"/>
              </w:rPr>
              <w:t xml:space="preserve"> Le formulaire ICH-11 est utilisé pour ces rapports, il </w:t>
            </w:r>
            <w:r w:rsidRPr="001A1E48">
              <w:rPr>
                <w:rFonts w:ascii="Arial" w:hAnsi="Arial" w:cs="Arial"/>
                <w:color w:val="000000"/>
                <w:sz w:val="22"/>
              </w:rPr>
              <w:t xml:space="preserve">peut être </w:t>
            </w:r>
            <w:r w:rsidRPr="001A1E48">
              <w:rPr>
                <w:rFonts w:ascii="Arial" w:hAnsi="Arial" w:cs="Arial"/>
                <w:sz w:val="22"/>
              </w:rPr>
              <w:t>rempli en ligne par chaque État partie (</w:t>
            </w:r>
            <w:hyperlink r:id="rId36" w:history="1">
              <w:r w:rsidRPr="001A1E48">
                <w:rPr>
                  <w:rFonts w:ascii="Arial" w:hAnsi="Arial" w:cs="Arial"/>
                  <w:b/>
                  <w:bCs/>
                  <w:color w:val="0000FF"/>
                  <w:sz w:val="22"/>
                  <w:u w:val="single"/>
                </w:rPr>
                <w:t>https://ich.unesco.org</w:t>
              </w:r>
            </w:hyperlink>
            <w:r w:rsidRPr="001A1E48">
              <w:rPr>
                <w:rFonts w:ascii="Arial" w:hAnsi="Arial" w:cs="Arial"/>
                <w:sz w:val="22"/>
              </w:rPr>
              <w:t>), et il est révisé par le Secrétariat à intervalles appropriés. Au moment de l’inscription, le Comité peut, au cas par cas, établir un calendrier spécifique pour la présentation des rapports qui prévaudra sur le cycle normal de quatre ans.</w:t>
            </w:r>
          </w:p>
        </w:tc>
      </w:tr>
      <w:tr w:rsidR="0088350F" w:rsidRPr="001A1E48" w14:paraId="2BA3F30F" w14:textId="77777777" w:rsidTr="0012385F">
        <w:trPr>
          <w:cantSplit/>
        </w:trPr>
        <w:tc>
          <w:tcPr>
            <w:tcW w:w="308" w:type="pct"/>
          </w:tcPr>
          <w:p w14:paraId="4A95FF29"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162.</w:t>
            </w:r>
          </w:p>
        </w:tc>
        <w:tc>
          <w:tcPr>
            <w:tcW w:w="2155" w:type="pct"/>
          </w:tcPr>
          <w:p w14:paraId="776A9285"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L’État partie accorde une attention particulière au rôle du genre et fournit des informations décrivant l’état actuel de l’élément, notamment :</w:t>
            </w:r>
          </w:p>
          <w:p w14:paraId="4E83F539" w14:textId="77777777" w:rsidR="0088350F" w:rsidRPr="001A1E48" w:rsidRDefault="0088350F" w:rsidP="005423CA">
            <w:pPr>
              <w:numPr>
                <w:ilvl w:val="0"/>
                <w:numId w:val="12"/>
              </w:numPr>
              <w:spacing w:before="120" w:after="120"/>
              <w:ind w:left="493" w:hanging="493"/>
              <w:jc w:val="both"/>
              <w:rPr>
                <w:rFonts w:ascii="Arial" w:hAnsi="Arial" w:cs="Arial"/>
                <w:sz w:val="22"/>
                <w:szCs w:val="22"/>
              </w:rPr>
            </w:pPr>
            <w:r w:rsidRPr="001A1E48">
              <w:rPr>
                <w:rFonts w:ascii="Arial" w:hAnsi="Arial" w:cs="Arial"/>
                <w:sz w:val="22"/>
              </w:rPr>
              <w:t>ses fonctions sociales et culturelles ;</w:t>
            </w:r>
          </w:p>
          <w:p w14:paraId="37635DC1" w14:textId="77777777" w:rsidR="0088350F" w:rsidRPr="001A1E48" w:rsidRDefault="0088350F" w:rsidP="005423CA">
            <w:pPr>
              <w:numPr>
                <w:ilvl w:val="0"/>
                <w:numId w:val="12"/>
              </w:numPr>
              <w:spacing w:before="120" w:after="120"/>
              <w:ind w:left="493" w:hanging="493"/>
              <w:jc w:val="both"/>
              <w:rPr>
                <w:rFonts w:ascii="Arial" w:hAnsi="Arial" w:cs="Arial"/>
                <w:sz w:val="22"/>
                <w:szCs w:val="22"/>
              </w:rPr>
            </w:pPr>
            <w:r w:rsidRPr="001A1E48">
              <w:rPr>
                <w:rFonts w:ascii="Arial" w:hAnsi="Arial" w:cs="Arial"/>
                <w:sz w:val="22"/>
              </w:rPr>
              <w:t>une analyse de sa viabilité et des risques actuels auxquels il est confronté ;</w:t>
            </w:r>
          </w:p>
          <w:p w14:paraId="7A108AFA" w14:textId="77777777" w:rsidR="0088350F" w:rsidRPr="001A1E48" w:rsidRDefault="0088350F" w:rsidP="005423CA">
            <w:pPr>
              <w:numPr>
                <w:ilvl w:val="0"/>
                <w:numId w:val="12"/>
              </w:numPr>
              <w:spacing w:before="120" w:after="120"/>
              <w:ind w:left="493" w:hanging="493"/>
              <w:jc w:val="both"/>
              <w:rPr>
                <w:rFonts w:ascii="Arial" w:hAnsi="Arial" w:cs="Arial"/>
                <w:sz w:val="22"/>
                <w:szCs w:val="22"/>
              </w:rPr>
            </w:pPr>
            <w:r w:rsidRPr="001A1E48">
              <w:rPr>
                <w:rFonts w:ascii="Arial" w:hAnsi="Arial" w:cs="Arial"/>
                <w:sz w:val="22"/>
              </w:rPr>
              <w:t>les impacts des efforts de sauvegarde de l’élément, en particulier la mise en œuvre du plan de sauvegarde qui a été soumis au moment de la candidature ;</w:t>
            </w:r>
          </w:p>
          <w:p w14:paraId="67B09F2A" w14:textId="77777777" w:rsidR="0088350F" w:rsidRPr="001A1E48" w:rsidRDefault="0088350F" w:rsidP="005423CA">
            <w:pPr>
              <w:numPr>
                <w:ilvl w:val="0"/>
                <w:numId w:val="12"/>
              </w:numPr>
              <w:spacing w:before="120" w:after="120"/>
              <w:ind w:left="493" w:hanging="493"/>
              <w:jc w:val="both"/>
              <w:rPr>
                <w:rFonts w:ascii="Arial" w:hAnsi="Arial" w:cs="Arial"/>
                <w:sz w:val="22"/>
                <w:szCs w:val="22"/>
              </w:rPr>
            </w:pPr>
            <w:r w:rsidRPr="001A1E48">
              <w:rPr>
                <w:rFonts w:ascii="Arial" w:hAnsi="Arial" w:cs="Arial"/>
                <w:sz w:val="22"/>
              </w:rPr>
              <w:t>une mise à jour du plan de sauvegarde inclus dans le dossier de candidature ou le précédent rapport ;</w:t>
            </w:r>
          </w:p>
          <w:p w14:paraId="7DD70251" w14:textId="77777777" w:rsidR="0088350F" w:rsidRPr="001A1E48" w:rsidRDefault="0088350F" w:rsidP="005423CA">
            <w:pPr>
              <w:numPr>
                <w:ilvl w:val="0"/>
                <w:numId w:val="12"/>
              </w:numPr>
              <w:spacing w:before="120" w:after="120"/>
              <w:ind w:left="493" w:hanging="493"/>
              <w:jc w:val="both"/>
              <w:rPr>
                <w:rFonts w:ascii="Arial" w:hAnsi="Arial" w:cs="Arial"/>
                <w:sz w:val="22"/>
                <w:szCs w:val="22"/>
              </w:rPr>
            </w:pPr>
            <w:r w:rsidRPr="001A1E48">
              <w:rPr>
                <w:rFonts w:ascii="Arial" w:hAnsi="Arial" w:cs="Arial"/>
                <w:sz w:val="22"/>
              </w:rPr>
              <w:t>la participation des communautés, des groupes et des individus ainsi que des organisations non gouvernementales pertinentes à la sauvegarde de l’élément et leur volonté constante d’en assurer une sauvegarde continue.</w:t>
            </w:r>
          </w:p>
        </w:tc>
        <w:tc>
          <w:tcPr>
            <w:tcW w:w="277" w:type="pct"/>
            <w:gridSpan w:val="2"/>
          </w:tcPr>
          <w:p w14:paraId="3C80EB7E"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162.</w:t>
            </w:r>
          </w:p>
        </w:tc>
        <w:tc>
          <w:tcPr>
            <w:tcW w:w="2257" w:type="pct"/>
          </w:tcPr>
          <w:p w14:paraId="38D7033C" w14:textId="70490934"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3E23E83E" w14:textId="77777777" w:rsidTr="0012385F">
        <w:trPr>
          <w:cantSplit/>
        </w:trPr>
        <w:tc>
          <w:tcPr>
            <w:tcW w:w="308" w:type="pct"/>
          </w:tcPr>
          <w:p w14:paraId="4BB04D42"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lastRenderedPageBreak/>
              <w:t>163.</w:t>
            </w:r>
          </w:p>
        </w:tc>
        <w:tc>
          <w:tcPr>
            <w:tcW w:w="2155" w:type="pct"/>
          </w:tcPr>
          <w:p w14:paraId="4590A967"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L’État partie présente le contexte institutionnel dans lequel se déroule la sauvegarde de l’élément inscrit sur la Liste, notamment :</w:t>
            </w:r>
          </w:p>
          <w:p w14:paraId="59BFB8BF" w14:textId="77777777" w:rsidR="0088350F" w:rsidRPr="001A1E48" w:rsidRDefault="0088350F" w:rsidP="005423CA">
            <w:pPr>
              <w:numPr>
                <w:ilvl w:val="0"/>
                <w:numId w:val="13"/>
              </w:numPr>
              <w:spacing w:before="120" w:after="120"/>
              <w:ind w:left="656" w:hanging="656"/>
              <w:jc w:val="both"/>
              <w:rPr>
                <w:rFonts w:ascii="Arial" w:hAnsi="Arial" w:cs="Arial"/>
                <w:sz w:val="22"/>
                <w:szCs w:val="22"/>
              </w:rPr>
            </w:pPr>
            <w:r w:rsidRPr="001A1E48">
              <w:rPr>
                <w:rFonts w:ascii="Arial" w:hAnsi="Arial" w:cs="Arial"/>
                <w:sz w:val="22"/>
              </w:rPr>
              <w:t>le ou les organisme(s) compétent(s) impliqué(s) dans sa sauvegarde ;</w:t>
            </w:r>
          </w:p>
          <w:p w14:paraId="2B1F598B" w14:textId="77777777" w:rsidR="0088350F" w:rsidRPr="001A1E48" w:rsidRDefault="0088350F" w:rsidP="005423CA">
            <w:pPr>
              <w:numPr>
                <w:ilvl w:val="0"/>
                <w:numId w:val="13"/>
              </w:numPr>
              <w:spacing w:before="120" w:after="120"/>
              <w:ind w:left="656" w:hanging="656"/>
              <w:jc w:val="both"/>
              <w:rPr>
                <w:rFonts w:ascii="Arial" w:hAnsi="Arial" w:cs="Arial"/>
                <w:sz w:val="22"/>
                <w:szCs w:val="22"/>
              </w:rPr>
            </w:pPr>
            <w:r w:rsidRPr="001A1E48">
              <w:rPr>
                <w:rFonts w:ascii="Arial" w:hAnsi="Arial" w:cs="Arial"/>
                <w:sz w:val="22"/>
              </w:rPr>
              <w:t>la ou les organisation(s) de la communauté ou du groupe concernée(s) par l’élément et sa sauvegarde.</w:t>
            </w:r>
          </w:p>
        </w:tc>
        <w:tc>
          <w:tcPr>
            <w:tcW w:w="277" w:type="pct"/>
            <w:gridSpan w:val="2"/>
          </w:tcPr>
          <w:p w14:paraId="6CBB0162"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163.</w:t>
            </w:r>
          </w:p>
        </w:tc>
        <w:tc>
          <w:tcPr>
            <w:tcW w:w="2257" w:type="pct"/>
          </w:tcPr>
          <w:p w14:paraId="5D310F46" w14:textId="3CF2FB0A"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5029E5C2" w14:textId="77777777" w:rsidTr="0012385F">
        <w:trPr>
          <w:cantSplit/>
        </w:trPr>
        <w:tc>
          <w:tcPr>
            <w:tcW w:w="308" w:type="pct"/>
          </w:tcPr>
          <w:p w14:paraId="02915703"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164.</w:t>
            </w:r>
          </w:p>
        </w:tc>
        <w:tc>
          <w:tcPr>
            <w:tcW w:w="2155" w:type="pct"/>
          </w:tcPr>
          <w:p w14:paraId="1CC3C251"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 xml:space="preserve">Les États parties répondent, en temps utile, aux demandes d’informations complémentaires spécifiques qui leur sont adressées par le Comité, si nécessaire dans la limite des dates indiquées au paragraphe 161 ci-dessus. </w:t>
            </w:r>
          </w:p>
        </w:tc>
        <w:tc>
          <w:tcPr>
            <w:tcW w:w="277" w:type="pct"/>
            <w:gridSpan w:val="2"/>
          </w:tcPr>
          <w:p w14:paraId="1D02680F"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164.</w:t>
            </w:r>
          </w:p>
        </w:tc>
        <w:tc>
          <w:tcPr>
            <w:tcW w:w="2257" w:type="pct"/>
          </w:tcPr>
          <w:p w14:paraId="005ECEA3" w14:textId="509595CF"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7FEBB2B4" w14:textId="77777777" w:rsidTr="0012385F">
        <w:trPr>
          <w:cantSplit/>
        </w:trPr>
        <w:tc>
          <w:tcPr>
            <w:tcW w:w="308" w:type="pct"/>
          </w:tcPr>
          <w:p w14:paraId="72601333" w14:textId="77777777" w:rsidR="0088350F" w:rsidRPr="001A1E48" w:rsidRDefault="0088350F" w:rsidP="006C5D46">
            <w:pPr>
              <w:spacing w:before="120" w:after="120"/>
              <w:rPr>
                <w:rFonts w:ascii="Arial" w:hAnsi="Arial" w:cs="Arial"/>
                <w:color w:val="4F81BD" w:themeColor="accent1"/>
                <w:sz w:val="22"/>
                <w:szCs w:val="22"/>
              </w:rPr>
            </w:pPr>
            <w:r w:rsidRPr="001A1E48">
              <w:rPr>
                <w:rFonts w:ascii="Arial" w:hAnsi="Arial" w:cs="Arial"/>
                <w:b/>
                <w:color w:val="4F81BD" w:themeColor="accent1"/>
                <w:sz w:val="22"/>
              </w:rPr>
              <w:t>V.3</w:t>
            </w:r>
          </w:p>
        </w:tc>
        <w:tc>
          <w:tcPr>
            <w:tcW w:w="2155" w:type="pct"/>
          </w:tcPr>
          <w:p w14:paraId="6ACD7DF1" w14:textId="77777777" w:rsidR="0088350F" w:rsidRPr="001A1E48" w:rsidRDefault="0088350F" w:rsidP="006C5D46">
            <w:pPr>
              <w:spacing w:before="120" w:after="120"/>
              <w:jc w:val="both"/>
              <w:rPr>
                <w:rFonts w:ascii="Arial" w:hAnsi="Arial" w:cs="Arial"/>
                <w:color w:val="4F81BD" w:themeColor="accent1"/>
                <w:sz w:val="22"/>
                <w:szCs w:val="22"/>
              </w:rPr>
            </w:pPr>
            <w:r w:rsidRPr="001A1E48">
              <w:rPr>
                <w:rFonts w:ascii="Arial" w:hAnsi="Arial" w:cs="Arial"/>
                <w:b/>
                <w:color w:val="4F81BD" w:themeColor="accent1"/>
                <w:sz w:val="22"/>
              </w:rPr>
              <w:t>Réception et traitement des rapports</w:t>
            </w:r>
          </w:p>
        </w:tc>
        <w:tc>
          <w:tcPr>
            <w:tcW w:w="277" w:type="pct"/>
            <w:gridSpan w:val="2"/>
          </w:tcPr>
          <w:p w14:paraId="68656E79" w14:textId="77777777" w:rsidR="0088350F" w:rsidRPr="001A1E48" w:rsidRDefault="0088350F" w:rsidP="006C5D46">
            <w:pPr>
              <w:spacing w:before="120" w:after="120"/>
              <w:jc w:val="both"/>
              <w:rPr>
                <w:rFonts w:ascii="Arial" w:hAnsi="Arial" w:cs="Arial"/>
                <w:color w:val="4F81BD" w:themeColor="accent1"/>
                <w:sz w:val="22"/>
                <w:szCs w:val="22"/>
              </w:rPr>
            </w:pPr>
            <w:r w:rsidRPr="001A1E48">
              <w:rPr>
                <w:rFonts w:ascii="Arial" w:hAnsi="Arial" w:cs="Arial"/>
                <w:b/>
                <w:color w:val="4F81BD" w:themeColor="accent1"/>
                <w:sz w:val="22"/>
              </w:rPr>
              <w:t>V.3</w:t>
            </w:r>
          </w:p>
        </w:tc>
        <w:tc>
          <w:tcPr>
            <w:tcW w:w="2257" w:type="pct"/>
          </w:tcPr>
          <w:p w14:paraId="164C15C4" w14:textId="15A1049D"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06E3FF83" w14:textId="77777777" w:rsidTr="0012385F">
        <w:trPr>
          <w:cantSplit/>
        </w:trPr>
        <w:tc>
          <w:tcPr>
            <w:tcW w:w="308" w:type="pct"/>
          </w:tcPr>
          <w:p w14:paraId="10338D91"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165.</w:t>
            </w:r>
          </w:p>
        </w:tc>
        <w:tc>
          <w:tcPr>
            <w:tcW w:w="2155" w:type="pct"/>
          </w:tcPr>
          <w:p w14:paraId="24CAB5FD"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Dès réception des rapports des États parties, le Secrétariat les enregistre et en accuse réception. Si un rapport est incomplet, il est indiqué à l’État partie comment le compléter.</w:t>
            </w:r>
          </w:p>
        </w:tc>
        <w:tc>
          <w:tcPr>
            <w:tcW w:w="277" w:type="pct"/>
            <w:gridSpan w:val="2"/>
          </w:tcPr>
          <w:p w14:paraId="0FB47B3D"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165.</w:t>
            </w:r>
          </w:p>
        </w:tc>
        <w:tc>
          <w:tcPr>
            <w:tcW w:w="2257" w:type="pct"/>
          </w:tcPr>
          <w:p w14:paraId="19E87BD9" w14:textId="5D3AA96A"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3BEF87EC" w14:textId="77777777" w:rsidTr="00A87092">
        <w:trPr>
          <w:cantSplit/>
        </w:trPr>
        <w:tc>
          <w:tcPr>
            <w:tcW w:w="308" w:type="pct"/>
          </w:tcPr>
          <w:p w14:paraId="73CE0999" w14:textId="77777777" w:rsidR="0088350F" w:rsidRPr="001A1E48" w:rsidRDefault="0088350F" w:rsidP="006C5D46">
            <w:pPr>
              <w:spacing w:before="120" w:after="120"/>
              <w:rPr>
                <w:rFonts w:ascii="Arial" w:hAnsi="Arial" w:cs="Arial"/>
                <w:sz w:val="22"/>
                <w:szCs w:val="22"/>
              </w:rPr>
            </w:pPr>
            <w:bookmarkStart w:id="3" w:name="_Hlk208236816"/>
            <w:r w:rsidRPr="001A1E48">
              <w:rPr>
                <w:rFonts w:ascii="Arial" w:hAnsi="Arial" w:cs="Arial"/>
                <w:sz w:val="22"/>
              </w:rPr>
              <w:t>166.</w:t>
            </w:r>
          </w:p>
        </w:tc>
        <w:tc>
          <w:tcPr>
            <w:tcW w:w="2155" w:type="pct"/>
          </w:tcPr>
          <w:p w14:paraId="42531796"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Le Secrétariat transmet au Comité, quatre semaines avant sa session, un aperçu de tous les rapports reçus conformément au paragraphe 152. Cet aperçu est également mis en ligne pour consultation publique, de même que les rapports reçus conformément aux paragraphes 152 et 161, dans la langue dans laquelle ils ont été soumis par les États parties, sauf si le Comité en décide autrement dans des cas exceptionnels.</w:t>
            </w:r>
          </w:p>
        </w:tc>
        <w:tc>
          <w:tcPr>
            <w:tcW w:w="277" w:type="pct"/>
            <w:gridSpan w:val="2"/>
          </w:tcPr>
          <w:p w14:paraId="08BCA9A4"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166.</w:t>
            </w:r>
          </w:p>
        </w:tc>
        <w:tc>
          <w:tcPr>
            <w:tcW w:w="2257" w:type="pct"/>
            <w:shd w:val="clear" w:color="auto" w:fill="E1EBF7" w:themeFill="text2" w:themeFillTint="1A"/>
          </w:tcPr>
          <w:p w14:paraId="48C4AB61"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 xml:space="preserve">Le Secrétariat transmet au Comité, quatre semaines avant sa session, un aperçu de tous les rapports reçus conformément </w:t>
            </w:r>
            <w:r w:rsidRPr="001A1E48">
              <w:rPr>
                <w:rFonts w:ascii="Arial" w:hAnsi="Arial" w:cs="Arial"/>
                <w:strike/>
                <w:sz w:val="22"/>
              </w:rPr>
              <w:t>au paragraphe</w:t>
            </w:r>
            <w:r w:rsidRPr="001A1E48">
              <w:rPr>
                <w:rFonts w:ascii="Arial" w:hAnsi="Arial" w:cs="Arial"/>
                <w:sz w:val="22"/>
              </w:rPr>
              <w:t xml:space="preserve"> </w:t>
            </w:r>
            <w:r w:rsidRPr="001A1E48">
              <w:rPr>
                <w:rFonts w:ascii="Arial" w:hAnsi="Arial" w:cs="Arial"/>
                <w:b/>
                <w:bCs/>
                <w:sz w:val="22"/>
                <w:u w:val="single"/>
              </w:rPr>
              <w:t>aux paragraphes</w:t>
            </w:r>
            <w:r w:rsidRPr="001A1E48">
              <w:rPr>
                <w:rFonts w:ascii="Arial" w:hAnsi="Arial" w:cs="Arial"/>
                <w:sz w:val="22"/>
              </w:rPr>
              <w:t xml:space="preserve"> 152 </w:t>
            </w:r>
            <w:r w:rsidRPr="001A1E48">
              <w:rPr>
                <w:rFonts w:ascii="Arial" w:hAnsi="Arial" w:cs="Arial"/>
                <w:b/>
                <w:sz w:val="22"/>
                <w:u w:val="single"/>
              </w:rPr>
              <w:t>et 161, en conformité avec un calendrier établi par le Comité</w:t>
            </w:r>
            <w:r w:rsidRPr="001A1E48">
              <w:rPr>
                <w:rFonts w:ascii="Arial" w:hAnsi="Arial" w:cs="Arial"/>
                <w:bCs/>
                <w:sz w:val="22"/>
              </w:rPr>
              <w:t xml:space="preserve">. </w:t>
            </w:r>
            <w:r w:rsidRPr="001A1E48">
              <w:rPr>
                <w:rFonts w:ascii="Arial" w:hAnsi="Arial" w:cs="Arial"/>
                <w:sz w:val="22"/>
              </w:rPr>
              <w:t xml:space="preserve">Cet aperçu est également mis en ligne pour consultation publique, de même que les rapports reçus conformément aux paragraphes 152 et 161, dans la langue dans laquelle ils ont été soumis par les États parties, sauf si le Comité en décide autrement dans des cas exceptionnels. </w:t>
            </w:r>
          </w:p>
        </w:tc>
      </w:tr>
      <w:tr w:rsidR="0088350F" w:rsidRPr="001A1E48" w14:paraId="38A4DE1D" w14:textId="77777777" w:rsidTr="0012385F">
        <w:trPr>
          <w:cantSplit/>
        </w:trPr>
        <w:tc>
          <w:tcPr>
            <w:tcW w:w="308" w:type="pct"/>
          </w:tcPr>
          <w:p w14:paraId="6F3E40D9"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167.</w:t>
            </w:r>
          </w:p>
        </w:tc>
        <w:tc>
          <w:tcPr>
            <w:tcW w:w="2155" w:type="pct"/>
          </w:tcPr>
          <w:p w14:paraId="424AB60D"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Supprimé.</w:t>
            </w:r>
          </w:p>
        </w:tc>
        <w:tc>
          <w:tcPr>
            <w:tcW w:w="277" w:type="pct"/>
            <w:gridSpan w:val="2"/>
          </w:tcPr>
          <w:p w14:paraId="4736D5E2"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167.</w:t>
            </w:r>
          </w:p>
        </w:tc>
        <w:tc>
          <w:tcPr>
            <w:tcW w:w="2257" w:type="pct"/>
          </w:tcPr>
          <w:p w14:paraId="1DB80BAE" w14:textId="2E82320F"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bookmarkEnd w:id="3"/>
      <w:tr w:rsidR="0088350F" w:rsidRPr="001A1E48" w14:paraId="0EED6C72" w14:textId="77777777" w:rsidTr="0012385F">
        <w:trPr>
          <w:cantSplit/>
        </w:trPr>
        <w:tc>
          <w:tcPr>
            <w:tcW w:w="308" w:type="pct"/>
          </w:tcPr>
          <w:p w14:paraId="27E9D873" w14:textId="77777777" w:rsidR="0088350F" w:rsidRPr="001A1E48" w:rsidRDefault="0088350F" w:rsidP="006C5D46">
            <w:pPr>
              <w:spacing w:before="120" w:after="120"/>
              <w:rPr>
                <w:rFonts w:ascii="Arial" w:hAnsi="Arial" w:cs="Arial"/>
                <w:b/>
                <w:color w:val="4F81BD" w:themeColor="accent1"/>
                <w:sz w:val="22"/>
                <w:szCs w:val="22"/>
              </w:rPr>
            </w:pPr>
            <w:r w:rsidRPr="001A1E48">
              <w:rPr>
                <w:rFonts w:ascii="Arial" w:hAnsi="Arial" w:cs="Arial"/>
                <w:b/>
                <w:color w:val="4F81BD" w:themeColor="accent1"/>
                <w:sz w:val="22"/>
              </w:rPr>
              <w:t>V.4</w:t>
            </w:r>
          </w:p>
        </w:tc>
        <w:tc>
          <w:tcPr>
            <w:tcW w:w="2155" w:type="pct"/>
          </w:tcPr>
          <w:p w14:paraId="51218C6B" w14:textId="77777777" w:rsidR="0088350F" w:rsidRPr="001A1E48" w:rsidRDefault="0088350F" w:rsidP="006C5D46">
            <w:pPr>
              <w:spacing w:before="120" w:after="120"/>
              <w:jc w:val="both"/>
              <w:rPr>
                <w:rFonts w:ascii="Arial" w:hAnsi="Arial" w:cs="Arial"/>
                <w:b/>
                <w:color w:val="4F81BD" w:themeColor="accent1"/>
                <w:sz w:val="22"/>
                <w:szCs w:val="22"/>
              </w:rPr>
            </w:pPr>
            <w:r w:rsidRPr="001A1E48">
              <w:rPr>
                <w:rFonts w:ascii="Arial" w:hAnsi="Arial" w:cs="Arial"/>
                <w:b/>
                <w:color w:val="4F81BD" w:themeColor="accent1"/>
                <w:sz w:val="22"/>
              </w:rPr>
              <w:t>Rapports des États non parties à la Convention sur les éléments inscrits sur la Liste représentative du patrimoine culturel immatériel de l’humanité</w:t>
            </w:r>
          </w:p>
        </w:tc>
        <w:tc>
          <w:tcPr>
            <w:tcW w:w="277" w:type="pct"/>
            <w:gridSpan w:val="2"/>
          </w:tcPr>
          <w:p w14:paraId="0F14BA25" w14:textId="77777777" w:rsidR="0088350F" w:rsidRPr="001A1E48" w:rsidRDefault="0088350F" w:rsidP="006C5D46">
            <w:pPr>
              <w:spacing w:before="120" w:after="120"/>
              <w:jc w:val="both"/>
              <w:rPr>
                <w:rFonts w:ascii="Arial" w:hAnsi="Arial" w:cs="Arial"/>
                <w:color w:val="4F81BD" w:themeColor="accent1"/>
                <w:sz w:val="22"/>
                <w:szCs w:val="22"/>
              </w:rPr>
            </w:pPr>
            <w:r w:rsidRPr="001A1E48">
              <w:rPr>
                <w:rFonts w:ascii="Arial" w:hAnsi="Arial" w:cs="Arial"/>
                <w:b/>
                <w:color w:val="4F81BD" w:themeColor="accent1"/>
                <w:sz w:val="22"/>
              </w:rPr>
              <w:t>V.4</w:t>
            </w:r>
          </w:p>
        </w:tc>
        <w:tc>
          <w:tcPr>
            <w:tcW w:w="2257" w:type="pct"/>
          </w:tcPr>
          <w:p w14:paraId="2935C5AE" w14:textId="53C7282A"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1BC4A7E6" w14:textId="77777777" w:rsidTr="0012385F">
        <w:trPr>
          <w:cantSplit/>
        </w:trPr>
        <w:tc>
          <w:tcPr>
            <w:tcW w:w="308" w:type="pct"/>
          </w:tcPr>
          <w:p w14:paraId="456608C9"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lastRenderedPageBreak/>
              <w:t>168.</w:t>
            </w:r>
          </w:p>
        </w:tc>
        <w:tc>
          <w:tcPr>
            <w:tcW w:w="2155" w:type="pct"/>
          </w:tcPr>
          <w:p w14:paraId="766BE9C6"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Les paragraphes 157 à 159 et 165 à 166 des présentes Directives opérationnelles s’appliquent dans leur intégralité aux États non parties à la Convention qui ont sur leur territoire des éléments proclamés Chefs-d’œuvre ayant été intégrés dans la Liste représentative du patrimoine culturel immatériel de l’humanité, et qui ont consenti à accepter les droits et à assumer les obligations qui en découlent.</w:t>
            </w:r>
          </w:p>
        </w:tc>
        <w:tc>
          <w:tcPr>
            <w:tcW w:w="277" w:type="pct"/>
            <w:gridSpan w:val="2"/>
          </w:tcPr>
          <w:p w14:paraId="24F43A35"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168.</w:t>
            </w:r>
          </w:p>
        </w:tc>
        <w:tc>
          <w:tcPr>
            <w:tcW w:w="2257" w:type="pct"/>
          </w:tcPr>
          <w:p w14:paraId="4869BEAC" w14:textId="1A5CAE60"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Aucun changement</w:t>
            </w:r>
          </w:p>
        </w:tc>
      </w:tr>
      <w:tr w:rsidR="0088350F" w:rsidRPr="001A1E48" w14:paraId="0C5C60E2" w14:textId="77777777" w:rsidTr="00A87092">
        <w:trPr>
          <w:cantSplit/>
        </w:trPr>
        <w:tc>
          <w:tcPr>
            <w:tcW w:w="308" w:type="pct"/>
          </w:tcPr>
          <w:p w14:paraId="6269ED1B" w14:textId="77777777" w:rsidR="0088350F" w:rsidRPr="001A1E48" w:rsidRDefault="0088350F" w:rsidP="006C5D46">
            <w:pPr>
              <w:spacing w:before="120" w:after="120"/>
              <w:rPr>
                <w:rFonts w:ascii="Arial" w:hAnsi="Arial" w:cs="Arial"/>
                <w:sz w:val="22"/>
                <w:szCs w:val="22"/>
              </w:rPr>
            </w:pPr>
            <w:r w:rsidRPr="001A1E48">
              <w:rPr>
                <w:rFonts w:ascii="Arial" w:hAnsi="Arial" w:cs="Arial"/>
                <w:sz w:val="22"/>
              </w:rPr>
              <w:t>169.</w:t>
            </w:r>
          </w:p>
        </w:tc>
        <w:tc>
          <w:tcPr>
            <w:tcW w:w="2155" w:type="pct"/>
          </w:tcPr>
          <w:p w14:paraId="14BA1AC0" w14:textId="77777777" w:rsidR="0088350F" w:rsidRPr="001A1E48" w:rsidRDefault="0088350F" w:rsidP="006C5D46">
            <w:pPr>
              <w:spacing w:before="120" w:after="120"/>
              <w:jc w:val="both"/>
              <w:rPr>
                <w:rFonts w:ascii="Arial" w:hAnsi="Arial" w:cs="Arial"/>
                <w:sz w:val="22"/>
                <w:szCs w:val="22"/>
              </w:rPr>
            </w:pPr>
            <w:r w:rsidRPr="001A1E48">
              <w:rPr>
                <w:rFonts w:ascii="Arial" w:hAnsi="Arial" w:cs="Arial"/>
                <w:sz w:val="22"/>
              </w:rPr>
              <w:t xml:space="preserve">Ces rapports sont présentés au Comité par les États non parties au plus tard le 15 décembre 2014 et ensuite tous les six ans. Le formulaire ICH-10 est utilisé pour ces rapports, il peut être rempli en ligne par chaque État concerné </w:t>
            </w:r>
            <w:r w:rsidRPr="001A1E48">
              <w:rPr>
                <w:rFonts w:ascii="Arial" w:hAnsi="Arial" w:cs="Arial"/>
                <w:sz w:val="22"/>
                <w:szCs w:val="22"/>
              </w:rPr>
              <w:t>(</w:t>
            </w:r>
            <w:hyperlink r:id="rId37" w:history="1">
              <w:r w:rsidRPr="001A1E48">
                <w:rPr>
                  <w:rFonts w:ascii="Arial" w:hAnsi="Arial" w:cs="Arial"/>
                  <w:b/>
                  <w:bCs/>
                  <w:color w:val="0000FF"/>
                  <w:szCs w:val="22"/>
                  <w:u w:val="single"/>
                </w:rPr>
                <w:t>https://ich.unesco.org</w:t>
              </w:r>
            </w:hyperlink>
            <w:r w:rsidRPr="001A1E48">
              <w:rPr>
                <w:rFonts w:ascii="Arial" w:hAnsi="Arial" w:cs="Arial"/>
                <w:sz w:val="22"/>
                <w:szCs w:val="22"/>
              </w:rPr>
              <w:t>),</w:t>
            </w:r>
            <w:r w:rsidRPr="001A1E48">
              <w:rPr>
                <w:rFonts w:ascii="Arial" w:hAnsi="Arial" w:cs="Arial"/>
                <w:sz w:val="22"/>
              </w:rPr>
              <w:t xml:space="preserve"> et il est révisé par le Secrétariat à intervalles appropriés. </w:t>
            </w:r>
          </w:p>
        </w:tc>
        <w:tc>
          <w:tcPr>
            <w:tcW w:w="277" w:type="pct"/>
            <w:gridSpan w:val="2"/>
          </w:tcPr>
          <w:p w14:paraId="42A0E77B" w14:textId="77777777" w:rsidR="0088350F" w:rsidRPr="001A1E48" w:rsidRDefault="0088350F" w:rsidP="006C5D46">
            <w:pPr>
              <w:jc w:val="both"/>
              <w:rPr>
                <w:rFonts w:ascii="Arial" w:hAnsi="Arial" w:cs="Arial"/>
                <w:sz w:val="22"/>
                <w:szCs w:val="22"/>
              </w:rPr>
            </w:pPr>
            <w:r w:rsidRPr="001A1E48">
              <w:rPr>
                <w:rFonts w:ascii="Arial" w:hAnsi="Arial" w:cs="Arial"/>
                <w:sz w:val="22"/>
              </w:rPr>
              <w:t>169.</w:t>
            </w:r>
          </w:p>
        </w:tc>
        <w:tc>
          <w:tcPr>
            <w:tcW w:w="2257" w:type="pct"/>
            <w:shd w:val="clear" w:color="auto" w:fill="E1EBF7" w:themeFill="text2" w:themeFillTint="1A"/>
          </w:tcPr>
          <w:p w14:paraId="31DD2836" w14:textId="77777777" w:rsidR="0088350F" w:rsidRPr="001A1E48" w:rsidRDefault="0088350F" w:rsidP="006C5D46">
            <w:pPr>
              <w:jc w:val="both"/>
              <w:rPr>
                <w:rFonts w:ascii="Arial" w:hAnsi="Arial" w:cs="Arial"/>
                <w:sz w:val="22"/>
                <w:szCs w:val="22"/>
              </w:rPr>
            </w:pPr>
            <w:r w:rsidRPr="001A1E48">
              <w:rPr>
                <w:rFonts w:ascii="Arial" w:hAnsi="Arial" w:cs="Arial"/>
                <w:sz w:val="22"/>
              </w:rPr>
              <w:t xml:space="preserve">Ces rapports sont présentés au Comité par les États non </w:t>
            </w:r>
            <w:r w:rsidRPr="001A1E48">
              <w:rPr>
                <w:rFonts w:ascii="Arial" w:hAnsi="Arial" w:cs="Arial"/>
                <w:bCs/>
                <w:sz w:val="22"/>
              </w:rPr>
              <w:t xml:space="preserve">parties </w:t>
            </w:r>
            <w:r w:rsidRPr="001A1E48">
              <w:rPr>
                <w:rFonts w:ascii="Arial" w:hAnsi="Arial" w:cs="Arial"/>
                <w:sz w:val="22"/>
              </w:rPr>
              <w:t xml:space="preserve">au plus tard le </w:t>
            </w:r>
            <w:r w:rsidRPr="001A1E48">
              <w:rPr>
                <w:rFonts w:ascii="Arial" w:hAnsi="Arial" w:cs="Arial"/>
                <w:strike/>
                <w:sz w:val="22"/>
              </w:rPr>
              <w:t>15 décembre 2014 et ensuite tous les six ans</w:t>
            </w:r>
            <w:r w:rsidRPr="001A1E48">
              <w:rPr>
                <w:rFonts w:ascii="Arial" w:hAnsi="Arial" w:cs="Arial"/>
                <w:sz w:val="22"/>
              </w:rPr>
              <w:t xml:space="preserve"> </w:t>
            </w:r>
            <w:r w:rsidRPr="001A1E48">
              <w:rPr>
                <w:rFonts w:ascii="Arial" w:hAnsi="Arial" w:cs="Arial"/>
                <w:b/>
                <w:color w:val="000000"/>
                <w:sz w:val="22"/>
                <w:u w:val="single"/>
              </w:rPr>
              <w:t>30 juin</w:t>
            </w:r>
            <w:r w:rsidRPr="001A1E48">
              <w:rPr>
                <w:rFonts w:ascii="Arial" w:hAnsi="Arial" w:cs="Arial"/>
                <w:b/>
                <w:sz w:val="22"/>
                <w:u w:val="single"/>
              </w:rPr>
              <w:t xml:space="preserve"> tous les quatre</w:t>
            </w:r>
            <w:r w:rsidRPr="001A1E48">
              <w:rPr>
                <w:rFonts w:ascii="Arial" w:hAnsi="Arial" w:cs="Arial"/>
                <w:b/>
                <w:bCs/>
                <w:sz w:val="22"/>
                <w:u w:val="single"/>
              </w:rPr>
              <w:t xml:space="preserve"> ans, sur la base d’un calendrier établi par le Comité</w:t>
            </w:r>
            <w:r w:rsidRPr="001A1E48">
              <w:rPr>
                <w:rFonts w:ascii="Arial" w:hAnsi="Arial" w:cs="Arial"/>
                <w:sz w:val="22"/>
              </w:rPr>
              <w:t>. Le formulaire ICH-10 est utilisé pour ces rapports, il peut être rempli en ligne par chaque État concerné (</w:t>
            </w:r>
            <w:hyperlink r:id="rId38" w:history="1">
              <w:r w:rsidRPr="001A1E48">
                <w:rPr>
                  <w:rFonts w:ascii="Arial" w:hAnsi="Arial" w:cs="Arial"/>
                  <w:b/>
                  <w:bCs/>
                  <w:color w:val="0000FF"/>
                  <w:sz w:val="22"/>
                  <w:u w:val="single"/>
                </w:rPr>
                <w:t>https://ich.unesco.org</w:t>
              </w:r>
            </w:hyperlink>
            <w:r w:rsidRPr="001A1E48">
              <w:rPr>
                <w:rFonts w:ascii="Arial" w:hAnsi="Arial" w:cs="Arial"/>
                <w:sz w:val="22"/>
              </w:rPr>
              <w:t>), et il est révisé par le Secrétariat à intervalles appropriés.</w:t>
            </w:r>
          </w:p>
        </w:tc>
      </w:tr>
    </w:tbl>
    <w:p w14:paraId="4EFD7998" w14:textId="77777777" w:rsidR="0088350F" w:rsidRPr="001A1E48" w:rsidRDefault="0088350F">
      <w:pPr>
        <w:rPr>
          <w:rFonts w:ascii="Arial" w:hAnsi="Arial" w:cs="Arial"/>
        </w:rPr>
      </w:pPr>
    </w:p>
    <w:p w14:paraId="056D515D" w14:textId="77777777" w:rsidR="005B1129" w:rsidRPr="001A1E48" w:rsidRDefault="005B1129" w:rsidP="00417DE5">
      <w:pPr>
        <w:pStyle w:val="Heading4"/>
        <w:numPr>
          <w:ilvl w:val="0"/>
          <w:numId w:val="0"/>
        </w:numPr>
        <w:rPr>
          <w:rFonts w:eastAsia="SimSun" w:cs="Arial"/>
          <w:b w:val="0"/>
          <w:bCs w:val="0"/>
          <w:szCs w:val="22"/>
        </w:rPr>
      </w:pPr>
    </w:p>
    <w:sectPr w:rsidR="005B1129" w:rsidRPr="001A1E48" w:rsidSect="0088350F">
      <w:pgSz w:w="16838" w:h="11906" w:orient="landscape" w:code="9"/>
      <w:pgMar w:top="1134" w:right="1418" w:bottom="1134" w:left="1134" w:header="39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D0320" w14:textId="77777777" w:rsidR="006F490A" w:rsidRDefault="006F490A" w:rsidP="00655736">
      <w:r>
        <w:separator/>
      </w:r>
    </w:p>
  </w:endnote>
  <w:endnote w:type="continuationSeparator" w:id="0">
    <w:p w14:paraId="7595AE81" w14:textId="77777777" w:rsidR="006F490A" w:rsidRDefault="006F490A" w:rsidP="00655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6F117" w14:textId="77777777" w:rsidR="006F490A" w:rsidRDefault="006F490A" w:rsidP="00655736">
      <w:r>
        <w:separator/>
      </w:r>
    </w:p>
  </w:footnote>
  <w:footnote w:type="continuationSeparator" w:id="0">
    <w:p w14:paraId="3D72548B" w14:textId="77777777" w:rsidR="006F490A" w:rsidRDefault="006F490A" w:rsidP="00655736">
      <w:r>
        <w:continuationSeparator/>
      </w:r>
    </w:p>
  </w:footnote>
  <w:footnote w:id="1">
    <w:p w14:paraId="02894421" w14:textId="7F9BD656" w:rsidR="00DC7D3C" w:rsidRPr="00263C49" w:rsidRDefault="00DC7D3C" w:rsidP="00A87092">
      <w:pPr>
        <w:pStyle w:val="FootnoteText"/>
        <w:ind w:left="567" w:hanging="567"/>
        <w:jc w:val="both"/>
        <w:rPr>
          <w:rFonts w:ascii="Arial" w:hAnsi="Arial" w:cs="Arial"/>
          <w:sz w:val="18"/>
          <w:szCs w:val="18"/>
        </w:rPr>
      </w:pPr>
      <w:bookmarkStart w:id="1" w:name="_Hlk124351068"/>
      <w:r>
        <w:rPr>
          <w:rStyle w:val="FootnoteReference"/>
          <w:rFonts w:ascii="Arial" w:hAnsi="Arial" w:cs="Arial"/>
          <w:sz w:val="18"/>
          <w:szCs w:val="18"/>
        </w:rPr>
        <w:footnoteRef/>
      </w:r>
      <w:r>
        <w:rPr>
          <w:rFonts w:ascii="Arial" w:hAnsi="Arial"/>
          <w:sz w:val="18"/>
        </w:rPr>
        <w:t xml:space="preserve"> </w:t>
      </w:r>
      <w:r w:rsidR="00A87092">
        <w:rPr>
          <w:rFonts w:ascii="Arial" w:hAnsi="Arial"/>
          <w:sz w:val="18"/>
        </w:rPr>
        <w:tab/>
      </w:r>
      <w:r>
        <w:rPr>
          <w:rFonts w:ascii="Arial" w:hAnsi="Arial"/>
          <w:sz w:val="18"/>
        </w:rPr>
        <w:t xml:space="preserve">Amérique latine et Caraïbes (cycle 2021) : 87,5 %, Europe (cycle 2022) : 100 %, États arabes (cycle 2023) : 100 %, Afrique (cycle 2024) : 100 % et Asie et Pacifique (cycle 2025) : 90,4 %. Voir document </w:t>
      </w:r>
      <w:hyperlink r:id="rId1" w:history="1">
        <w:r w:rsidRPr="00151FE9">
          <w:rPr>
            <w:rStyle w:val="Hyperlink"/>
            <w:rFonts w:ascii="Arial" w:hAnsi="Arial"/>
            <w:sz w:val="18"/>
          </w:rPr>
          <w:t>LHE/25/20.COM/6.c</w:t>
        </w:r>
      </w:hyperlink>
      <w:r>
        <w:rPr>
          <w:rFonts w:ascii="Arial" w:hAnsi="Arial"/>
          <w:sz w:val="18"/>
        </w:rPr>
        <w:t xml:space="preserve">. </w:t>
      </w:r>
    </w:p>
    <w:bookmarkEnd w:id="1"/>
  </w:footnote>
  <w:footnote w:id="2">
    <w:p w14:paraId="778B18CA" w14:textId="38645D66" w:rsidR="00C92AB8" w:rsidRPr="00011933" w:rsidRDefault="00C92AB8" w:rsidP="00A87092">
      <w:pPr>
        <w:pStyle w:val="FootnoteText"/>
        <w:ind w:left="567" w:hanging="567"/>
        <w:jc w:val="both"/>
        <w:rPr>
          <w:rFonts w:ascii="Arial" w:hAnsi="Arial" w:cs="Arial"/>
          <w:sz w:val="18"/>
          <w:szCs w:val="18"/>
        </w:rPr>
      </w:pPr>
      <w:r>
        <w:rPr>
          <w:rStyle w:val="FootnoteReference"/>
          <w:rFonts w:ascii="Arial" w:hAnsi="Arial" w:cs="Arial"/>
          <w:sz w:val="18"/>
          <w:szCs w:val="18"/>
        </w:rPr>
        <w:footnoteRef/>
      </w:r>
      <w:r w:rsidR="00A87092">
        <w:t xml:space="preserve"> </w:t>
      </w:r>
      <w:r w:rsidR="00A87092">
        <w:tab/>
      </w:r>
      <w:r>
        <w:rPr>
          <w:rFonts w:ascii="Arial" w:hAnsi="Arial"/>
          <w:sz w:val="18"/>
        </w:rPr>
        <w:t>À l’heure actuelle, cela ne concerne qu’un seul État, la Fédération de Russie, qui, jusqu’à présent, a présenté ses rapports selon un cycle de six ans, calculé à partir de l’année d’in</w:t>
      </w:r>
      <w:r w:rsidR="00216683">
        <w:rPr>
          <w:rFonts w:ascii="Arial" w:hAnsi="Arial"/>
          <w:sz w:val="18"/>
        </w:rPr>
        <w:t>tégration</w:t>
      </w:r>
      <w:r>
        <w:rPr>
          <w:rFonts w:ascii="Arial" w:hAnsi="Arial"/>
          <w:sz w:val="18"/>
        </w:rPr>
        <w:t xml:space="preserve"> de ses deux </w:t>
      </w:r>
      <w:r w:rsidR="00216683">
        <w:rPr>
          <w:rFonts w:ascii="Arial" w:hAnsi="Arial"/>
          <w:sz w:val="18"/>
        </w:rPr>
        <w:t>C</w:t>
      </w:r>
      <w:r>
        <w:rPr>
          <w:rFonts w:ascii="Arial" w:hAnsi="Arial"/>
          <w:sz w:val="18"/>
        </w:rPr>
        <w:t xml:space="preserve">hefs-d’œuvre </w:t>
      </w:r>
      <w:r w:rsidR="003F6085">
        <w:rPr>
          <w:rFonts w:ascii="Arial" w:hAnsi="Arial"/>
          <w:sz w:val="18"/>
        </w:rPr>
        <w:t xml:space="preserve">dans </w:t>
      </w:r>
      <w:r>
        <w:rPr>
          <w:rFonts w:ascii="Arial" w:hAnsi="Arial"/>
          <w:sz w:val="18"/>
        </w:rPr>
        <w:t xml:space="preserve">la Liste représentative (2008). Par conséquent, les deux rapports initialement prévus pour le </w:t>
      </w:r>
      <w:r>
        <w:rPr>
          <w:rFonts w:ascii="Arial" w:hAnsi="Arial"/>
          <w:sz w:val="18"/>
          <w:u w:val="single"/>
        </w:rPr>
        <w:t>15 décembre 2026</w:t>
      </w:r>
      <w:r>
        <w:rPr>
          <w:rFonts w:ascii="Arial" w:hAnsi="Arial"/>
          <w:sz w:val="18"/>
        </w:rPr>
        <w:t xml:space="preserve"> devront être soumis au plus tard le </w:t>
      </w:r>
      <w:r>
        <w:rPr>
          <w:rFonts w:ascii="Arial" w:hAnsi="Arial"/>
          <w:sz w:val="18"/>
          <w:u w:val="single"/>
        </w:rPr>
        <w:t>30 juin 2027</w:t>
      </w:r>
      <w:r>
        <w:rPr>
          <w:rFonts w:ascii="Arial" w:hAnsi="Arial"/>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A055" w14:textId="5BCFC150" w:rsidR="00D95C4C" w:rsidRPr="00C23A97" w:rsidRDefault="00C5776D" w:rsidP="00C5776D">
    <w:pPr>
      <w:pStyle w:val="Header"/>
      <w:rPr>
        <w:rFonts w:ascii="Arial" w:hAnsi="Arial" w:cs="Arial"/>
      </w:rPr>
    </w:pPr>
    <w:r>
      <w:rPr>
        <w:rFonts w:ascii="Arial" w:hAnsi="Arial"/>
        <w:sz w:val="20"/>
      </w:rPr>
      <w:t>LHE/26/11.GA/7 – page </w:t>
    </w:r>
    <w:r w:rsidR="00D95C4C" w:rsidRPr="00C23A97">
      <w:rPr>
        <w:rStyle w:val="PageNumber"/>
        <w:rFonts w:ascii="Arial" w:hAnsi="Arial" w:cs="Arial"/>
        <w:sz w:val="20"/>
      </w:rPr>
      <w:fldChar w:fldCharType="begin"/>
    </w:r>
    <w:r w:rsidR="00D95C4C" w:rsidRPr="00C23A97">
      <w:rPr>
        <w:rStyle w:val="PageNumber"/>
        <w:rFonts w:ascii="Arial" w:hAnsi="Arial" w:cs="Arial"/>
        <w:sz w:val="20"/>
      </w:rPr>
      <w:instrText xml:space="preserve"> PAGE </w:instrText>
    </w:r>
    <w:r w:rsidR="00D95C4C" w:rsidRPr="00C23A97">
      <w:rPr>
        <w:rStyle w:val="PageNumber"/>
        <w:rFonts w:ascii="Arial" w:hAnsi="Arial" w:cs="Arial"/>
        <w:sz w:val="20"/>
      </w:rPr>
      <w:fldChar w:fldCharType="separate"/>
    </w:r>
    <w:r w:rsidR="006E75EB">
      <w:rPr>
        <w:rStyle w:val="PageNumber"/>
        <w:rFonts w:ascii="Arial" w:hAnsi="Arial" w:cs="Arial"/>
        <w:sz w:val="20"/>
      </w:rPr>
      <w:t>2</w:t>
    </w:r>
    <w:r w:rsidR="00D95C4C" w:rsidRPr="00C23A97">
      <w:rPr>
        <w:rStyle w:val="PageNumber"/>
        <w:rFonts w:ascii="Arial" w:hAnsi="Arial" w:cs="Arial"/>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231B" w14:textId="1B5DC208" w:rsidR="00D95C4C" w:rsidRPr="0063300C" w:rsidRDefault="00C5776D" w:rsidP="00C5776D">
    <w:pPr>
      <w:pStyle w:val="Header"/>
      <w:jc w:val="right"/>
      <w:rPr>
        <w:rFonts w:ascii="Arial" w:hAnsi="Arial" w:cs="Arial"/>
      </w:rPr>
    </w:pPr>
    <w:r>
      <w:rPr>
        <w:rFonts w:ascii="Arial" w:hAnsi="Arial"/>
        <w:sz w:val="20"/>
      </w:rPr>
      <w:t>LHE/26/11.GA/7 – page </w:t>
    </w:r>
    <w:r w:rsidR="004A34A0" w:rsidRPr="0063300C">
      <w:rPr>
        <w:rStyle w:val="PageNumber"/>
        <w:rFonts w:ascii="Arial" w:hAnsi="Arial" w:cs="Arial"/>
        <w:sz w:val="20"/>
      </w:rPr>
      <w:fldChar w:fldCharType="begin"/>
    </w:r>
    <w:r w:rsidR="004A34A0" w:rsidRPr="0063300C">
      <w:rPr>
        <w:rStyle w:val="PageNumber"/>
        <w:rFonts w:ascii="Arial" w:hAnsi="Arial" w:cs="Arial"/>
        <w:sz w:val="20"/>
      </w:rPr>
      <w:instrText xml:space="preserve"> PAGE </w:instrText>
    </w:r>
    <w:r w:rsidR="004A34A0" w:rsidRPr="0063300C">
      <w:rPr>
        <w:rStyle w:val="PageNumber"/>
        <w:rFonts w:ascii="Arial" w:hAnsi="Arial" w:cs="Arial"/>
        <w:sz w:val="20"/>
      </w:rPr>
      <w:fldChar w:fldCharType="separate"/>
    </w:r>
    <w:r w:rsidR="00190205">
      <w:rPr>
        <w:rStyle w:val="PageNumber"/>
        <w:rFonts w:ascii="Arial" w:hAnsi="Arial" w:cs="Arial"/>
        <w:sz w:val="20"/>
      </w:rPr>
      <w:t>3</w:t>
    </w:r>
    <w:r w:rsidR="004A34A0" w:rsidRPr="0063300C">
      <w:rPr>
        <w:rStyle w:val="PageNumber"/>
        <w:rFonts w:ascii="Arial" w:hAnsi="Arial" w:cs="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0B9E0" w14:textId="1B787446" w:rsidR="00D95C4C" w:rsidRPr="00E95AE2" w:rsidRDefault="00122E55">
    <w:pPr>
      <w:pStyle w:val="Header"/>
      <w:rPr>
        <w:sz w:val="22"/>
        <w:szCs w:val="22"/>
      </w:rPr>
    </w:pPr>
    <w:r>
      <w:rPr>
        <w:rFonts w:ascii="Arial" w:hAnsi="Arial" w:cs="Arial"/>
        <w:b/>
        <w:noProof/>
        <w:sz w:val="44"/>
        <w:szCs w:val="44"/>
        <w:lang w:val="pt-PT"/>
      </w:rPr>
      <w:drawing>
        <wp:anchor distT="0" distB="0" distL="114300" distR="114300" simplePos="0" relativeHeight="251659264" behindDoc="0" locked="0" layoutInCell="1" allowOverlap="1" wp14:anchorId="77115B32" wp14:editId="1E47F6CE">
          <wp:simplePos x="0" y="0"/>
          <wp:positionH relativeFrom="margin">
            <wp:posOffset>59635</wp:posOffset>
          </wp:positionH>
          <wp:positionV relativeFrom="paragraph">
            <wp:posOffset>19823</wp:posOffset>
          </wp:positionV>
          <wp:extent cx="1710000" cy="1436138"/>
          <wp:effectExtent l="0" t="0" r="508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00" cy="14361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7B917" w14:textId="3DF77E6D" w:rsidR="00D95C4C" w:rsidRPr="00D7105A" w:rsidRDefault="005C792B" w:rsidP="00C5776D">
    <w:pPr>
      <w:pStyle w:val="Header"/>
      <w:spacing w:after="520"/>
      <w:jc w:val="right"/>
      <w:rPr>
        <w:rFonts w:ascii="Arial" w:hAnsi="Arial" w:cs="Arial"/>
        <w:b/>
        <w:sz w:val="44"/>
        <w:szCs w:val="44"/>
      </w:rPr>
    </w:pPr>
    <w:r>
      <w:rPr>
        <w:rFonts w:ascii="Arial" w:hAnsi="Arial"/>
        <w:b/>
        <w:sz w:val="44"/>
      </w:rPr>
      <w:t>11 GA</w:t>
    </w:r>
  </w:p>
  <w:p w14:paraId="306484B8" w14:textId="1F1B681D" w:rsidR="00D95C4C" w:rsidRPr="00D7105A" w:rsidRDefault="00C5776D" w:rsidP="00C5776D">
    <w:pPr>
      <w:jc w:val="right"/>
      <w:rPr>
        <w:rFonts w:ascii="Arial" w:hAnsi="Arial" w:cs="Arial"/>
        <w:b/>
        <w:sz w:val="22"/>
        <w:szCs w:val="22"/>
      </w:rPr>
    </w:pPr>
    <w:r>
      <w:rPr>
        <w:rFonts w:ascii="Arial" w:hAnsi="Arial"/>
        <w:b/>
        <w:sz w:val="22"/>
      </w:rPr>
      <w:t>LHE/26/11.GA/7</w:t>
    </w:r>
  </w:p>
  <w:p w14:paraId="1B4446C3" w14:textId="2B05BC31" w:rsidR="00D95C4C" w:rsidRPr="00D7105A" w:rsidRDefault="00D95C4C" w:rsidP="00655736">
    <w:pPr>
      <w:jc w:val="right"/>
      <w:rPr>
        <w:rFonts w:ascii="Arial" w:eastAsiaTheme="minorEastAsia" w:hAnsi="Arial" w:cs="Arial"/>
        <w:b/>
        <w:sz w:val="22"/>
        <w:szCs w:val="22"/>
      </w:rPr>
    </w:pPr>
    <w:r>
      <w:rPr>
        <w:rFonts w:ascii="Arial" w:hAnsi="Arial"/>
        <w:b/>
        <w:sz w:val="22"/>
      </w:rPr>
      <w:t>Paris, le 18 mai 2026</w:t>
    </w:r>
  </w:p>
  <w:p w14:paraId="255B57FF" w14:textId="7A9F60F1" w:rsidR="00D95C4C" w:rsidRPr="00F32C23" w:rsidRDefault="00D95C4C" w:rsidP="00962034">
    <w:pPr>
      <w:spacing w:after="120"/>
      <w:jc w:val="right"/>
      <w:rPr>
        <w:rFonts w:ascii="Arial" w:hAnsi="Arial" w:cs="Arial"/>
        <w:b/>
        <w:sz w:val="22"/>
        <w:szCs w:val="22"/>
      </w:rPr>
    </w:pPr>
    <w:r>
      <w:rPr>
        <w:rFonts w:ascii="Arial" w:hAnsi="Arial"/>
        <w:b/>
        <w:sz w:val="22"/>
      </w:rPr>
      <w:t>Original : anglais</w:t>
    </w:r>
  </w:p>
  <w:p w14:paraId="3C4B8B1B" w14:textId="77777777" w:rsidR="00D95C4C" w:rsidRPr="00A87092" w:rsidRDefault="00D95C4C">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2481"/>
    <w:multiLevelType w:val="hybridMultilevel"/>
    <w:tmpl w:val="C458E90A"/>
    <w:lvl w:ilvl="0" w:tplc="7FB23842">
      <w:start w:val="1"/>
      <w:numFmt w:val="lowerLetter"/>
      <w:lvlText w:val="(%1)"/>
      <w:lvlJc w:val="left"/>
      <w:pPr>
        <w:ind w:left="393" w:hanging="360"/>
      </w:pPr>
      <w:rPr>
        <w:rFonts w:hint="default"/>
      </w:rPr>
    </w:lvl>
    <w:lvl w:ilvl="1" w:tplc="040C0019" w:tentative="1">
      <w:start w:val="1"/>
      <w:numFmt w:val="lowerLetter"/>
      <w:lvlText w:val="%2."/>
      <w:lvlJc w:val="left"/>
      <w:pPr>
        <w:ind w:left="1113" w:hanging="360"/>
      </w:pPr>
    </w:lvl>
    <w:lvl w:ilvl="2" w:tplc="040C001B" w:tentative="1">
      <w:start w:val="1"/>
      <w:numFmt w:val="lowerRoman"/>
      <w:lvlText w:val="%3."/>
      <w:lvlJc w:val="right"/>
      <w:pPr>
        <w:ind w:left="1833" w:hanging="180"/>
      </w:pPr>
    </w:lvl>
    <w:lvl w:ilvl="3" w:tplc="040C000F" w:tentative="1">
      <w:start w:val="1"/>
      <w:numFmt w:val="decimal"/>
      <w:lvlText w:val="%4."/>
      <w:lvlJc w:val="left"/>
      <w:pPr>
        <w:ind w:left="2553" w:hanging="360"/>
      </w:pPr>
    </w:lvl>
    <w:lvl w:ilvl="4" w:tplc="040C0019" w:tentative="1">
      <w:start w:val="1"/>
      <w:numFmt w:val="lowerLetter"/>
      <w:lvlText w:val="%5."/>
      <w:lvlJc w:val="left"/>
      <w:pPr>
        <w:ind w:left="3273" w:hanging="360"/>
      </w:pPr>
    </w:lvl>
    <w:lvl w:ilvl="5" w:tplc="040C001B" w:tentative="1">
      <w:start w:val="1"/>
      <w:numFmt w:val="lowerRoman"/>
      <w:lvlText w:val="%6."/>
      <w:lvlJc w:val="right"/>
      <w:pPr>
        <w:ind w:left="3993" w:hanging="180"/>
      </w:pPr>
    </w:lvl>
    <w:lvl w:ilvl="6" w:tplc="040C000F" w:tentative="1">
      <w:start w:val="1"/>
      <w:numFmt w:val="decimal"/>
      <w:lvlText w:val="%7."/>
      <w:lvlJc w:val="left"/>
      <w:pPr>
        <w:ind w:left="4713" w:hanging="360"/>
      </w:pPr>
    </w:lvl>
    <w:lvl w:ilvl="7" w:tplc="040C0019" w:tentative="1">
      <w:start w:val="1"/>
      <w:numFmt w:val="lowerLetter"/>
      <w:lvlText w:val="%8."/>
      <w:lvlJc w:val="left"/>
      <w:pPr>
        <w:ind w:left="5433" w:hanging="360"/>
      </w:pPr>
    </w:lvl>
    <w:lvl w:ilvl="8" w:tplc="040C001B" w:tentative="1">
      <w:start w:val="1"/>
      <w:numFmt w:val="lowerRoman"/>
      <w:lvlText w:val="%9."/>
      <w:lvlJc w:val="right"/>
      <w:pPr>
        <w:ind w:left="6153" w:hanging="180"/>
      </w:pPr>
    </w:lvl>
  </w:abstractNum>
  <w:abstractNum w:abstractNumId="1" w15:restartNumberingAfterBreak="0">
    <w:nsid w:val="070E5003"/>
    <w:multiLevelType w:val="hybridMultilevel"/>
    <w:tmpl w:val="E8F0BC7E"/>
    <w:lvl w:ilvl="0" w:tplc="FDC034F0">
      <w:start w:val="1"/>
      <w:numFmt w:val="lowerRoman"/>
      <w:lvlText w:val="(%1)"/>
      <w:lvlJc w:val="left"/>
      <w:pPr>
        <w:ind w:left="393" w:hanging="360"/>
      </w:pPr>
      <w:rPr>
        <w:rFonts w:hint="default"/>
      </w:rPr>
    </w:lvl>
    <w:lvl w:ilvl="1" w:tplc="FFFFFFFF" w:tentative="1">
      <w:start w:val="1"/>
      <w:numFmt w:val="lowerLetter"/>
      <w:lvlText w:val="%2."/>
      <w:lvlJc w:val="left"/>
      <w:pPr>
        <w:ind w:left="1113" w:hanging="360"/>
      </w:pPr>
    </w:lvl>
    <w:lvl w:ilvl="2" w:tplc="FFFFFFFF" w:tentative="1">
      <w:start w:val="1"/>
      <w:numFmt w:val="lowerRoman"/>
      <w:lvlText w:val="%3."/>
      <w:lvlJc w:val="right"/>
      <w:pPr>
        <w:ind w:left="1833" w:hanging="180"/>
      </w:pPr>
    </w:lvl>
    <w:lvl w:ilvl="3" w:tplc="FFFFFFFF" w:tentative="1">
      <w:start w:val="1"/>
      <w:numFmt w:val="decimal"/>
      <w:lvlText w:val="%4."/>
      <w:lvlJc w:val="left"/>
      <w:pPr>
        <w:ind w:left="2553" w:hanging="360"/>
      </w:pPr>
    </w:lvl>
    <w:lvl w:ilvl="4" w:tplc="FFFFFFFF" w:tentative="1">
      <w:start w:val="1"/>
      <w:numFmt w:val="lowerLetter"/>
      <w:lvlText w:val="%5."/>
      <w:lvlJc w:val="left"/>
      <w:pPr>
        <w:ind w:left="3273" w:hanging="360"/>
      </w:pPr>
    </w:lvl>
    <w:lvl w:ilvl="5" w:tplc="FFFFFFFF" w:tentative="1">
      <w:start w:val="1"/>
      <w:numFmt w:val="lowerRoman"/>
      <w:lvlText w:val="%6."/>
      <w:lvlJc w:val="right"/>
      <w:pPr>
        <w:ind w:left="3993" w:hanging="180"/>
      </w:pPr>
    </w:lvl>
    <w:lvl w:ilvl="6" w:tplc="FFFFFFFF" w:tentative="1">
      <w:start w:val="1"/>
      <w:numFmt w:val="decimal"/>
      <w:lvlText w:val="%7."/>
      <w:lvlJc w:val="left"/>
      <w:pPr>
        <w:ind w:left="4713" w:hanging="360"/>
      </w:pPr>
    </w:lvl>
    <w:lvl w:ilvl="7" w:tplc="FFFFFFFF" w:tentative="1">
      <w:start w:val="1"/>
      <w:numFmt w:val="lowerLetter"/>
      <w:lvlText w:val="%8."/>
      <w:lvlJc w:val="left"/>
      <w:pPr>
        <w:ind w:left="5433" w:hanging="360"/>
      </w:pPr>
    </w:lvl>
    <w:lvl w:ilvl="8" w:tplc="FFFFFFFF" w:tentative="1">
      <w:start w:val="1"/>
      <w:numFmt w:val="lowerRoman"/>
      <w:lvlText w:val="%9."/>
      <w:lvlJc w:val="right"/>
      <w:pPr>
        <w:ind w:left="6153" w:hanging="180"/>
      </w:pPr>
    </w:lvl>
  </w:abstractNum>
  <w:abstractNum w:abstractNumId="2" w15:restartNumberingAfterBreak="0">
    <w:nsid w:val="0C166C6B"/>
    <w:multiLevelType w:val="hybridMultilevel"/>
    <w:tmpl w:val="24DA2972"/>
    <w:lvl w:ilvl="0" w:tplc="5C68720E">
      <w:start w:val="1"/>
      <w:numFmt w:val="lowerLetter"/>
      <w:lvlText w:val="(%1)"/>
      <w:lvlJc w:val="left"/>
      <w:pPr>
        <w:ind w:left="1215" w:hanging="85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00B1C9C"/>
    <w:multiLevelType w:val="hybridMultilevel"/>
    <w:tmpl w:val="F60E309C"/>
    <w:lvl w:ilvl="0" w:tplc="CFBCE880">
      <w:start w:val="1"/>
      <w:numFmt w:val="bullet"/>
      <w:pStyle w:val="TIRETbul1cm"/>
      <w:lvlText w:val=""/>
      <w:lvlJc w:val="left"/>
      <w:pPr>
        <w:tabs>
          <w:tab w:val="num" w:pos="360"/>
        </w:tabs>
        <w:ind w:left="284" w:hanging="284"/>
      </w:pPr>
      <w:rPr>
        <w:rFonts w:ascii="Symbol" w:hAnsi="Symbol" w:hint="default"/>
      </w:rPr>
    </w:lvl>
    <w:lvl w:ilvl="1" w:tplc="0409000F">
      <w:start w:val="1"/>
      <w:numFmt w:val="decimal"/>
      <w:lvlText w:val="%2."/>
      <w:lvlJc w:val="left"/>
      <w:pPr>
        <w:tabs>
          <w:tab w:val="num" w:pos="1157"/>
        </w:tabs>
        <w:ind w:left="1157" w:hanging="360"/>
      </w:pPr>
      <w:rPr>
        <w:rFonts w:hint="default"/>
      </w:rPr>
    </w:lvl>
    <w:lvl w:ilvl="2" w:tplc="04090005" w:tentative="1">
      <w:start w:val="1"/>
      <w:numFmt w:val="bullet"/>
      <w:lvlText w:val=""/>
      <w:lvlJc w:val="left"/>
      <w:pPr>
        <w:tabs>
          <w:tab w:val="num" w:pos="1877"/>
        </w:tabs>
        <w:ind w:left="1877" w:hanging="360"/>
      </w:pPr>
      <w:rPr>
        <w:rFonts w:ascii="Wingdings" w:hAnsi="Wingdings" w:hint="default"/>
      </w:rPr>
    </w:lvl>
    <w:lvl w:ilvl="3" w:tplc="04090001" w:tentative="1">
      <w:start w:val="1"/>
      <w:numFmt w:val="bullet"/>
      <w:lvlText w:val=""/>
      <w:lvlJc w:val="left"/>
      <w:pPr>
        <w:tabs>
          <w:tab w:val="num" w:pos="2597"/>
        </w:tabs>
        <w:ind w:left="2597" w:hanging="360"/>
      </w:pPr>
      <w:rPr>
        <w:rFonts w:ascii="Symbol" w:hAnsi="Symbol" w:hint="default"/>
      </w:rPr>
    </w:lvl>
    <w:lvl w:ilvl="4" w:tplc="04090003" w:tentative="1">
      <w:start w:val="1"/>
      <w:numFmt w:val="bullet"/>
      <w:lvlText w:val="o"/>
      <w:lvlJc w:val="left"/>
      <w:pPr>
        <w:tabs>
          <w:tab w:val="num" w:pos="3317"/>
        </w:tabs>
        <w:ind w:left="3317" w:hanging="360"/>
      </w:pPr>
      <w:rPr>
        <w:rFonts w:ascii="Courier New" w:hAnsi="Courier New" w:hint="default"/>
      </w:rPr>
    </w:lvl>
    <w:lvl w:ilvl="5" w:tplc="04090005" w:tentative="1">
      <w:start w:val="1"/>
      <w:numFmt w:val="bullet"/>
      <w:lvlText w:val=""/>
      <w:lvlJc w:val="left"/>
      <w:pPr>
        <w:tabs>
          <w:tab w:val="num" w:pos="4037"/>
        </w:tabs>
        <w:ind w:left="4037" w:hanging="360"/>
      </w:pPr>
      <w:rPr>
        <w:rFonts w:ascii="Wingdings" w:hAnsi="Wingdings" w:hint="default"/>
      </w:rPr>
    </w:lvl>
    <w:lvl w:ilvl="6" w:tplc="04090001" w:tentative="1">
      <w:start w:val="1"/>
      <w:numFmt w:val="bullet"/>
      <w:lvlText w:val=""/>
      <w:lvlJc w:val="left"/>
      <w:pPr>
        <w:tabs>
          <w:tab w:val="num" w:pos="4757"/>
        </w:tabs>
        <w:ind w:left="4757" w:hanging="360"/>
      </w:pPr>
      <w:rPr>
        <w:rFonts w:ascii="Symbol" w:hAnsi="Symbol" w:hint="default"/>
      </w:rPr>
    </w:lvl>
    <w:lvl w:ilvl="7" w:tplc="04090003" w:tentative="1">
      <w:start w:val="1"/>
      <w:numFmt w:val="bullet"/>
      <w:lvlText w:val="o"/>
      <w:lvlJc w:val="left"/>
      <w:pPr>
        <w:tabs>
          <w:tab w:val="num" w:pos="5477"/>
        </w:tabs>
        <w:ind w:left="5477" w:hanging="360"/>
      </w:pPr>
      <w:rPr>
        <w:rFonts w:ascii="Courier New" w:hAnsi="Courier New" w:hint="default"/>
      </w:rPr>
    </w:lvl>
    <w:lvl w:ilvl="8" w:tplc="04090005" w:tentative="1">
      <w:start w:val="1"/>
      <w:numFmt w:val="bullet"/>
      <w:lvlText w:val=""/>
      <w:lvlJc w:val="left"/>
      <w:pPr>
        <w:tabs>
          <w:tab w:val="num" w:pos="6197"/>
        </w:tabs>
        <w:ind w:left="6197" w:hanging="360"/>
      </w:pPr>
      <w:rPr>
        <w:rFonts w:ascii="Wingdings" w:hAnsi="Wingdings" w:hint="default"/>
      </w:rPr>
    </w:lvl>
  </w:abstractNum>
  <w:abstractNum w:abstractNumId="4" w15:restartNumberingAfterBreak="0">
    <w:nsid w:val="2F1C047D"/>
    <w:multiLevelType w:val="hybridMultilevel"/>
    <w:tmpl w:val="B34C039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15:restartNumberingAfterBreak="0">
    <w:nsid w:val="35F07BFE"/>
    <w:multiLevelType w:val="hybridMultilevel"/>
    <w:tmpl w:val="59CC8118"/>
    <w:lvl w:ilvl="0" w:tplc="D55CD000">
      <w:start w:val="1"/>
      <w:numFmt w:val="decimal"/>
      <w:pStyle w:val="COMPara"/>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95B111E"/>
    <w:multiLevelType w:val="hybridMultilevel"/>
    <w:tmpl w:val="24DA2972"/>
    <w:lvl w:ilvl="0" w:tplc="5C68720E">
      <w:start w:val="1"/>
      <w:numFmt w:val="lowerLetter"/>
      <w:lvlText w:val="(%1)"/>
      <w:lvlJc w:val="left"/>
      <w:pPr>
        <w:ind w:left="1215" w:hanging="85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97A4DB1"/>
    <w:multiLevelType w:val="hybridMultilevel"/>
    <w:tmpl w:val="1F36D964"/>
    <w:lvl w:ilvl="0" w:tplc="918ACE6A">
      <w:start w:val="1"/>
      <w:numFmt w:val="decimal"/>
      <w:pStyle w:val="COMParaDecision"/>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8" w15:restartNumberingAfterBreak="0">
    <w:nsid w:val="3AC30BD2"/>
    <w:multiLevelType w:val="hybridMultilevel"/>
    <w:tmpl w:val="2F02E984"/>
    <w:lvl w:ilvl="0" w:tplc="DFC65752">
      <w:start w:val="1"/>
      <w:numFmt w:val="upperRoman"/>
      <w:pStyle w:val="Heading4"/>
      <w:lvlText w:val="%1."/>
      <w:lvlJc w:val="right"/>
      <w:pPr>
        <w:ind w:left="720" w:hanging="360"/>
      </w:pPr>
      <w:rPr>
        <w:rFonts w:hint="default"/>
        <w:b/>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7C22FB2"/>
    <w:multiLevelType w:val="hybridMultilevel"/>
    <w:tmpl w:val="C458E90A"/>
    <w:lvl w:ilvl="0" w:tplc="7FB23842">
      <w:start w:val="1"/>
      <w:numFmt w:val="lowerLetter"/>
      <w:lvlText w:val="(%1)"/>
      <w:lvlJc w:val="left"/>
      <w:pPr>
        <w:ind w:left="393" w:hanging="360"/>
      </w:pPr>
      <w:rPr>
        <w:rFonts w:hint="default"/>
      </w:rPr>
    </w:lvl>
    <w:lvl w:ilvl="1" w:tplc="040C0019" w:tentative="1">
      <w:start w:val="1"/>
      <w:numFmt w:val="lowerLetter"/>
      <w:lvlText w:val="%2."/>
      <w:lvlJc w:val="left"/>
      <w:pPr>
        <w:ind w:left="1113" w:hanging="360"/>
      </w:pPr>
    </w:lvl>
    <w:lvl w:ilvl="2" w:tplc="040C001B" w:tentative="1">
      <w:start w:val="1"/>
      <w:numFmt w:val="lowerRoman"/>
      <w:lvlText w:val="%3."/>
      <w:lvlJc w:val="right"/>
      <w:pPr>
        <w:ind w:left="1833" w:hanging="180"/>
      </w:pPr>
    </w:lvl>
    <w:lvl w:ilvl="3" w:tplc="040C000F" w:tentative="1">
      <w:start w:val="1"/>
      <w:numFmt w:val="decimal"/>
      <w:lvlText w:val="%4."/>
      <w:lvlJc w:val="left"/>
      <w:pPr>
        <w:ind w:left="2553" w:hanging="360"/>
      </w:pPr>
    </w:lvl>
    <w:lvl w:ilvl="4" w:tplc="040C0019" w:tentative="1">
      <w:start w:val="1"/>
      <w:numFmt w:val="lowerLetter"/>
      <w:lvlText w:val="%5."/>
      <w:lvlJc w:val="left"/>
      <w:pPr>
        <w:ind w:left="3273" w:hanging="360"/>
      </w:pPr>
    </w:lvl>
    <w:lvl w:ilvl="5" w:tplc="040C001B" w:tentative="1">
      <w:start w:val="1"/>
      <w:numFmt w:val="lowerRoman"/>
      <w:lvlText w:val="%6."/>
      <w:lvlJc w:val="right"/>
      <w:pPr>
        <w:ind w:left="3993" w:hanging="180"/>
      </w:pPr>
    </w:lvl>
    <w:lvl w:ilvl="6" w:tplc="040C000F" w:tentative="1">
      <w:start w:val="1"/>
      <w:numFmt w:val="decimal"/>
      <w:lvlText w:val="%7."/>
      <w:lvlJc w:val="left"/>
      <w:pPr>
        <w:ind w:left="4713" w:hanging="360"/>
      </w:pPr>
    </w:lvl>
    <w:lvl w:ilvl="7" w:tplc="040C0019" w:tentative="1">
      <w:start w:val="1"/>
      <w:numFmt w:val="lowerLetter"/>
      <w:lvlText w:val="%8."/>
      <w:lvlJc w:val="left"/>
      <w:pPr>
        <w:ind w:left="5433" w:hanging="360"/>
      </w:pPr>
    </w:lvl>
    <w:lvl w:ilvl="8" w:tplc="040C001B" w:tentative="1">
      <w:start w:val="1"/>
      <w:numFmt w:val="lowerRoman"/>
      <w:lvlText w:val="%9."/>
      <w:lvlJc w:val="right"/>
      <w:pPr>
        <w:ind w:left="6153" w:hanging="180"/>
      </w:pPr>
    </w:lvl>
  </w:abstractNum>
  <w:abstractNum w:abstractNumId="10" w15:restartNumberingAfterBreak="0">
    <w:nsid w:val="52CD5C83"/>
    <w:multiLevelType w:val="hybridMultilevel"/>
    <w:tmpl w:val="E7A6499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4C13D09"/>
    <w:multiLevelType w:val="hybridMultilevel"/>
    <w:tmpl w:val="24DA2972"/>
    <w:lvl w:ilvl="0" w:tplc="5C68720E">
      <w:start w:val="1"/>
      <w:numFmt w:val="lowerLetter"/>
      <w:lvlText w:val="(%1)"/>
      <w:lvlJc w:val="left"/>
      <w:pPr>
        <w:ind w:left="1215" w:hanging="85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9431ADA"/>
    <w:multiLevelType w:val="hybridMultilevel"/>
    <w:tmpl w:val="601A2D6C"/>
    <w:lvl w:ilvl="0" w:tplc="040C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5844D09"/>
    <w:multiLevelType w:val="hybridMultilevel"/>
    <w:tmpl w:val="24DA2972"/>
    <w:lvl w:ilvl="0" w:tplc="5C68720E">
      <w:start w:val="1"/>
      <w:numFmt w:val="lowerLetter"/>
      <w:lvlText w:val="(%1)"/>
      <w:lvlJc w:val="left"/>
      <w:pPr>
        <w:ind w:left="1215" w:hanging="85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2655861"/>
    <w:multiLevelType w:val="hybridMultilevel"/>
    <w:tmpl w:val="A236807A"/>
    <w:lvl w:ilvl="0" w:tplc="5B146A64">
      <w:start w:val="1"/>
      <w:numFmt w:val="lowerRoman"/>
      <w:pStyle w:val="i"/>
      <w:lvlText w:val="(%1)"/>
      <w:lvlJc w:val="left"/>
      <w:pPr>
        <w:ind w:left="1147" w:hanging="360"/>
      </w:pPr>
      <w:rPr>
        <w:rFonts w:cs="Times New Roman" w:hint="default"/>
      </w:rPr>
    </w:lvl>
    <w:lvl w:ilvl="1" w:tplc="040C0019" w:tentative="1">
      <w:start w:val="1"/>
      <w:numFmt w:val="lowerLetter"/>
      <w:lvlText w:val="%2."/>
      <w:lvlJc w:val="left"/>
      <w:pPr>
        <w:ind w:left="1867" w:hanging="360"/>
      </w:pPr>
      <w:rPr>
        <w:rFonts w:cs="Times New Roman"/>
      </w:rPr>
    </w:lvl>
    <w:lvl w:ilvl="2" w:tplc="040C001B" w:tentative="1">
      <w:start w:val="1"/>
      <w:numFmt w:val="lowerRoman"/>
      <w:lvlText w:val="%3."/>
      <w:lvlJc w:val="right"/>
      <w:pPr>
        <w:ind w:left="2587" w:hanging="180"/>
      </w:pPr>
      <w:rPr>
        <w:rFonts w:cs="Times New Roman"/>
      </w:rPr>
    </w:lvl>
    <w:lvl w:ilvl="3" w:tplc="040C000F" w:tentative="1">
      <w:start w:val="1"/>
      <w:numFmt w:val="decimal"/>
      <w:lvlText w:val="%4."/>
      <w:lvlJc w:val="left"/>
      <w:pPr>
        <w:ind w:left="3307" w:hanging="360"/>
      </w:pPr>
      <w:rPr>
        <w:rFonts w:cs="Times New Roman"/>
      </w:rPr>
    </w:lvl>
    <w:lvl w:ilvl="4" w:tplc="040C0019" w:tentative="1">
      <w:start w:val="1"/>
      <w:numFmt w:val="lowerLetter"/>
      <w:lvlText w:val="%5."/>
      <w:lvlJc w:val="left"/>
      <w:pPr>
        <w:ind w:left="4027" w:hanging="360"/>
      </w:pPr>
      <w:rPr>
        <w:rFonts w:cs="Times New Roman"/>
      </w:rPr>
    </w:lvl>
    <w:lvl w:ilvl="5" w:tplc="040C001B" w:tentative="1">
      <w:start w:val="1"/>
      <w:numFmt w:val="lowerRoman"/>
      <w:lvlText w:val="%6."/>
      <w:lvlJc w:val="right"/>
      <w:pPr>
        <w:ind w:left="4747" w:hanging="180"/>
      </w:pPr>
      <w:rPr>
        <w:rFonts w:cs="Times New Roman"/>
      </w:rPr>
    </w:lvl>
    <w:lvl w:ilvl="6" w:tplc="040C000F" w:tentative="1">
      <w:start w:val="1"/>
      <w:numFmt w:val="decimal"/>
      <w:lvlText w:val="%7."/>
      <w:lvlJc w:val="left"/>
      <w:pPr>
        <w:ind w:left="5467" w:hanging="360"/>
      </w:pPr>
      <w:rPr>
        <w:rFonts w:cs="Times New Roman"/>
      </w:rPr>
    </w:lvl>
    <w:lvl w:ilvl="7" w:tplc="040C0019" w:tentative="1">
      <w:start w:val="1"/>
      <w:numFmt w:val="lowerLetter"/>
      <w:lvlText w:val="%8."/>
      <w:lvlJc w:val="left"/>
      <w:pPr>
        <w:ind w:left="6187" w:hanging="360"/>
      </w:pPr>
      <w:rPr>
        <w:rFonts w:cs="Times New Roman"/>
      </w:rPr>
    </w:lvl>
    <w:lvl w:ilvl="8" w:tplc="040C001B" w:tentative="1">
      <w:start w:val="1"/>
      <w:numFmt w:val="lowerRoman"/>
      <w:lvlText w:val="%9."/>
      <w:lvlJc w:val="right"/>
      <w:pPr>
        <w:ind w:left="6907" w:hanging="180"/>
      </w:pPr>
      <w:rPr>
        <w:rFonts w:cs="Times New Roman"/>
      </w:rPr>
    </w:lvl>
  </w:abstractNum>
  <w:abstractNum w:abstractNumId="15" w15:restartNumberingAfterBreak="0">
    <w:nsid w:val="7C627CF4"/>
    <w:multiLevelType w:val="hybridMultilevel"/>
    <w:tmpl w:val="FA48674E"/>
    <w:lvl w:ilvl="0" w:tplc="040C0015">
      <w:start w:val="1"/>
      <w:numFmt w:val="upperLetter"/>
      <w:lvlText w:val="%1."/>
      <w:lvlJc w:val="left"/>
      <w:pPr>
        <w:ind w:left="502"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6" w15:restartNumberingAfterBreak="0">
    <w:nsid w:val="7E26587C"/>
    <w:multiLevelType w:val="hybridMultilevel"/>
    <w:tmpl w:val="C458E90A"/>
    <w:lvl w:ilvl="0" w:tplc="7FB23842">
      <w:start w:val="1"/>
      <w:numFmt w:val="lowerLetter"/>
      <w:lvlText w:val="(%1)"/>
      <w:lvlJc w:val="left"/>
      <w:pPr>
        <w:ind w:left="393" w:hanging="360"/>
      </w:pPr>
      <w:rPr>
        <w:rFonts w:hint="default"/>
      </w:rPr>
    </w:lvl>
    <w:lvl w:ilvl="1" w:tplc="040C0019" w:tentative="1">
      <w:start w:val="1"/>
      <w:numFmt w:val="lowerLetter"/>
      <w:lvlText w:val="%2."/>
      <w:lvlJc w:val="left"/>
      <w:pPr>
        <w:ind w:left="1113" w:hanging="360"/>
      </w:pPr>
    </w:lvl>
    <w:lvl w:ilvl="2" w:tplc="040C001B" w:tentative="1">
      <w:start w:val="1"/>
      <w:numFmt w:val="lowerRoman"/>
      <w:lvlText w:val="%3."/>
      <w:lvlJc w:val="right"/>
      <w:pPr>
        <w:ind w:left="1833" w:hanging="180"/>
      </w:pPr>
    </w:lvl>
    <w:lvl w:ilvl="3" w:tplc="040C000F" w:tentative="1">
      <w:start w:val="1"/>
      <w:numFmt w:val="decimal"/>
      <w:lvlText w:val="%4."/>
      <w:lvlJc w:val="left"/>
      <w:pPr>
        <w:ind w:left="2553" w:hanging="360"/>
      </w:pPr>
    </w:lvl>
    <w:lvl w:ilvl="4" w:tplc="040C0019" w:tentative="1">
      <w:start w:val="1"/>
      <w:numFmt w:val="lowerLetter"/>
      <w:lvlText w:val="%5."/>
      <w:lvlJc w:val="left"/>
      <w:pPr>
        <w:ind w:left="3273" w:hanging="360"/>
      </w:pPr>
    </w:lvl>
    <w:lvl w:ilvl="5" w:tplc="040C001B" w:tentative="1">
      <w:start w:val="1"/>
      <w:numFmt w:val="lowerRoman"/>
      <w:lvlText w:val="%6."/>
      <w:lvlJc w:val="right"/>
      <w:pPr>
        <w:ind w:left="3993" w:hanging="180"/>
      </w:pPr>
    </w:lvl>
    <w:lvl w:ilvl="6" w:tplc="040C000F" w:tentative="1">
      <w:start w:val="1"/>
      <w:numFmt w:val="decimal"/>
      <w:lvlText w:val="%7."/>
      <w:lvlJc w:val="left"/>
      <w:pPr>
        <w:ind w:left="4713" w:hanging="360"/>
      </w:pPr>
    </w:lvl>
    <w:lvl w:ilvl="7" w:tplc="040C0019" w:tentative="1">
      <w:start w:val="1"/>
      <w:numFmt w:val="lowerLetter"/>
      <w:lvlText w:val="%8."/>
      <w:lvlJc w:val="left"/>
      <w:pPr>
        <w:ind w:left="5433" w:hanging="360"/>
      </w:pPr>
    </w:lvl>
    <w:lvl w:ilvl="8" w:tplc="040C001B" w:tentative="1">
      <w:start w:val="1"/>
      <w:numFmt w:val="lowerRoman"/>
      <w:lvlText w:val="%9."/>
      <w:lvlJc w:val="right"/>
      <w:pPr>
        <w:ind w:left="6153" w:hanging="180"/>
      </w:pPr>
    </w:lvl>
  </w:abstractNum>
  <w:num w:numId="1" w16cid:durableId="2146270374">
    <w:abstractNumId w:val="3"/>
  </w:num>
  <w:num w:numId="2" w16cid:durableId="1533764642">
    <w:abstractNumId w:val="5"/>
  </w:num>
  <w:num w:numId="3" w16cid:durableId="1246129">
    <w:abstractNumId w:val="7"/>
  </w:num>
  <w:num w:numId="4" w16cid:durableId="1088770206">
    <w:abstractNumId w:val="8"/>
  </w:num>
  <w:num w:numId="5" w16cid:durableId="1263951029">
    <w:abstractNumId w:val="15"/>
  </w:num>
  <w:num w:numId="6" w16cid:durableId="1916472009">
    <w:abstractNumId w:val="13"/>
  </w:num>
  <w:num w:numId="7" w16cid:durableId="864561576">
    <w:abstractNumId w:val="16"/>
  </w:num>
  <w:num w:numId="8" w16cid:durableId="1838305019">
    <w:abstractNumId w:val="9"/>
  </w:num>
  <w:num w:numId="9" w16cid:durableId="1971208763">
    <w:abstractNumId w:val="14"/>
  </w:num>
  <w:num w:numId="10" w16cid:durableId="167334897">
    <w:abstractNumId w:val="0"/>
  </w:num>
  <w:num w:numId="11" w16cid:durableId="604074785">
    <w:abstractNumId w:val="6"/>
  </w:num>
  <w:num w:numId="12" w16cid:durableId="1422723053">
    <w:abstractNumId w:val="11"/>
  </w:num>
  <w:num w:numId="13" w16cid:durableId="1916621543">
    <w:abstractNumId w:val="2"/>
  </w:num>
  <w:num w:numId="14" w16cid:durableId="1285113166">
    <w:abstractNumId w:val="4"/>
  </w:num>
  <w:num w:numId="15" w16cid:durableId="942107534">
    <w:abstractNumId w:val="10"/>
  </w:num>
  <w:num w:numId="16" w16cid:durableId="1720786319">
    <w:abstractNumId w:val="12"/>
  </w:num>
  <w:num w:numId="17" w16cid:durableId="932324333">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542"/>
    <w:rsid w:val="000048ED"/>
    <w:rsid w:val="000114FD"/>
    <w:rsid w:val="00011933"/>
    <w:rsid w:val="00014915"/>
    <w:rsid w:val="000237EF"/>
    <w:rsid w:val="00027464"/>
    <w:rsid w:val="000324E2"/>
    <w:rsid w:val="00037148"/>
    <w:rsid w:val="00041A66"/>
    <w:rsid w:val="00042D88"/>
    <w:rsid w:val="0004715D"/>
    <w:rsid w:val="0005039A"/>
    <w:rsid w:val="0005176E"/>
    <w:rsid w:val="00056628"/>
    <w:rsid w:val="0006281D"/>
    <w:rsid w:val="00064F0B"/>
    <w:rsid w:val="000765F7"/>
    <w:rsid w:val="0007725F"/>
    <w:rsid w:val="000778CD"/>
    <w:rsid w:val="00077AB7"/>
    <w:rsid w:val="00081CD8"/>
    <w:rsid w:val="00090551"/>
    <w:rsid w:val="000925FD"/>
    <w:rsid w:val="000A3AB3"/>
    <w:rsid w:val="000A7117"/>
    <w:rsid w:val="000A7F0E"/>
    <w:rsid w:val="000B1C8F"/>
    <w:rsid w:val="000B47CF"/>
    <w:rsid w:val="000B5B8D"/>
    <w:rsid w:val="000C0D61"/>
    <w:rsid w:val="000E3A54"/>
    <w:rsid w:val="000E5F46"/>
    <w:rsid w:val="000F1B71"/>
    <w:rsid w:val="000F3A3F"/>
    <w:rsid w:val="001021F2"/>
    <w:rsid w:val="00102557"/>
    <w:rsid w:val="00120A07"/>
    <w:rsid w:val="00122E55"/>
    <w:rsid w:val="0012385F"/>
    <w:rsid w:val="00123D82"/>
    <w:rsid w:val="00126F31"/>
    <w:rsid w:val="00145016"/>
    <w:rsid w:val="00147A38"/>
    <w:rsid w:val="00151B11"/>
    <w:rsid w:val="00151FE9"/>
    <w:rsid w:val="0015767D"/>
    <w:rsid w:val="001607BF"/>
    <w:rsid w:val="00163C55"/>
    <w:rsid w:val="00164D56"/>
    <w:rsid w:val="00167B10"/>
    <w:rsid w:val="0017402F"/>
    <w:rsid w:val="001767A8"/>
    <w:rsid w:val="00180959"/>
    <w:rsid w:val="001835D0"/>
    <w:rsid w:val="00184297"/>
    <w:rsid w:val="00187E50"/>
    <w:rsid w:val="00190205"/>
    <w:rsid w:val="00192C2B"/>
    <w:rsid w:val="001948F2"/>
    <w:rsid w:val="0019526D"/>
    <w:rsid w:val="00196957"/>
    <w:rsid w:val="00196C1B"/>
    <w:rsid w:val="0019782B"/>
    <w:rsid w:val="001A1E48"/>
    <w:rsid w:val="001A46F8"/>
    <w:rsid w:val="001B0403"/>
    <w:rsid w:val="001B0F73"/>
    <w:rsid w:val="001C2DB7"/>
    <w:rsid w:val="001C3409"/>
    <w:rsid w:val="001C586F"/>
    <w:rsid w:val="001D07F1"/>
    <w:rsid w:val="001D14FE"/>
    <w:rsid w:val="001D5C04"/>
    <w:rsid w:val="001D5CB0"/>
    <w:rsid w:val="001E2AA0"/>
    <w:rsid w:val="001E7739"/>
    <w:rsid w:val="001E7D4C"/>
    <w:rsid w:val="001F1AE2"/>
    <w:rsid w:val="001F26CF"/>
    <w:rsid w:val="00200FFE"/>
    <w:rsid w:val="00211C2C"/>
    <w:rsid w:val="00216683"/>
    <w:rsid w:val="0022052F"/>
    <w:rsid w:val="00222A2D"/>
    <w:rsid w:val="00223029"/>
    <w:rsid w:val="00234745"/>
    <w:rsid w:val="002351A6"/>
    <w:rsid w:val="00235203"/>
    <w:rsid w:val="002407AF"/>
    <w:rsid w:val="00245501"/>
    <w:rsid w:val="00250EE1"/>
    <w:rsid w:val="00252FB5"/>
    <w:rsid w:val="00253F23"/>
    <w:rsid w:val="00254B26"/>
    <w:rsid w:val="0026085B"/>
    <w:rsid w:val="0026221A"/>
    <w:rsid w:val="0026340B"/>
    <w:rsid w:val="00263AAE"/>
    <w:rsid w:val="00263C49"/>
    <w:rsid w:val="00271ED9"/>
    <w:rsid w:val="0027466B"/>
    <w:rsid w:val="002814F6"/>
    <w:rsid w:val="002838A5"/>
    <w:rsid w:val="00285BB4"/>
    <w:rsid w:val="00291723"/>
    <w:rsid w:val="00296438"/>
    <w:rsid w:val="002A1169"/>
    <w:rsid w:val="002A7A0F"/>
    <w:rsid w:val="002B3BC4"/>
    <w:rsid w:val="002B4422"/>
    <w:rsid w:val="002B5308"/>
    <w:rsid w:val="002C030B"/>
    <w:rsid w:val="002C09E3"/>
    <w:rsid w:val="002C6A2C"/>
    <w:rsid w:val="002D1244"/>
    <w:rsid w:val="002D1463"/>
    <w:rsid w:val="002D4793"/>
    <w:rsid w:val="002E3493"/>
    <w:rsid w:val="002E6442"/>
    <w:rsid w:val="002F6998"/>
    <w:rsid w:val="00303888"/>
    <w:rsid w:val="00322D46"/>
    <w:rsid w:val="00324115"/>
    <w:rsid w:val="0032618F"/>
    <w:rsid w:val="00337CEB"/>
    <w:rsid w:val="00344473"/>
    <w:rsid w:val="00344844"/>
    <w:rsid w:val="00344B58"/>
    <w:rsid w:val="0034539A"/>
    <w:rsid w:val="00345CB4"/>
    <w:rsid w:val="00353A2A"/>
    <w:rsid w:val="00357964"/>
    <w:rsid w:val="00370890"/>
    <w:rsid w:val="0037171B"/>
    <w:rsid w:val="00371F4E"/>
    <w:rsid w:val="00372A64"/>
    <w:rsid w:val="00375D42"/>
    <w:rsid w:val="00376B34"/>
    <w:rsid w:val="00382504"/>
    <w:rsid w:val="0038490E"/>
    <w:rsid w:val="003927AA"/>
    <w:rsid w:val="003B0A16"/>
    <w:rsid w:val="003C31FC"/>
    <w:rsid w:val="003D069C"/>
    <w:rsid w:val="003D1145"/>
    <w:rsid w:val="003D7646"/>
    <w:rsid w:val="003D77C5"/>
    <w:rsid w:val="003F113A"/>
    <w:rsid w:val="003F3E63"/>
    <w:rsid w:val="003F50BC"/>
    <w:rsid w:val="003F6085"/>
    <w:rsid w:val="00403A70"/>
    <w:rsid w:val="00407480"/>
    <w:rsid w:val="00414643"/>
    <w:rsid w:val="004176DE"/>
    <w:rsid w:val="00417DE5"/>
    <w:rsid w:val="00420CDD"/>
    <w:rsid w:val="00421077"/>
    <w:rsid w:val="00424B0B"/>
    <w:rsid w:val="004313C4"/>
    <w:rsid w:val="00431D77"/>
    <w:rsid w:val="00435E69"/>
    <w:rsid w:val="0043659C"/>
    <w:rsid w:val="004421E5"/>
    <w:rsid w:val="004439EC"/>
    <w:rsid w:val="00452284"/>
    <w:rsid w:val="00453D7E"/>
    <w:rsid w:val="00455810"/>
    <w:rsid w:val="00457C8E"/>
    <w:rsid w:val="00464F1E"/>
    <w:rsid w:val="0047198C"/>
    <w:rsid w:val="00475817"/>
    <w:rsid w:val="00480175"/>
    <w:rsid w:val="004856CA"/>
    <w:rsid w:val="00485790"/>
    <w:rsid w:val="00487E67"/>
    <w:rsid w:val="004906B7"/>
    <w:rsid w:val="004925D2"/>
    <w:rsid w:val="00494FAC"/>
    <w:rsid w:val="0049705E"/>
    <w:rsid w:val="004A2875"/>
    <w:rsid w:val="004A34A0"/>
    <w:rsid w:val="004A67C0"/>
    <w:rsid w:val="004B18C7"/>
    <w:rsid w:val="004B700B"/>
    <w:rsid w:val="004B7B8B"/>
    <w:rsid w:val="004C7C82"/>
    <w:rsid w:val="004E06C1"/>
    <w:rsid w:val="004E66F2"/>
    <w:rsid w:val="004E6E46"/>
    <w:rsid w:val="004F5CB4"/>
    <w:rsid w:val="005008A8"/>
    <w:rsid w:val="00504B9E"/>
    <w:rsid w:val="00515050"/>
    <w:rsid w:val="00517FD8"/>
    <w:rsid w:val="005242C0"/>
    <w:rsid w:val="00526B7B"/>
    <w:rsid w:val="005274D2"/>
    <w:rsid w:val="00527BEE"/>
    <w:rsid w:val="005308CE"/>
    <w:rsid w:val="0053318C"/>
    <w:rsid w:val="00541F2A"/>
    <w:rsid w:val="005423CA"/>
    <w:rsid w:val="00544C93"/>
    <w:rsid w:val="0054535F"/>
    <w:rsid w:val="005468A4"/>
    <w:rsid w:val="00554E57"/>
    <w:rsid w:val="00555102"/>
    <w:rsid w:val="00561114"/>
    <w:rsid w:val="005637B2"/>
    <w:rsid w:val="0057205D"/>
    <w:rsid w:val="0057439C"/>
    <w:rsid w:val="00585426"/>
    <w:rsid w:val="00590976"/>
    <w:rsid w:val="005960FA"/>
    <w:rsid w:val="005B0127"/>
    <w:rsid w:val="005B1129"/>
    <w:rsid w:val="005B3355"/>
    <w:rsid w:val="005B7A35"/>
    <w:rsid w:val="005C26C4"/>
    <w:rsid w:val="005C4B73"/>
    <w:rsid w:val="005C5990"/>
    <w:rsid w:val="005C792B"/>
    <w:rsid w:val="005D28DA"/>
    <w:rsid w:val="005D39F8"/>
    <w:rsid w:val="005D7F98"/>
    <w:rsid w:val="005E1D2B"/>
    <w:rsid w:val="005E7074"/>
    <w:rsid w:val="005E77EC"/>
    <w:rsid w:val="005F2BAF"/>
    <w:rsid w:val="005F773B"/>
    <w:rsid w:val="00600D93"/>
    <w:rsid w:val="00604A16"/>
    <w:rsid w:val="0061208E"/>
    <w:rsid w:val="0062122E"/>
    <w:rsid w:val="00622FA4"/>
    <w:rsid w:val="00623E61"/>
    <w:rsid w:val="00626BEA"/>
    <w:rsid w:val="0063300C"/>
    <w:rsid w:val="006361C5"/>
    <w:rsid w:val="00651A5B"/>
    <w:rsid w:val="00655736"/>
    <w:rsid w:val="00663B8D"/>
    <w:rsid w:val="00666D10"/>
    <w:rsid w:val="0067233C"/>
    <w:rsid w:val="00676103"/>
    <w:rsid w:val="0068042E"/>
    <w:rsid w:val="0068488F"/>
    <w:rsid w:val="00696C8D"/>
    <w:rsid w:val="006A2AC2"/>
    <w:rsid w:val="006A3617"/>
    <w:rsid w:val="006B4452"/>
    <w:rsid w:val="006C0BC3"/>
    <w:rsid w:val="006D6C7E"/>
    <w:rsid w:val="006E0A8B"/>
    <w:rsid w:val="006E46E4"/>
    <w:rsid w:val="006E75EB"/>
    <w:rsid w:val="006F490A"/>
    <w:rsid w:val="007037AB"/>
    <w:rsid w:val="00717DA5"/>
    <w:rsid w:val="00722E2C"/>
    <w:rsid w:val="007333D0"/>
    <w:rsid w:val="00744162"/>
    <w:rsid w:val="00744484"/>
    <w:rsid w:val="00747566"/>
    <w:rsid w:val="007558FF"/>
    <w:rsid w:val="0076778A"/>
    <w:rsid w:val="00773188"/>
    <w:rsid w:val="007775AC"/>
    <w:rsid w:val="00783782"/>
    <w:rsid w:val="00784B8C"/>
    <w:rsid w:val="007879E1"/>
    <w:rsid w:val="007B2943"/>
    <w:rsid w:val="007B6550"/>
    <w:rsid w:val="007C1C86"/>
    <w:rsid w:val="007C21A3"/>
    <w:rsid w:val="007D67DD"/>
    <w:rsid w:val="007E459F"/>
    <w:rsid w:val="007E57AA"/>
    <w:rsid w:val="00801558"/>
    <w:rsid w:val="00820971"/>
    <w:rsid w:val="0082337A"/>
    <w:rsid w:val="00823A11"/>
    <w:rsid w:val="00826C84"/>
    <w:rsid w:val="008334F7"/>
    <w:rsid w:val="00833E50"/>
    <w:rsid w:val="00844D13"/>
    <w:rsid w:val="00845AEF"/>
    <w:rsid w:val="008510B0"/>
    <w:rsid w:val="0085405E"/>
    <w:rsid w:val="0085414A"/>
    <w:rsid w:val="00857565"/>
    <w:rsid w:val="00857EB9"/>
    <w:rsid w:val="0086269D"/>
    <w:rsid w:val="0086543A"/>
    <w:rsid w:val="00866DC7"/>
    <w:rsid w:val="00870AD7"/>
    <w:rsid w:val="00870C7F"/>
    <w:rsid w:val="008724E5"/>
    <w:rsid w:val="008765C9"/>
    <w:rsid w:val="0088350F"/>
    <w:rsid w:val="00884A9D"/>
    <w:rsid w:val="0088512B"/>
    <w:rsid w:val="0089087A"/>
    <w:rsid w:val="008A2B2D"/>
    <w:rsid w:val="008A4E1E"/>
    <w:rsid w:val="008A575E"/>
    <w:rsid w:val="008A6458"/>
    <w:rsid w:val="008B6268"/>
    <w:rsid w:val="008C296C"/>
    <w:rsid w:val="008C488B"/>
    <w:rsid w:val="008D4305"/>
    <w:rsid w:val="008E1A85"/>
    <w:rsid w:val="008E344F"/>
    <w:rsid w:val="008E37E7"/>
    <w:rsid w:val="008F19D9"/>
    <w:rsid w:val="009009F5"/>
    <w:rsid w:val="00903A44"/>
    <w:rsid w:val="009163A7"/>
    <w:rsid w:val="009214F5"/>
    <w:rsid w:val="009268BE"/>
    <w:rsid w:val="009329D6"/>
    <w:rsid w:val="00932F72"/>
    <w:rsid w:val="00937014"/>
    <w:rsid w:val="00937D53"/>
    <w:rsid w:val="00945319"/>
    <w:rsid w:val="00946BAF"/>
    <w:rsid w:val="00946D0B"/>
    <w:rsid w:val="0095436D"/>
    <w:rsid w:val="00955877"/>
    <w:rsid w:val="00962034"/>
    <w:rsid w:val="00970594"/>
    <w:rsid w:val="0097321D"/>
    <w:rsid w:val="00976382"/>
    <w:rsid w:val="00983270"/>
    <w:rsid w:val="00985598"/>
    <w:rsid w:val="00986AFE"/>
    <w:rsid w:val="0099273E"/>
    <w:rsid w:val="009A18CD"/>
    <w:rsid w:val="009B0DCF"/>
    <w:rsid w:val="009B413E"/>
    <w:rsid w:val="009D5428"/>
    <w:rsid w:val="009D77AB"/>
    <w:rsid w:val="009E5295"/>
    <w:rsid w:val="009F2DF1"/>
    <w:rsid w:val="009F7B59"/>
    <w:rsid w:val="00A10EC1"/>
    <w:rsid w:val="00A12558"/>
    <w:rsid w:val="00A13903"/>
    <w:rsid w:val="00A266AC"/>
    <w:rsid w:val="00A348BB"/>
    <w:rsid w:val="00A34ED5"/>
    <w:rsid w:val="00A361B9"/>
    <w:rsid w:val="00A37950"/>
    <w:rsid w:val="00A44888"/>
    <w:rsid w:val="00A45DBF"/>
    <w:rsid w:val="00A50236"/>
    <w:rsid w:val="00A533B5"/>
    <w:rsid w:val="00A5749E"/>
    <w:rsid w:val="00A70204"/>
    <w:rsid w:val="00A725CF"/>
    <w:rsid w:val="00A755A2"/>
    <w:rsid w:val="00A8153B"/>
    <w:rsid w:val="00A83049"/>
    <w:rsid w:val="00A8308D"/>
    <w:rsid w:val="00A8416A"/>
    <w:rsid w:val="00A86DD6"/>
    <w:rsid w:val="00A87092"/>
    <w:rsid w:val="00A90E5C"/>
    <w:rsid w:val="00A91430"/>
    <w:rsid w:val="00AA3C8D"/>
    <w:rsid w:val="00AA590D"/>
    <w:rsid w:val="00AA6660"/>
    <w:rsid w:val="00AB2C36"/>
    <w:rsid w:val="00AB6DDE"/>
    <w:rsid w:val="00AB70B6"/>
    <w:rsid w:val="00AC18C1"/>
    <w:rsid w:val="00AC1B9E"/>
    <w:rsid w:val="00AC1F9D"/>
    <w:rsid w:val="00AD1A86"/>
    <w:rsid w:val="00AD58BD"/>
    <w:rsid w:val="00AD5C46"/>
    <w:rsid w:val="00AD7CA3"/>
    <w:rsid w:val="00AE103E"/>
    <w:rsid w:val="00AE6857"/>
    <w:rsid w:val="00AF0A07"/>
    <w:rsid w:val="00AF4AEC"/>
    <w:rsid w:val="00AF625E"/>
    <w:rsid w:val="00B00BCE"/>
    <w:rsid w:val="00B02D4F"/>
    <w:rsid w:val="00B03046"/>
    <w:rsid w:val="00B03BCF"/>
    <w:rsid w:val="00B11841"/>
    <w:rsid w:val="00B139BE"/>
    <w:rsid w:val="00B17EF8"/>
    <w:rsid w:val="00B2172B"/>
    <w:rsid w:val="00B24FC3"/>
    <w:rsid w:val="00B25613"/>
    <w:rsid w:val="00B26DA8"/>
    <w:rsid w:val="00B3394B"/>
    <w:rsid w:val="00B34428"/>
    <w:rsid w:val="00B5202F"/>
    <w:rsid w:val="00B635A2"/>
    <w:rsid w:val="00B73602"/>
    <w:rsid w:val="00B76C42"/>
    <w:rsid w:val="00B84546"/>
    <w:rsid w:val="00B85074"/>
    <w:rsid w:val="00B864BD"/>
    <w:rsid w:val="00B87C3B"/>
    <w:rsid w:val="00B917D2"/>
    <w:rsid w:val="00B97EB3"/>
    <w:rsid w:val="00BA001B"/>
    <w:rsid w:val="00BA198A"/>
    <w:rsid w:val="00BA241A"/>
    <w:rsid w:val="00BA5BE9"/>
    <w:rsid w:val="00BA6F92"/>
    <w:rsid w:val="00BB04AF"/>
    <w:rsid w:val="00BB6EEC"/>
    <w:rsid w:val="00BB6FBC"/>
    <w:rsid w:val="00BB792E"/>
    <w:rsid w:val="00BD52C9"/>
    <w:rsid w:val="00BE6354"/>
    <w:rsid w:val="00BE6E70"/>
    <w:rsid w:val="00BF0277"/>
    <w:rsid w:val="00BF0F53"/>
    <w:rsid w:val="00BF590E"/>
    <w:rsid w:val="00C062E0"/>
    <w:rsid w:val="00C138B7"/>
    <w:rsid w:val="00C138D1"/>
    <w:rsid w:val="00C16E8C"/>
    <w:rsid w:val="00C20B88"/>
    <w:rsid w:val="00C2225F"/>
    <w:rsid w:val="00C23A97"/>
    <w:rsid w:val="00C26EBD"/>
    <w:rsid w:val="00C3123A"/>
    <w:rsid w:val="00C3573D"/>
    <w:rsid w:val="00C371F1"/>
    <w:rsid w:val="00C52EBE"/>
    <w:rsid w:val="00C5776D"/>
    <w:rsid w:val="00C64855"/>
    <w:rsid w:val="00C70EA7"/>
    <w:rsid w:val="00C72CE4"/>
    <w:rsid w:val="00C7433F"/>
    <w:rsid w:val="00C7516E"/>
    <w:rsid w:val="00C75770"/>
    <w:rsid w:val="00C81E8E"/>
    <w:rsid w:val="00C87C4D"/>
    <w:rsid w:val="00C91969"/>
    <w:rsid w:val="00C92AB8"/>
    <w:rsid w:val="00C958C5"/>
    <w:rsid w:val="00C96970"/>
    <w:rsid w:val="00CA56BB"/>
    <w:rsid w:val="00CA64E2"/>
    <w:rsid w:val="00CB0542"/>
    <w:rsid w:val="00CB2EC7"/>
    <w:rsid w:val="00CB3AF8"/>
    <w:rsid w:val="00CB4A86"/>
    <w:rsid w:val="00CB5711"/>
    <w:rsid w:val="00CD24E3"/>
    <w:rsid w:val="00CE2198"/>
    <w:rsid w:val="00CE257F"/>
    <w:rsid w:val="00CE2B4C"/>
    <w:rsid w:val="00CF32BA"/>
    <w:rsid w:val="00CF3A7D"/>
    <w:rsid w:val="00D00B2B"/>
    <w:rsid w:val="00D165AC"/>
    <w:rsid w:val="00D214C8"/>
    <w:rsid w:val="00D24877"/>
    <w:rsid w:val="00D27CE0"/>
    <w:rsid w:val="00D5040A"/>
    <w:rsid w:val="00D51499"/>
    <w:rsid w:val="00D57946"/>
    <w:rsid w:val="00D63318"/>
    <w:rsid w:val="00D7105A"/>
    <w:rsid w:val="00D8250F"/>
    <w:rsid w:val="00D86BB3"/>
    <w:rsid w:val="00D87BE2"/>
    <w:rsid w:val="00D93898"/>
    <w:rsid w:val="00D95C4C"/>
    <w:rsid w:val="00D9719F"/>
    <w:rsid w:val="00DA36ED"/>
    <w:rsid w:val="00DB6758"/>
    <w:rsid w:val="00DC3239"/>
    <w:rsid w:val="00DC49CB"/>
    <w:rsid w:val="00DC7D3C"/>
    <w:rsid w:val="00DE309F"/>
    <w:rsid w:val="00DE34F1"/>
    <w:rsid w:val="00DE5DC4"/>
    <w:rsid w:val="00DE6160"/>
    <w:rsid w:val="00DE69A9"/>
    <w:rsid w:val="00DF2255"/>
    <w:rsid w:val="00DF4942"/>
    <w:rsid w:val="00E2125F"/>
    <w:rsid w:val="00E22EB8"/>
    <w:rsid w:val="00E244E1"/>
    <w:rsid w:val="00E27D90"/>
    <w:rsid w:val="00E3320C"/>
    <w:rsid w:val="00E36EBF"/>
    <w:rsid w:val="00E407FA"/>
    <w:rsid w:val="00E4150C"/>
    <w:rsid w:val="00E523AE"/>
    <w:rsid w:val="00E627B1"/>
    <w:rsid w:val="00E670BE"/>
    <w:rsid w:val="00E70169"/>
    <w:rsid w:val="00E715DB"/>
    <w:rsid w:val="00E8041B"/>
    <w:rsid w:val="00E87883"/>
    <w:rsid w:val="00E9376C"/>
    <w:rsid w:val="00E95AE2"/>
    <w:rsid w:val="00E9747E"/>
    <w:rsid w:val="00EA0D2D"/>
    <w:rsid w:val="00EA335E"/>
    <w:rsid w:val="00EA528C"/>
    <w:rsid w:val="00EA580C"/>
    <w:rsid w:val="00EB0BA5"/>
    <w:rsid w:val="00EB3AC9"/>
    <w:rsid w:val="00EB3F70"/>
    <w:rsid w:val="00EC0FDF"/>
    <w:rsid w:val="00EC6F8D"/>
    <w:rsid w:val="00ED01A9"/>
    <w:rsid w:val="00ED39B2"/>
    <w:rsid w:val="00EE49F4"/>
    <w:rsid w:val="00EF34E2"/>
    <w:rsid w:val="00F1585E"/>
    <w:rsid w:val="00F30DC6"/>
    <w:rsid w:val="00F312BC"/>
    <w:rsid w:val="00F31F96"/>
    <w:rsid w:val="00F32C23"/>
    <w:rsid w:val="00F409F9"/>
    <w:rsid w:val="00F525F6"/>
    <w:rsid w:val="00F53DE9"/>
    <w:rsid w:val="00F56B17"/>
    <w:rsid w:val="00F576CB"/>
    <w:rsid w:val="00F60DC1"/>
    <w:rsid w:val="00F650C6"/>
    <w:rsid w:val="00F7035D"/>
    <w:rsid w:val="00F70CC5"/>
    <w:rsid w:val="00F7127D"/>
    <w:rsid w:val="00F71A02"/>
    <w:rsid w:val="00F742B5"/>
    <w:rsid w:val="00F74C9E"/>
    <w:rsid w:val="00FA0D63"/>
    <w:rsid w:val="00FA1A77"/>
    <w:rsid w:val="00FA472D"/>
    <w:rsid w:val="00FA5F89"/>
    <w:rsid w:val="00FB1727"/>
    <w:rsid w:val="00FB36DF"/>
    <w:rsid w:val="00FB6801"/>
    <w:rsid w:val="00FC22D5"/>
    <w:rsid w:val="00FD1226"/>
    <w:rsid w:val="00FD4BC8"/>
    <w:rsid w:val="00FE2EE9"/>
    <w:rsid w:val="00FE311B"/>
    <w:rsid w:val="00FE5E36"/>
    <w:rsid w:val="00FF09B6"/>
    <w:rsid w:val="00FF4830"/>
    <w:rsid w:val="00FF5131"/>
    <w:rsid w:val="00FF6A0C"/>
    <w:rsid w:val="00FF7A12"/>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6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semiHidden="1" w:uiPriority="9" w:unhideWhenUsed="1"/>
    <w:lsdException w:name="heading 4" w:uiPriority="0"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45CB4"/>
    <w:rPr>
      <w:rFonts w:ascii="Times New Roman" w:eastAsia="Times New Roman" w:hAnsi="Times New Roman"/>
      <w:sz w:val="24"/>
      <w:szCs w:val="24"/>
    </w:rPr>
  </w:style>
  <w:style w:type="paragraph" w:styleId="Heading2">
    <w:name w:val="heading 2"/>
    <w:basedOn w:val="Normal"/>
    <w:next w:val="Normal"/>
    <w:link w:val="Heading2Char"/>
    <w:uiPriority w:val="9"/>
    <w:rsid w:val="00564DDB"/>
    <w:pPr>
      <w:keepNext/>
      <w:spacing w:before="240" w:after="60"/>
      <w:outlineLvl w:val="1"/>
    </w:pPr>
    <w:rPr>
      <w:rFonts w:ascii="Cambria" w:hAnsi="Cambria"/>
      <w:b/>
      <w:bCs/>
      <w:i/>
      <w:iCs/>
      <w:sz w:val="28"/>
      <w:szCs w:val="28"/>
    </w:rPr>
  </w:style>
  <w:style w:type="paragraph" w:styleId="Heading4">
    <w:name w:val="heading 4"/>
    <w:aliases w:val="COM Heading"/>
    <w:basedOn w:val="Normal"/>
    <w:next w:val="Normal"/>
    <w:link w:val="Heading4Char"/>
    <w:qFormat/>
    <w:rsid w:val="00F71A02"/>
    <w:pPr>
      <w:keepNext/>
      <w:keepLines/>
      <w:numPr>
        <w:numId w:val="4"/>
      </w:numPr>
      <w:tabs>
        <w:tab w:val="left" w:pos="567"/>
      </w:tabs>
      <w:snapToGrid w:val="0"/>
      <w:spacing w:after="240"/>
      <w:ind w:left="567" w:hanging="567"/>
      <w:outlineLvl w:val="3"/>
    </w:pPr>
    <w:rPr>
      <w:rFonts w:ascii="Arial" w:hAnsi="Arial"/>
      <w:b/>
      <w:bCs/>
      <w:snapToGrid w:val="0"/>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724E5"/>
    <w:pPr>
      <w:tabs>
        <w:tab w:val="center" w:pos="4536"/>
        <w:tab w:val="right" w:pos="9072"/>
      </w:tabs>
    </w:pPr>
  </w:style>
  <w:style w:type="character" w:customStyle="1" w:styleId="HeaderChar">
    <w:name w:val="Header Char"/>
    <w:link w:val="Header"/>
    <w:rsid w:val="008724E5"/>
    <w:rPr>
      <w:lang w:val="fr-FR"/>
    </w:rPr>
  </w:style>
  <w:style w:type="paragraph" w:styleId="Footer">
    <w:name w:val="footer"/>
    <w:basedOn w:val="Normal"/>
    <w:link w:val="FooterChar"/>
    <w:uiPriority w:val="99"/>
    <w:unhideWhenUsed/>
    <w:rsid w:val="008724E5"/>
    <w:pPr>
      <w:tabs>
        <w:tab w:val="center" w:pos="4536"/>
        <w:tab w:val="right" w:pos="9072"/>
      </w:tabs>
    </w:pPr>
  </w:style>
  <w:style w:type="character" w:customStyle="1" w:styleId="FooterChar">
    <w:name w:val="Footer Char"/>
    <w:link w:val="Footer"/>
    <w:uiPriority w:val="99"/>
    <w:rsid w:val="008724E5"/>
    <w:rPr>
      <w:lang w:val="fr-FR"/>
    </w:rPr>
  </w:style>
  <w:style w:type="paragraph" w:styleId="BalloonText">
    <w:name w:val="Balloon Text"/>
    <w:basedOn w:val="Normal"/>
    <w:link w:val="BalloonTextChar"/>
    <w:uiPriority w:val="99"/>
    <w:semiHidden/>
    <w:unhideWhenUsed/>
    <w:rsid w:val="008724E5"/>
    <w:rPr>
      <w:rFonts w:ascii="Tahoma" w:hAnsi="Tahoma" w:cs="Tahoma"/>
      <w:sz w:val="16"/>
      <w:szCs w:val="16"/>
    </w:rPr>
  </w:style>
  <w:style w:type="character" w:customStyle="1" w:styleId="BalloonTextChar">
    <w:name w:val="Balloon Text Char"/>
    <w:link w:val="BalloonText"/>
    <w:uiPriority w:val="99"/>
    <w:semiHidden/>
    <w:rsid w:val="008724E5"/>
    <w:rPr>
      <w:rFonts w:ascii="Tahoma" w:hAnsi="Tahoma" w:cs="Tahoma"/>
      <w:sz w:val="16"/>
      <w:szCs w:val="16"/>
      <w:lang w:val="fr-FR"/>
    </w:rPr>
  </w:style>
  <w:style w:type="paragraph" w:customStyle="1" w:styleId="Sansinterligne2">
    <w:name w:val="Sans interligne2"/>
    <w:uiPriority w:val="1"/>
    <w:rsid w:val="006C3FFC"/>
    <w:rPr>
      <w:rFonts w:ascii="Times New Roman" w:eastAsia="Times New Roman" w:hAnsi="Times New Roman"/>
      <w:sz w:val="24"/>
      <w:szCs w:val="24"/>
    </w:rPr>
  </w:style>
  <w:style w:type="table" w:styleId="TableGrid">
    <w:name w:val="Table Grid"/>
    <w:basedOn w:val="TableNormal"/>
    <w:uiPriority w:val="59"/>
    <w:rsid w:val="006C3F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semiHidden/>
    <w:rsid w:val="00EF563B"/>
  </w:style>
  <w:style w:type="character" w:customStyle="1" w:styleId="Heading4Char">
    <w:name w:val="Heading 4 Char"/>
    <w:aliases w:val="COM Heading Char"/>
    <w:link w:val="Heading4"/>
    <w:rsid w:val="00F71A02"/>
    <w:rPr>
      <w:rFonts w:ascii="Arial" w:eastAsia="Times New Roman" w:hAnsi="Arial"/>
      <w:b/>
      <w:bCs/>
      <w:snapToGrid w:val="0"/>
      <w:sz w:val="22"/>
      <w:szCs w:val="24"/>
      <w:lang w:eastAsia="en-US"/>
    </w:rPr>
  </w:style>
  <w:style w:type="paragraph" w:customStyle="1" w:styleId="ColorfulList-Accent11">
    <w:name w:val="Colorful List - Accent 11"/>
    <w:basedOn w:val="Normal"/>
    <w:uiPriority w:val="34"/>
    <w:rsid w:val="00F66657"/>
    <w:pPr>
      <w:ind w:left="720"/>
      <w:contextualSpacing/>
    </w:pPr>
  </w:style>
  <w:style w:type="character" w:customStyle="1" w:styleId="Heading2Char">
    <w:name w:val="Heading 2 Char"/>
    <w:link w:val="Heading2"/>
    <w:uiPriority w:val="9"/>
    <w:semiHidden/>
    <w:rsid w:val="00564DDB"/>
    <w:rPr>
      <w:rFonts w:ascii="Cambria" w:eastAsia="Times New Roman" w:hAnsi="Cambria" w:cs="Times New Roman"/>
      <w:b/>
      <w:bCs/>
      <w:i/>
      <w:iCs/>
      <w:sz w:val="28"/>
      <w:szCs w:val="28"/>
    </w:rPr>
  </w:style>
  <w:style w:type="paragraph" w:customStyle="1" w:styleId="b">
    <w:name w:val="(b)"/>
    <w:basedOn w:val="Normal"/>
    <w:rsid w:val="00564DDB"/>
    <w:pPr>
      <w:tabs>
        <w:tab w:val="left" w:pos="-737"/>
        <w:tab w:val="left" w:pos="1134"/>
      </w:tabs>
      <w:snapToGrid w:val="0"/>
      <w:spacing w:after="240"/>
      <w:ind w:left="1134" w:hanging="567"/>
      <w:jc w:val="both"/>
    </w:pPr>
    <w:rPr>
      <w:rFonts w:ascii="Arial" w:hAnsi="Arial"/>
      <w:snapToGrid w:val="0"/>
      <w:sz w:val="22"/>
      <w:lang w:eastAsia="en-US"/>
    </w:rPr>
  </w:style>
  <w:style w:type="paragraph" w:customStyle="1" w:styleId="Par">
    <w:name w:val="Par"/>
    <w:basedOn w:val="Normal"/>
    <w:rsid w:val="00564DDB"/>
    <w:pPr>
      <w:tabs>
        <w:tab w:val="left" w:pos="567"/>
      </w:tabs>
      <w:snapToGrid w:val="0"/>
      <w:spacing w:after="240"/>
      <w:ind w:firstLine="567"/>
      <w:jc w:val="both"/>
    </w:pPr>
    <w:rPr>
      <w:rFonts w:ascii="Arial" w:hAnsi="Arial"/>
      <w:snapToGrid w:val="0"/>
      <w:sz w:val="22"/>
      <w:lang w:eastAsia="en-US"/>
    </w:rPr>
  </w:style>
  <w:style w:type="paragraph" w:customStyle="1" w:styleId="Marge">
    <w:name w:val="Marge"/>
    <w:basedOn w:val="Par"/>
    <w:rsid w:val="00564DDB"/>
    <w:pPr>
      <w:ind w:firstLine="0"/>
    </w:pPr>
  </w:style>
  <w:style w:type="paragraph" w:customStyle="1" w:styleId="TIRETbul1cm">
    <w:name w:val="TIRET bul 1cm"/>
    <w:basedOn w:val="Normal"/>
    <w:rsid w:val="00564DDB"/>
    <w:pPr>
      <w:numPr>
        <w:numId w:val="1"/>
      </w:numPr>
      <w:tabs>
        <w:tab w:val="left" w:pos="851"/>
      </w:tabs>
      <w:adjustRightInd w:val="0"/>
      <w:snapToGrid w:val="0"/>
      <w:spacing w:after="240"/>
      <w:jc w:val="both"/>
    </w:pPr>
    <w:rPr>
      <w:rFonts w:ascii="Arial" w:eastAsia="SimSun" w:hAnsi="Arial"/>
      <w:snapToGrid w:val="0"/>
      <w:sz w:val="22"/>
      <w:lang w:eastAsia="zh-CN"/>
    </w:rPr>
  </w:style>
  <w:style w:type="character" w:customStyle="1" w:styleId="apple-style-span">
    <w:name w:val="apple-style-span"/>
    <w:basedOn w:val="DefaultParagraphFont"/>
    <w:rsid w:val="00564DDB"/>
  </w:style>
  <w:style w:type="character" w:customStyle="1" w:styleId="apple-converted-space">
    <w:name w:val="apple-converted-space"/>
    <w:basedOn w:val="DefaultParagraphFont"/>
    <w:rsid w:val="00564DDB"/>
  </w:style>
  <w:style w:type="paragraph" w:customStyle="1" w:styleId="Sansinterligne1">
    <w:name w:val="Sans interligne1"/>
    <w:uiPriority w:val="1"/>
    <w:rsid w:val="0057439C"/>
    <w:rPr>
      <w:rFonts w:ascii="Times New Roman" w:eastAsia="Times New Roman" w:hAnsi="Times New Roman"/>
      <w:sz w:val="24"/>
      <w:szCs w:val="24"/>
    </w:rPr>
  </w:style>
  <w:style w:type="paragraph" w:customStyle="1" w:styleId="COMPara">
    <w:name w:val="COM Para"/>
    <w:qFormat/>
    <w:rsid w:val="00345CB4"/>
    <w:pPr>
      <w:numPr>
        <w:numId w:val="2"/>
      </w:numPr>
      <w:spacing w:after="120"/>
    </w:pPr>
    <w:rPr>
      <w:rFonts w:ascii="Arial" w:eastAsia="Times New Roman" w:hAnsi="Arial" w:cs="Arial"/>
      <w:snapToGrid w:val="0"/>
      <w:sz w:val="22"/>
      <w:szCs w:val="22"/>
      <w:lang w:eastAsia="en-US"/>
    </w:rPr>
  </w:style>
  <w:style w:type="paragraph" w:customStyle="1" w:styleId="COMTitleDecision">
    <w:name w:val="COM Title Decision"/>
    <w:basedOn w:val="Normal"/>
    <w:qFormat/>
    <w:rsid w:val="00041A66"/>
    <w:pPr>
      <w:keepNext/>
      <w:spacing w:before="240" w:after="120"/>
      <w:ind w:left="567"/>
      <w:jc w:val="both"/>
    </w:pPr>
    <w:rPr>
      <w:rFonts w:ascii="Arial" w:hAnsi="Arial" w:cs="Arial"/>
      <w:b/>
      <w:sz w:val="22"/>
      <w:szCs w:val="22"/>
    </w:rPr>
  </w:style>
  <w:style w:type="paragraph" w:customStyle="1" w:styleId="COMPreambulaDecisions">
    <w:name w:val="COM Preambula Decisions"/>
    <w:basedOn w:val="Normal"/>
    <w:qFormat/>
    <w:rsid w:val="00041A66"/>
    <w:pPr>
      <w:keepNext/>
      <w:spacing w:after="120"/>
      <w:ind w:left="567"/>
      <w:jc w:val="both"/>
    </w:pPr>
    <w:rPr>
      <w:rFonts w:ascii="Arial" w:hAnsi="Arial" w:cs="Arial"/>
      <w:sz w:val="22"/>
      <w:szCs w:val="22"/>
    </w:rPr>
  </w:style>
  <w:style w:type="paragraph" w:customStyle="1" w:styleId="COMParaDecision">
    <w:name w:val="COM Para Decision"/>
    <w:basedOn w:val="Normal"/>
    <w:qFormat/>
    <w:rsid w:val="00345CB4"/>
    <w:pPr>
      <w:numPr>
        <w:numId w:val="3"/>
      </w:numPr>
      <w:autoSpaceDE w:val="0"/>
      <w:autoSpaceDN w:val="0"/>
      <w:adjustRightInd w:val="0"/>
      <w:spacing w:after="120"/>
      <w:ind w:left="1134" w:hanging="567"/>
      <w:jc w:val="both"/>
    </w:pPr>
    <w:rPr>
      <w:rFonts w:ascii="Arial" w:eastAsia="SimSun" w:hAnsi="Arial" w:cs="Arial"/>
      <w:sz w:val="22"/>
      <w:szCs w:val="22"/>
      <w:u w:val="single"/>
    </w:rPr>
  </w:style>
  <w:style w:type="table" w:customStyle="1" w:styleId="TableGrid1">
    <w:name w:val="Table Grid1"/>
    <w:basedOn w:val="TableNormal"/>
    <w:next w:val="TableGrid"/>
    <w:uiPriority w:val="59"/>
    <w:rsid w:val="00E95AE2"/>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rsid w:val="004A2875"/>
    <w:pPr>
      <w:ind w:left="720"/>
      <w:contextualSpacing/>
    </w:pPr>
  </w:style>
  <w:style w:type="paragraph" w:styleId="FootnoteText">
    <w:name w:val="footnote text"/>
    <w:basedOn w:val="Normal"/>
    <w:link w:val="FootnoteTextChar"/>
    <w:uiPriority w:val="99"/>
    <w:semiHidden/>
    <w:unhideWhenUsed/>
    <w:rsid w:val="004313C4"/>
    <w:rPr>
      <w:sz w:val="20"/>
      <w:szCs w:val="20"/>
    </w:rPr>
  </w:style>
  <w:style w:type="character" w:customStyle="1" w:styleId="FootnoteTextChar">
    <w:name w:val="Footnote Text Char"/>
    <w:basedOn w:val="DefaultParagraphFont"/>
    <w:link w:val="FootnoteText"/>
    <w:uiPriority w:val="99"/>
    <w:semiHidden/>
    <w:rsid w:val="004313C4"/>
    <w:rPr>
      <w:rFonts w:ascii="Times New Roman" w:eastAsia="Times New Roman" w:hAnsi="Times New Roman"/>
    </w:rPr>
  </w:style>
  <w:style w:type="character" w:styleId="FootnoteReference">
    <w:name w:val="footnote reference"/>
    <w:basedOn w:val="DefaultParagraphFont"/>
    <w:uiPriority w:val="99"/>
    <w:semiHidden/>
    <w:unhideWhenUsed/>
    <w:rsid w:val="004313C4"/>
    <w:rPr>
      <w:vertAlign w:val="superscript"/>
    </w:rPr>
  </w:style>
  <w:style w:type="paragraph" w:customStyle="1" w:styleId="GAParaResolution">
    <w:name w:val="GA Para Resolution"/>
    <w:basedOn w:val="Normal"/>
    <w:qFormat/>
    <w:rsid w:val="005C792B"/>
    <w:pPr>
      <w:autoSpaceDE w:val="0"/>
      <w:autoSpaceDN w:val="0"/>
      <w:adjustRightInd w:val="0"/>
      <w:spacing w:after="120"/>
      <w:ind w:left="1287" w:hanging="360"/>
      <w:jc w:val="both"/>
    </w:pPr>
    <w:rPr>
      <w:rFonts w:ascii="Arial" w:eastAsia="SimSun" w:hAnsi="Arial" w:cs="Arial"/>
      <w:sz w:val="22"/>
      <w:szCs w:val="22"/>
      <w:u w:val="single"/>
    </w:rPr>
  </w:style>
  <w:style w:type="character" w:styleId="Hyperlink">
    <w:name w:val="Hyperlink"/>
    <w:aliases w:val=" Car Car3 Char, Car Car3 Char Char Char Char"/>
    <w:basedOn w:val="DefaultParagraphFont"/>
    <w:link w:val="CarCar3"/>
    <w:uiPriority w:val="99"/>
    <w:unhideWhenUsed/>
    <w:rsid w:val="005B1129"/>
    <w:rPr>
      <w:color w:val="0000FF" w:themeColor="hyperlink"/>
      <w:u w:val="single"/>
    </w:rPr>
  </w:style>
  <w:style w:type="paragraph" w:customStyle="1" w:styleId="U1">
    <w:name w:val="U.1"/>
    <w:basedOn w:val="Normal"/>
    <w:qFormat/>
    <w:rsid w:val="005B1129"/>
    <w:pPr>
      <w:widowControl w:val="0"/>
      <w:tabs>
        <w:tab w:val="left" w:pos="1701"/>
      </w:tabs>
      <w:autoSpaceDE w:val="0"/>
      <w:autoSpaceDN w:val="0"/>
      <w:adjustRightInd w:val="0"/>
      <w:spacing w:after="120"/>
      <w:ind w:left="1701" w:hanging="567"/>
    </w:pPr>
    <w:rPr>
      <w:rFonts w:ascii="Arial" w:eastAsia="SimSun" w:hAnsi="Arial" w:cs="Arial"/>
      <w:sz w:val="22"/>
      <w:szCs w:val="22"/>
    </w:rPr>
  </w:style>
  <w:style w:type="paragraph" w:customStyle="1" w:styleId="i">
    <w:name w:val="(i)"/>
    <w:basedOn w:val="Normal"/>
    <w:link w:val="iChar"/>
    <w:autoRedefine/>
    <w:qFormat/>
    <w:rsid w:val="005B1129"/>
    <w:pPr>
      <w:numPr>
        <w:numId w:val="9"/>
      </w:numPr>
      <w:autoSpaceDE w:val="0"/>
      <w:autoSpaceDN w:val="0"/>
      <w:adjustRightInd w:val="0"/>
      <w:spacing w:before="120" w:after="120"/>
      <w:ind w:right="284"/>
      <w:jc w:val="both"/>
    </w:pPr>
    <w:rPr>
      <w:rFonts w:ascii="Arial" w:eastAsia="SimSun" w:hAnsi="Arial" w:cs="Arial"/>
      <w:w w:val="90"/>
      <w:sz w:val="22"/>
      <w:szCs w:val="22"/>
    </w:rPr>
  </w:style>
  <w:style w:type="character" w:customStyle="1" w:styleId="iChar">
    <w:name w:val="(i) Char"/>
    <w:link w:val="i"/>
    <w:locked/>
    <w:rsid w:val="005B1129"/>
    <w:rPr>
      <w:rFonts w:ascii="Arial" w:hAnsi="Arial" w:cs="Arial"/>
      <w:w w:val="90"/>
      <w:sz w:val="22"/>
      <w:szCs w:val="22"/>
    </w:rPr>
  </w:style>
  <w:style w:type="character" w:styleId="UnresolvedMention">
    <w:name w:val="Unresolved Mention"/>
    <w:basedOn w:val="DefaultParagraphFont"/>
    <w:uiPriority w:val="99"/>
    <w:semiHidden/>
    <w:unhideWhenUsed/>
    <w:rsid w:val="00420CDD"/>
    <w:rPr>
      <w:color w:val="605E5C"/>
      <w:shd w:val="clear" w:color="auto" w:fill="E1DFDD"/>
    </w:rPr>
  </w:style>
  <w:style w:type="paragraph" w:customStyle="1" w:styleId="GAPara">
    <w:name w:val="GA Para"/>
    <w:qFormat/>
    <w:rsid w:val="00504B9E"/>
    <w:pPr>
      <w:spacing w:after="120"/>
      <w:ind w:left="720" w:hanging="360"/>
    </w:pPr>
    <w:rPr>
      <w:rFonts w:ascii="Arial" w:eastAsia="Times New Roman" w:hAnsi="Arial" w:cs="Arial"/>
      <w:snapToGrid w:val="0"/>
      <w:sz w:val="22"/>
      <w:szCs w:val="22"/>
      <w:lang w:eastAsia="en-US"/>
    </w:rPr>
  </w:style>
  <w:style w:type="paragraph" w:customStyle="1" w:styleId="CarCar3">
    <w:name w:val="Car Car3"/>
    <w:aliases w:val=" Car Car3 Char Char"/>
    <w:basedOn w:val="Normal"/>
    <w:link w:val="Hyperlink"/>
    <w:uiPriority w:val="99"/>
    <w:rsid w:val="00504B9E"/>
    <w:pPr>
      <w:tabs>
        <w:tab w:val="left" w:pos="510"/>
        <w:tab w:val="right" w:pos="9639"/>
      </w:tabs>
      <w:autoSpaceDE w:val="0"/>
      <w:autoSpaceDN w:val="0"/>
      <w:adjustRightInd w:val="0"/>
      <w:spacing w:after="80" w:line="220" w:lineRule="exact"/>
      <w:ind w:left="1020" w:hanging="510"/>
      <w:jc w:val="both"/>
    </w:pPr>
    <w:rPr>
      <w:rFonts w:ascii="Calibri" w:eastAsia="SimSun" w:hAnsi="Calibri"/>
      <w:color w:val="0000FF" w:themeColor="hyperlink"/>
      <w:sz w:val="20"/>
      <w:szCs w:val="20"/>
      <w:u w:val="single"/>
    </w:rPr>
  </w:style>
  <w:style w:type="character" w:styleId="FollowedHyperlink">
    <w:name w:val="FollowedHyperlink"/>
    <w:basedOn w:val="DefaultParagraphFont"/>
    <w:uiPriority w:val="99"/>
    <w:semiHidden/>
    <w:unhideWhenUsed/>
    <w:rsid w:val="00BF590E"/>
    <w:rPr>
      <w:color w:val="800080" w:themeColor="followedHyperlink"/>
      <w:u w:val="single"/>
    </w:rPr>
  </w:style>
  <w:style w:type="paragraph" w:styleId="Revision">
    <w:name w:val="Revision"/>
    <w:hidden/>
    <w:uiPriority w:val="99"/>
    <w:semiHidden/>
    <w:rsid w:val="00BF590E"/>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CD24E3"/>
    <w:rPr>
      <w:sz w:val="16"/>
      <w:szCs w:val="16"/>
    </w:rPr>
  </w:style>
  <w:style w:type="paragraph" w:styleId="CommentText">
    <w:name w:val="annotation text"/>
    <w:basedOn w:val="Normal"/>
    <w:link w:val="CommentTextChar"/>
    <w:uiPriority w:val="99"/>
    <w:unhideWhenUsed/>
    <w:rsid w:val="00CD24E3"/>
    <w:rPr>
      <w:sz w:val="20"/>
      <w:szCs w:val="20"/>
    </w:rPr>
  </w:style>
  <w:style w:type="character" w:customStyle="1" w:styleId="CommentTextChar">
    <w:name w:val="Comment Text Char"/>
    <w:basedOn w:val="DefaultParagraphFont"/>
    <w:link w:val="CommentText"/>
    <w:uiPriority w:val="99"/>
    <w:rsid w:val="00CD24E3"/>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CD24E3"/>
    <w:rPr>
      <w:b/>
      <w:bCs/>
    </w:rPr>
  </w:style>
  <w:style w:type="character" w:customStyle="1" w:styleId="CommentSubjectChar">
    <w:name w:val="Comment Subject Char"/>
    <w:basedOn w:val="CommentTextChar"/>
    <w:link w:val="CommentSubject"/>
    <w:uiPriority w:val="99"/>
    <w:semiHidden/>
    <w:rsid w:val="00CD24E3"/>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675340">
      <w:bodyDiv w:val="1"/>
      <w:marLeft w:val="0"/>
      <w:marRight w:val="0"/>
      <w:marTop w:val="0"/>
      <w:marBottom w:val="0"/>
      <w:divBdr>
        <w:top w:val="none" w:sz="0" w:space="0" w:color="auto"/>
        <w:left w:val="none" w:sz="0" w:space="0" w:color="auto"/>
        <w:bottom w:val="none" w:sz="0" w:space="0" w:color="auto"/>
        <w:right w:val="none" w:sz="0" w:space="0" w:color="auto"/>
      </w:divBdr>
    </w:div>
    <w:div w:id="1056977329">
      <w:bodyDiv w:val="1"/>
      <w:marLeft w:val="0"/>
      <w:marRight w:val="0"/>
      <w:marTop w:val="0"/>
      <w:marBottom w:val="0"/>
      <w:divBdr>
        <w:top w:val="none" w:sz="0" w:space="0" w:color="auto"/>
        <w:left w:val="none" w:sz="0" w:space="0" w:color="auto"/>
        <w:bottom w:val="none" w:sz="0" w:space="0" w:color="auto"/>
        <w:right w:val="none" w:sz="0" w:space="0" w:color="auto"/>
      </w:divBdr>
    </w:div>
    <w:div w:id="1589149580">
      <w:bodyDiv w:val="1"/>
      <w:marLeft w:val="0"/>
      <w:marRight w:val="0"/>
      <w:marTop w:val="0"/>
      <w:marBottom w:val="0"/>
      <w:divBdr>
        <w:top w:val="none" w:sz="0" w:space="0" w:color="auto"/>
        <w:left w:val="none" w:sz="0" w:space="0" w:color="auto"/>
        <w:bottom w:val="none" w:sz="0" w:space="0" w:color="auto"/>
        <w:right w:val="none" w:sz="0" w:space="0" w:color="auto"/>
      </w:divBdr>
    </w:div>
    <w:div w:id="1864905166">
      <w:bodyDiv w:val="1"/>
      <w:marLeft w:val="0"/>
      <w:marRight w:val="0"/>
      <w:marTop w:val="0"/>
      <w:marBottom w:val="0"/>
      <w:divBdr>
        <w:top w:val="none" w:sz="0" w:space="0" w:color="auto"/>
        <w:left w:val="none" w:sz="0" w:space="0" w:color="auto"/>
        <w:bottom w:val="none" w:sz="0" w:space="0" w:color="auto"/>
        <w:right w:val="none" w:sz="0" w:space="0" w:color="auto"/>
      </w:divBdr>
    </w:div>
    <w:div w:id="1928686304">
      <w:bodyDiv w:val="1"/>
      <w:marLeft w:val="0"/>
      <w:marRight w:val="0"/>
      <w:marTop w:val="0"/>
      <w:marBottom w:val="0"/>
      <w:divBdr>
        <w:top w:val="none" w:sz="0" w:space="0" w:color="auto"/>
        <w:left w:val="none" w:sz="0" w:space="0" w:color="auto"/>
        <w:bottom w:val="none" w:sz="0" w:space="0" w:color="auto"/>
        <w:right w:val="none" w:sz="0" w:space="0" w:color="auto"/>
      </w:divBdr>
    </w:div>
    <w:div w:id="214303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ch.unesco.org/fr/decisions/20.COM/8" TargetMode="External"/><Relationship Id="rId13" Type="http://schemas.openxmlformats.org/officeDocument/2006/relationships/hyperlink" Target="https://ich.unesco.org/fr/decisions/19.COM/15" TargetMode="External"/><Relationship Id="rId18" Type="http://schemas.openxmlformats.org/officeDocument/2006/relationships/hyperlink" Target="https://ich.unesco.org/fr/Decisions/14.COM/8" TargetMode="External"/><Relationship Id="rId26" Type="http://schemas.openxmlformats.org/officeDocument/2006/relationships/hyperlink" Target="https://ich.unesco.org/fr/decisions/20.COM/6.C"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ch.unesco.org/fr/decisions/19.COM/6.C" TargetMode="External"/><Relationship Id="rId34" Type="http://schemas.openxmlformats.org/officeDocument/2006/relationships/hyperlink" Target="https://ich.unesco.org" TargetMode="External"/><Relationship Id="rId7" Type="http://schemas.openxmlformats.org/officeDocument/2006/relationships/endnotes" Target="endnotes.xml"/><Relationship Id="rId12" Type="http://schemas.openxmlformats.org/officeDocument/2006/relationships/hyperlink" Target="https://ich.unesco.org/fr/decisions/17.COM/15" TargetMode="External"/><Relationship Id="rId17" Type="http://schemas.openxmlformats.org/officeDocument/2006/relationships/hyperlink" Target="https://ich.unesco.org/fr/Decisions/13.COM/8" TargetMode="External"/><Relationship Id="rId25" Type="http://schemas.openxmlformats.org/officeDocument/2006/relationships/hyperlink" Target="https://ich.unesco.org/fr/decisions/20.COM/6.C" TargetMode="External"/><Relationship Id="rId33" Type="http://schemas.openxmlformats.org/officeDocument/2006/relationships/hyperlink" Target="https://ich.unesco.org" TargetMode="External"/><Relationship Id="rId38" Type="http://schemas.openxmlformats.org/officeDocument/2006/relationships/hyperlink" Target="https://ich.unesco.org" TargetMode="External"/><Relationship Id="rId2" Type="http://schemas.openxmlformats.org/officeDocument/2006/relationships/numbering" Target="numbering.xml"/><Relationship Id="rId16" Type="http://schemas.openxmlformats.org/officeDocument/2006/relationships/hyperlink" Target="https://ich.unesco.org/doc/src/ITH-18-7.GA-Resolutions-FR.docx?v=1532091840" TargetMode="External"/><Relationship Id="rId20" Type="http://schemas.openxmlformats.org/officeDocument/2006/relationships/hyperlink" Target="https://unesdoc.unesco.org/ark:/48223/pf0000395708"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h.unesco.org/fr/decisions/19.COM/15" TargetMode="External"/><Relationship Id="rId24" Type="http://schemas.openxmlformats.org/officeDocument/2006/relationships/hyperlink" Target="https://ich.unesco.org/fr/decisions/20.COM/8" TargetMode="External"/><Relationship Id="rId32" Type="http://schemas.openxmlformats.org/officeDocument/2006/relationships/hyperlink" Target="https://ich.unesco.org/fr/decisions/20.COM/6.C" TargetMode="External"/><Relationship Id="rId37" Type="http://schemas.openxmlformats.org/officeDocument/2006/relationships/hyperlink" Target="https://ich.unesco.or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ch.unesco.org/fr/overall-results-framework-00984" TargetMode="External"/><Relationship Id="rId23" Type="http://schemas.openxmlformats.org/officeDocument/2006/relationships/hyperlink" Target="https://ich.unesco.org/fr/evenements/reunion-de-reflexion-mondiale-sur-les-mecanismes-de-rapports-periodiques-de-la-convention-de-2003-01058" TargetMode="External"/><Relationship Id="rId28" Type="http://schemas.openxmlformats.org/officeDocument/2006/relationships/header" Target="header1.xml"/><Relationship Id="rId36" Type="http://schemas.openxmlformats.org/officeDocument/2006/relationships/hyperlink" Target="https://ich.unesco.org" TargetMode="External"/><Relationship Id="rId10" Type="http://schemas.openxmlformats.org/officeDocument/2006/relationships/hyperlink" Target="https://ich.unesco.org/fr/decisions/20.COM/8" TargetMode="External"/><Relationship Id="rId19" Type="http://schemas.openxmlformats.org/officeDocument/2006/relationships/hyperlink" Target="https://www.unesco.org/sites/default/files/medias/fichiers/2022/10/6.MONDIACULT_FR_DRAFT%20FINAL%20DECLARATION.pdf" TargetMode="External"/><Relationship Id="rId31" Type="http://schemas.openxmlformats.org/officeDocument/2006/relationships/hyperlink" Target="https://ich.unesco.org/fr/decisions/20.COM/8" TargetMode="External"/><Relationship Id="rId4" Type="http://schemas.openxmlformats.org/officeDocument/2006/relationships/settings" Target="settings.xml"/><Relationship Id="rId9" Type="http://schemas.openxmlformats.org/officeDocument/2006/relationships/hyperlink" Target="https://ich.unesco.org/doc/src/LHE-25-20.COM-8_FR.docx?t=1764184365" TargetMode="External"/><Relationship Id="rId14" Type="http://schemas.openxmlformats.org/officeDocument/2006/relationships/hyperlink" Target="https://ich.unesco.org/fr/Decisions/12.COM/10" TargetMode="External"/><Relationship Id="rId22" Type="http://schemas.openxmlformats.org/officeDocument/2006/relationships/hyperlink" Target="https://ich.unesco.org/fr/decisions/20.COM/6.C" TargetMode="External"/><Relationship Id="rId27" Type="http://schemas.openxmlformats.org/officeDocument/2006/relationships/hyperlink" Target="https://ich.unesco.org/fr/decisions/20.COM/8" TargetMode="External"/><Relationship Id="rId30" Type="http://schemas.openxmlformats.org/officeDocument/2006/relationships/header" Target="header3.xml"/><Relationship Id="rId35" Type="http://schemas.openxmlformats.org/officeDocument/2006/relationships/hyperlink" Target="https://ich.unesco.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ich.unesco.org/doc/src/LHE-25-20.COM-6.c_FR.docx?v=1764185672"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3E0471-18BB-4418-A13B-F2C5B3182210}">
  <ds:schemaRefs>
    <ds:schemaRef ds:uri="http://schemas.openxmlformats.org/officeDocument/2006/bibliography"/>
  </ds:schemaRefs>
</ds:datastoreItem>
</file>

<file path=docMetadata/LabelInfo.xml><?xml version="1.0" encoding="utf-8"?>
<clbl:labelList xmlns:clbl="http://schemas.microsoft.com/office/2020/mipLabelMetadata">
  <clbl:label id="{f8e024d6-51f2-471b-ac2c-b1117d65062e}" enabled="1" method="Standard" siteId="{1d4fae52-39b3-4bfa-b0b3-022956b1119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6831</Words>
  <Characters>37573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2026-05-18T15:26:00Z</dcterms:created>
  <dcterms:modified xsi:type="dcterms:W3CDTF">2026-05-18T17:42:00Z</dcterms:modified>
</cp:coreProperties>
</file>