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sz w:val="32"/>
          <w:szCs w:val="32"/>
        </w:rPr>
      </w:pPr>
      <w:r>
        <w:rPr>
          <w:sz w:val="32"/>
          <w:szCs w:val="32"/>
        </w:rPr>
        <w:t>Executive Summary</w:t>
      </w:r>
    </w:p>
    <w:p>
      <w:pPr>
        <w:pStyle w:val="BodyText"/>
        <w:ind w:hanging="0" w:start="0" w:end="0"/>
        <w:rPr/>
      </w:pPr>
      <w:bookmarkStart w:id="0" w:name="user-content-executive-summary"/>
      <w:bookmarkEnd w:id="0"/>
      <w:r>
        <w:rPr/>
        <w:t>This project presents an end-to-end analysis of global sales performance for a fictional multinational conglomerate operating across five regions and eight product categories from 2022 to 2024, covering the full analyst workflow, synthetic data generation, cleaning, exploratory analysis, SQL querying, and dashboard delivery using Python, SQL, and Power BI.</w:t>
      </w:r>
    </w:p>
    <w:p>
      <w:pPr>
        <w:pStyle w:val="BodyText"/>
        <w:rPr/>
      </w:pPr>
      <w:r>
        <w:rPr/>
        <w:t>Total revenue declined 8.95% over the three-year window, from $99.4M to $90.5M, driven by sustained softness in Raw Materials and Industrial Equipment, the former compounded by a structural concentration risk: Raw Materials alone accounts for 70% of total revenue. A forward-looking revenue simulation built on each region and category's actual CAGR quantifies both the cost of inaction and the upside of intervention: stabilizing Latin America's decline alone would protect $2.5M in 2025 revenue, and matching the Middle East's growth rate across all regions would generate a $10.0M upside relative to the current trend.</w:t>
      </w:r>
    </w:p>
    <w:p>
      <w:pPr>
        <w:pStyle w:val="Heading2"/>
        <w:spacing w:before="0" w:after="283"/>
        <w:rPr>
          <w:sz w:val="24"/>
          <w:szCs w:val="24"/>
        </w:rPr>
      </w:pPr>
      <w:r>
        <w:rPr>
          <w:sz w:val="24"/>
          <w:szCs w:val="24"/>
        </w:rPr>
        <w:br/>
      </w:r>
      <w:r>
        <w:rPr>
          <w:sz w:val="32"/>
          <w:szCs w:val="32"/>
        </w:rPr>
        <w:t>Business Problem</w:t>
      </w:r>
    </w:p>
    <w:p>
      <w:pPr>
        <w:pStyle w:val="BodyText"/>
        <w:ind w:hanging="0" w:start="0" w:end="0"/>
        <w:rPr/>
      </w:pPr>
      <w:r>
        <w:rPr/>
        <w:t>A multinational company experienced a consistent year-over-year revenue decline between 2022 and 2024, representing a cumulative loss of approximately $8.9M in annual revenue. Stakeholders required a clear understanding of where the decline was concentrated, by region, by product category, and over time, in order to identify actionable opportunities to reverse the trend. This analysis was built to answer four core questions:</w:t>
      </w:r>
    </w:p>
    <w:p>
      <w:pPr>
        <w:pStyle w:val="BodyText"/>
        <w:numPr>
          <w:ilvl w:val="0"/>
          <w:numId w:val="1"/>
        </w:numPr>
        <w:tabs>
          <w:tab w:val="clear" w:pos="709"/>
          <w:tab w:val="left" w:pos="0" w:leader="none"/>
        </w:tabs>
        <w:spacing w:before="0" w:after="0"/>
        <w:ind w:hanging="283" w:start="709"/>
        <w:rPr/>
      </w:pPr>
      <w:r>
        <w:rPr/>
        <w:t xml:space="preserve">Which regions generate the most and least revenue? </w:t>
      </w:r>
    </w:p>
    <w:p>
      <w:pPr>
        <w:pStyle w:val="BodyText"/>
        <w:numPr>
          <w:ilvl w:val="0"/>
          <w:numId w:val="1"/>
        </w:numPr>
        <w:tabs>
          <w:tab w:val="clear" w:pos="709"/>
          <w:tab w:val="left" w:pos="0" w:leader="none"/>
        </w:tabs>
        <w:spacing w:before="0" w:after="0"/>
        <w:ind w:hanging="283" w:start="709"/>
        <w:rPr/>
      </w:pPr>
      <w:r>
        <w:rPr/>
        <w:t xml:space="preserve">What product categories are the top sellers by region? </w:t>
      </w:r>
    </w:p>
    <w:p>
      <w:pPr>
        <w:pStyle w:val="BodyText"/>
        <w:numPr>
          <w:ilvl w:val="0"/>
          <w:numId w:val="1"/>
        </w:numPr>
        <w:tabs>
          <w:tab w:val="clear" w:pos="709"/>
          <w:tab w:val="left" w:pos="0" w:leader="none"/>
        </w:tabs>
        <w:spacing w:before="0" w:after="0"/>
        <w:ind w:hanging="283" w:start="709"/>
        <w:rPr/>
      </w:pPr>
      <w:r>
        <w:rPr/>
        <w:t xml:space="preserve">Are there seasonal trends in sales across markets? </w:t>
      </w:r>
    </w:p>
    <w:p>
      <w:pPr>
        <w:pStyle w:val="BodyText"/>
        <w:numPr>
          <w:ilvl w:val="0"/>
          <w:numId w:val="1"/>
        </w:numPr>
        <w:tabs>
          <w:tab w:val="clear" w:pos="709"/>
          <w:tab w:val="left" w:pos="0" w:leader="none"/>
        </w:tabs>
        <w:ind w:hanging="283" w:start="709"/>
        <w:rPr/>
      </w:pPr>
      <w:r>
        <w:rPr/>
        <w:t xml:space="preserve">What does the year-over-year revenue trend look like, and where is the decline concentrated? </w:t>
      </w:r>
    </w:p>
    <w:p>
      <w:pPr>
        <w:pStyle w:val="Heading2"/>
        <w:spacing w:before="0" w:after="283"/>
        <w:rPr>
          <w:sz w:val="24"/>
          <w:szCs w:val="24"/>
        </w:rPr>
      </w:pPr>
      <w:r>
        <w:rPr>
          <w:sz w:val="24"/>
          <w:szCs w:val="24"/>
        </w:rPr>
        <w:br/>
      </w:r>
      <w:r>
        <w:rPr>
          <w:sz w:val="32"/>
          <w:szCs w:val="32"/>
        </w:rPr>
        <w:t>Methodology</w:t>
      </w:r>
    </w:p>
    <w:p>
      <w:pPr>
        <w:pStyle w:val="BodyText"/>
        <w:numPr>
          <w:ilvl w:val="0"/>
          <w:numId w:val="2"/>
        </w:numPr>
        <w:tabs>
          <w:tab w:val="clear" w:pos="709"/>
          <w:tab w:val="left" w:pos="0" w:leader="none"/>
        </w:tabs>
        <w:ind w:hanging="283" w:start="709" w:end="0"/>
        <w:rPr/>
      </w:pPr>
      <w:bookmarkStart w:id="1" w:name="user-content-methodology"/>
      <w:bookmarkEnd w:id="1"/>
      <w:r>
        <w:rPr>
          <w:rStyle w:val="Strong"/>
        </w:rPr>
        <w:t>Scope Definition:</w:t>
      </w:r>
      <w:r>
        <w:rPr/>
        <w:t xml:space="preserve"> Defined the business problem, selected the scenario, and established dataset parameters including five regions, eight product categories, row count, and intentional data quality issues to simulate.</w:t>
      </w:r>
    </w:p>
    <w:p>
      <w:pPr>
        <w:pStyle w:val="BodyText"/>
        <w:numPr>
          <w:ilvl w:val="0"/>
          <w:numId w:val="2"/>
        </w:numPr>
        <w:tabs>
          <w:tab w:val="clear" w:pos="709"/>
          <w:tab w:val="left" w:pos="0" w:leader="none"/>
        </w:tabs>
        <w:ind w:hanging="283" w:start="709"/>
        <w:rPr/>
      </w:pPr>
      <w:r>
        <w:rPr>
          <w:rStyle w:val="Strong"/>
        </w:rPr>
        <w:t>Data Generation:</w:t>
      </w:r>
      <w:r>
        <w:rPr/>
        <w:t xml:space="preserve"> Synthetically generated three years of monthly sales transactions (2022-2024) across five global regions (North America, Europe, Asia-Pacific, Latin America, Middle East) and eight product categories, with realistic pricing logic, geographic accuracy, and currency matching. The raw dataset contains 7,201 rows and 11 columns, with 12% of entries containing intentional data quality issues, duplicates, missing values, formatting inconsistencies, incorrect data types, and outliers to simulate realistic cleaning conditions.</w:t>
      </w:r>
    </w:p>
    <w:p>
      <w:pPr>
        <w:pStyle w:val="BodyText"/>
        <w:numPr>
          <w:ilvl w:val="0"/>
          <w:numId w:val="2"/>
        </w:numPr>
        <w:tabs>
          <w:tab w:val="clear" w:pos="709"/>
          <w:tab w:val="left" w:pos="0" w:leader="none"/>
        </w:tabs>
        <w:ind w:hanging="283" w:start="709"/>
        <w:rPr/>
      </w:pPr>
      <w:r>
        <w:rPr>
          <w:rStyle w:val="Strong"/>
        </w:rPr>
        <w:t>Data Cleaning (Python):</w:t>
      </w:r>
      <w:r>
        <w:rPr/>
        <w:t xml:space="preserve"> Removed duplicates, handled missing values, standardized formatting, corrected data types, and removed outliers using category-level price caps. Final cleaned dataset: 6,672 rows, 12 columns.</w:t>
      </w:r>
    </w:p>
    <w:p>
      <w:pPr>
        <w:pStyle w:val="BodyText"/>
        <w:numPr>
          <w:ilvl w:val="0"/>
          <w:numId w:val="2"/>
        </w:numPr>
        <w:tabs>
          <w:tab w:val="clear" w:pos="709"/>
          <w:tab w:val="left" w:pos="0" w:leader="none"/>
        </w:tabs>
        <w:ind w:hanging="283" w:start="709"/>
        <w:rPr/>
      </w:pPr>
      <w:r>
        <w:rPr>
          <w:rStyle w:val="Strong"/>
        </w:rPr>
        <w:t>Exploratory Data Analysis (Python):</w:t>
      </w:r>
      <w:r>
        <w:rPr/>
        <w:t xml:space="preserve"> Produced seven charts examining revenue by region, category, year, country, and time to surface key trends and patterns.</w:t>
      </w:r>
    </w:p>
    <w:p>
      <w:pPr>
        <w:pStyle w:val="BodyText"/>
        <w:numPr>
          <w:ilvl w:val="0"/>
          <w:numId w:val="2"/>
        </w:numPr>
        <w:tabs>
          <w:tab w:val="clear" w:pos="709"/>
          <w:tab w:val="left" w:pos="0" w:leader="none"/>
        </w:tabs>
        <w:ind w:hanging="283" w:start="709"/>
        <w:rPr/>
      </w:pPr>
      <w:r>
        <w:rPr>
          <w:rStyle w:val="Strong"/>
        </w:rPr>
        <w:t>SQL Analysis (SQLite):</w:t>
      </w:r>
      <w:r>
        <w:rPr/>
        <w:t xml:space="preserve"> Wrote five queries covering regional revenue share, category performance by region, year-over-year trends using LAG window functions, cumulative change calculation, and seasonal patterns, surfacing a December transaction-value anomaly.</w:t>
      </w:r>
    </w:p>
    <w:p>
      <w:pPr>
        <w:pStyle w:val="BodyText"/>
        <w:numPr>
          <w:ilvl w:val="0"/>
          <w:numId w:val="2"/>
        </w:numPr>
        <w:tabs>
          <w:tab w:val="clear" w:pos="709"/>
          <w:tab w:val="left" w:pos="0" w:leader="none"/>
        </w:tabs>
        <w:ind w:hanging="283" w:start="709"/>
        <w:rPr/>
      </w:pPr>
      <w:r>
        <w:rPr>
          <w:rStyle w:val="Strong"/>
        </w:rPr>
        <w:t>Revenue Impact Simulation (Python):</w:t>
      </w:r>
      <w:r>
        <w:rPr/>
        <w:t xml:space="preserve"> Built a forward-looking simulation modeling 2025 revenue scenarios using each region and category's actual 2022-2024 CAGR, quantifying the impact of regional stabilization, best-region-matched growth, and category diversification.</w:t>
      </w:r>
    </w:p>
    <w:p>
      <w:pPr>
        <w:pStyle w:val="BodyText"/>
        <w:numPr>
          <w:ilvl w:val="0"/>
          <w:numId w:val="2"/>
        </w:numPr>
        <w:tabs>
          <w:tab w:val="clear" w:pos="709"/>
          <w:tab w:val="left" w:pos="0" w:leader="none"/>
        </w:tabs>
        <w:ind w:hanging="283" w:start="709"/>
        <w:rPr/>
      </w:pPr>
      <w:r>
        <w:rPr>
          <w:rStyle w:val="Strong"/>
        </w:rPr>
        <w:t>Dashboard (Power BI):</w:t>
      </w:r>
      <w:r>
        <w:rPr/>
        <w:t xml:space="preserve"> Built a six-visual interactive dashboard presenting core findings for a business audience.</w:t>
        <w:br/>
      </w:r>
    </w:p>
    <w:p>
      <w:pPr>
        <w:pStyle w:val="Heading2"/>
        <w:spacing w:before="0" w:after="283"/>
        <w:rPr>
          <w:sz w:val="32"/>
          <w:szCs w:val="32"/>
        </w:rPr>
      </w:pPr>
      <w:r>
        <w:rPr>
          <w:sz w:val="32"/>
          <w:szCs w:val="32"/>
        </w:rPr>
        <w:t>Skills</w:t>
      </w:r>
    </w:p>
    <w:p>
      <w:pPr>
        <w:pStyle w:val="BodyText"/>
        <w:ind w:hanging="0" w:start="0" w:end="0"/>
        <w:rPr/>
      </w:pPr>
      <w:bookmarkStart w:id="2" w:name="user-content-skills"/>
      <w:bookmarkEnd w:id="2"/>
      <w:r>
        <w:rPr>
          <w:rStyle w:val="Strong"/>
        </w:rPr>
        <w:t>Python (pandas, matplotlib, seaborn):</w:t>
      </w:r>
      <w:r>
        <w:rPr/>
        <w:t xml:space="preserve"> Data loading, cleaning, and exploratory analysis; category-level outlier capping; CAGR-based revenue scenario simulation</w:t>
      </w:r>
    </w:p>
    <w:p>
      <w:pPr>
        <w:pStyle w:val="BodyText"/>
        <w:rPr/>
      </w:pPr>
      <w:r>
        <w:rPr>
          <w:rStyle w:val="Strong"/>
        </w:rPr>
        <w:t>SQL (SQLite):</w:t>
      </w:r>
      <w:r>
        <w:rPr/>
        <w:t xml:space="preserve"> 5 analytical queries covering regional revenue share, category performance, YoY trends via LAG, cumulative change, and seasonal pattern detection</w:t>
      </w:r>
    </w:p>
    <w:p>
      <w:pPr>
        <w:pStyle w:val="BodyText"/>
        <w:rPr/>
      </w:pPr>
      <w:r>
        <w:rPr>
          <w:rStyle w:val="Strong"/>
        </w:rPr>
        <w:t>Power BI:</w:t>
      </w:r>
      <w:r>
        <w:rPr/>
        <w:t xml:space="preserve"> 6-visual interactive dashboard for stakeholder-facing exploration of revenue trends by region, category, and time period</w:t>
      </w:r>
    </w:p>
    <w:p>
      <w:pPr>
        <w:pStyle w:val="Heading2"/>
        <w:spacing w:before="0" w:after="283"/>
        <w:rPr>
          <w:sz w:val="24"/>
          <w:szCs w:val="24"/>
        </w:rPr>
      </w:pPr>
      <w:r>
        <w:rPr>
          <w:sz w:val="24"/>
          <w:szCs w:val="24"/>
        </w:rPr>
        <w:br/>
      </w:r>
      <w:r>
        <w:rPr>
          <w:sz w:val="32"/>
          <w:szCs w:val="32"/>
        </w:rPr>
        <w:t>Results</w:t>
      </w:r>
    </w:p>
    <w:p>
      <w:pPr>
        <w:pStyle w:val="BodyText"/>
        <w:ind w:hanging="0" w:start="0" w:end="0"/>
        <w:rPr/>
      </w:pPr>
      <w:bookmarkStart w:id="3" w:name="user-content-results"/>
      <w:bookmarkEnd w:id="3"/>
      <w:r>
        <w:rPr>
          <w:rStyle w:val="Strong"/>
        </w:rPr>
        <w:t>Raw Materials concentration creates significant revenue exposure.</w:t>
      </w:r>
      <w:r>
        <w:rPr/>
        <w:t xml:space="preserve"> Raw Materials accounts for 70% of total company revenue across all regions, generating nearly ten times more than the second-highest category, Industrial Equipment.</w:t>
      </w:r>
    </w:p>
    <w:p>
      <w:pPr>
        <w:pStyle w:val="BodyText"/>
        <w:rPr/>
      </w:pPr>
      <w:r>
        <w:rPr/>
      </w:r>
    </w:p>
    <w:p>
      <w:pPr>
        <w:pStyle w:val="BodyText"/>
        <w:rPr/>
      </w:pPr>
      <w:r>
        <w:rPr>
          <w:rStyle w:val="Strong"/>
        </w:rPr>
        <w:t>Total revenue declined 8.95% over the three-year window.</w:t>
      </w:r>
      <w:r>
        <w:rPr/>
        <w:t xml:space="preserve"> Revenue fell from $99.4M to $90.5M annually between 2022 and 2024, driven primarily by consistent Raw Materials and Industrial Equipment sales declines across all regions.</w:t>
      </w:r>
    </w:p>
    <w:p>
      <w:pPr>
        <w:pStyle w:val="BodyText"/>
        <w:rPr/>
      </w:pPr>
      <w:r>
        <w:rPr/>
      </w:r>
    </w:p>
    <w:p>
      <w:pPr>
        <w:pStyle w:val="BodyText"/>
        <w:rPr/>
      </w:pPr>
      <w:r>
        <w:rPr>
          <w:rStyle w:val="Strong"/>
        </w:rPr>
        <w:t>Regional performance diverged sharply.</w:t>
      </w:r>
      <w:r>
        <w:rPr/>
        <w:t xml:space="preserve"> The Middle East is the only region showing growth momentum, recovering above its 2022 revenue baseline by 2024. Asia-Pacific showed partial recovery after a dip in 2023. North America, Europe, and Latin America all declined, with Latin America's 2023–2024 decline the sharpest and broadest across all countries in the region, suggesting a regional demand shift rather than a country-specific issue.</w:t>
      </w:r>
    </w:p>
    <w:p>
      <w:pPr>
        <w:pStyle w:val="BodyText"/>
        <w:rPr/>
      </w:pPr>
      <w:r>
        <w:rPr/>
      </w:r>
    </w:p>
    <w:p>
      <w:pPr>
        <w:pStyle w:val="BodyText"/>
        <w:rPr/>
      </w:pPr>
      <w:r>
        <w:rPr>
          <w:rStyle w:val="Strong"/>
        </w:rPr>
        <w:t>Category performance reveals both risk and opportunity.</w:t>
      </w:r>
      <w:r>
        <w:rPr/>
        <w:t xml:space="preserve"> Pharmaceuticals is the lowest-performing category by total revenue and, alongside Consumer Goods and Automotive Parts, represents a growth opportunity less directly tied to global commodity dynamics than Raw Materials or Industrial Equipment.</w:t>
        <w:br/>
      </w:r>
    </w:p>
    <w:p>
      <w:pPr>
        <w:pStyle w:val="BodyText"/>
        <w:rPr/>
      </w:pPr>
      <w:r>
        <w:rPr>
          <w:rStyle w:val="Strong"/>
        </w:rPr>
        <w:t>A seasonal pricing anomaly emerged during SQL analysis.</w:t>
      </w:r>
      <w:r>
        <w:rPr/>
        <w:t xml:space="preserve"> December consistently generates the highest revenue per transaction of any month, nearly double the next-highest month, July, despite having the lowest transaction count, warranting further investigation.</w:t>
      </w:r>
    </w:p>
    <w:p>
      <w:pPr>
        <w:pStyle w:val="Heading2"/>
        <w:spacing w:before="0" w:after="283"/>
        <w:rPr>
          <w:sz w:val="24"/>
          <w:szCs w:val="24"/>
        </w:rPr>
      </w:pPr>
      <w:r>
        <w:rPr>
          <w:sz w:val="24"/>
          <w:szCs w:val="24"/>
        </w:rPr>
        <w:br/>
      </w:r>
      <w:r>
        <w:rPr>
          <w:sz w:val="32"/>
          <w:szCs w:val="32"/>
        </w:rPr>
        <w:t>Business Recommendation</w:t>
      </w:r>
    </w:p>
    <w:p>
      <w:pPr>
        <w:pStyle w:val="BodyText"/>
        <w:ind w:hanging="0" w:start="0" w:end="0"/>
        <w:rPr/>
      </w:pPr>
      <w:bookmarkStart w:id="4" w:name="user-content-business-recommendation"/>
      <w:bookmarkEnd w:id="4"/>
      <w:r>
        <w:rPr/>
        <w:t>The following recommendations are grounded in both the descriptive findings above and a forward-looking revenue simulation built on each region and category's actual 2022–2024 compound annual growth rate (CAGR). All projected figures are derived directly from the cleaned dataset and no figures are assumed.</w:t>
      </w:r>
    </w:p>
    <w:p>
      <w:pPr>
        <w:pStyle w:val="BodyText"/>
        <w:rPr/>
      </w:pPr>
      <w:r>
        <w:rPr>
          <w:rStyle w:val="Strong"/>
        </w:rPr>
        <w:t>Stabilize Latin America's decline:</w:t>
      </w:r>
      <w:r>
        <w:rPr/>
        <w:t xml:space="preserve"> Latin America posted the steepest regional decline in the dataset. If current trends continue unchanged, total company revenue is projected to fall further to $87.3M in 2025; halting Latin America's decline at its 2024 level alone would protect approximately $2.5M in revenue relative to that baseline. Determining whether the downturn is economic, competitive, or product-fit related is the necessary first step before designing a recovery plan.</w:t>
      </w:r>
    </w:p>
    <w:p>
      <w:pPr>
        <w:pStyle w:val="BodyText"/>
        <w:rPr/>
      </w:pPr>
      <w:r>
        <w:rPr>
          <w:rStyle w:val="Strong"/>
        </w:rPr>
        <w:t>Prioritize the Middle East as a growth model:</w:t>
      </w:r>
      <w:r>
        <w:rPr/>
        <w:t xml:space="preserve"> The Middle East was the only region to recover above its 2022 baseline by 2024, posting a 7.44% CAGR - the strongest in the dataset. If every region matched that growth rate, total 2025 revenue would reach $97.3M, a $10.0M upside relative to the baseline trend. The Middle East's approach is worth investigating as a template for other underperforming regions.</w:t>
      </w:r>
    </w:p>
    <w:p>
      <w:pPr>
        <w:pStyle w:val="BodyText"/>
        <w:rPr/>
      </w:pPr>
      <w:r>
        <w:rPr>
          <w:rStyle w:val="Strong"/>
        </w:rPr>
        <w:t>Reduce category concentration risk:</w:t>
      </w:r>
      <w:r>
        <w:rPr/>
        <w:t xml:space="preserve"> Raw Materials' 70% revenue share leaves the business exposed to commodity demand volatility. Shifting just 10% of total revenue mix away from Raw Materials into the three categories with positive 2022–2024 growth (Apparel &amp; Footwear, Automotive Parts, Consumer Goods) would generate a projected $804K revenue uplift in 2025, even without assuming any change in each category's underlying growth rate.</w:t>
      </w:r>
    </w:p>
    <w:p>
      <w:pPr>
        <w:pStyle w:val="BodyText"/>
        <w:rPr/>
      </w:pPr>
      <w:r>
        <w:rPr/>
        <w:t>Together, these three interventions quantify both the revenue at risk from inaction and the upside available from targeted action across two of the report's primary levers: regional performance and category mix.</w:t>
        <w:br/>
      </w:r>
    </w:p>
    <w:p>
      <w:pPr>
        <w:pStyle w:val="Heading2"/>
        <w:spacing w:before="0" w:after="283"/>
        <w:rPr>
          <w:sz w:val="32"/>
          <w:szCs w:val="32"/>
        </w:rPr>
      </w:pPr>
      <w:r>
        <w:rPr>
          <w:sz w:val="32"/>
          <w:szCs w:val="32"/>
        </w:rPr>
        <w:t>Next Steps</w:t>
      </w:r>
    </w:p>
    <w:p>
      <w:pPr>
        <w:pStyle w:val="BodyText"/>
        <w:ind w:hanging="0" w:start="0" w:end="0"/>
        <w:rPr/>
      </w:pPr>
      <w:bookmarkStart w:id="5" w:name="user-content-next-steps"/>
      <w:bookmarkEnd w:id="5"/>
      <w:r>
        <w:rPr>
          <w:rStyle w:val="Strong"/>
        </w:rPr>
        <w:t>Real world data validation:</w:t>
      </w:r>
      <w:r>
        <w:rPr/>
        <w:t xml:space="preserve"> This dataset was synthetically generated and is not representative of any real company's transactions. It reflects a revenue concentration in Raw Materials and a regional revenue distribution more even than would typically be observed in a real multinational business context, both likely more exaggerated than reality. Applying this analytical framework to real transactional data, including returns, discounts, and multi-currency reconciliation not modeled here, would be the necessary next step to validate these findings in a production context.</w:t>
      </w:r>
    </w:p>
    <w:p>
      <w:pPr>
        <w:pStyle w:val="BodyText"/>
        <w:rPr/>
      </w:pPr>
      <w:r>
        <w:rPr>
          <w:rStyle w:val="Strong"/>
        </w:rPr>
        <w:t>Seasonal anomaly investigation:</w:t>
      </w:r>
      <w:r>
        <w:rPr/>
        <w:t xml:space="preserve"> The December transaction-value anomaly identified during SQL analysis warrants a dedicated investigation into whether it reflects pricing strategy, large enterprise contract timing, or another structural cause.</w:t>
      </w:r>
    </w:p>
    <w:p>
      <w:pPr>
        <w:pStyle w:val="BodyText"/>
        <w:rPr/>
      </w:pPr>
      <w:r>
        <w:rPr>
          <w:rStyle w:val="Strong"/>
        </w:rPr>
        <w:t xml:space="preserve">Latin America root-cause analysis: </w:t>
      </w:r>
      <w:r>
        <w:rPr/>
        <w:t>Determining whether Latin America's decline is economic, competitive, or product-fit related, and whether it is occurring uniformly across countries or concentrated in specific markets, would require country-level data beyond the aggregate regional view used in this analysis.</w:t>
      </w:r>
    </w:p>
    <w:p>
      <w:pPr>
        <w:pStyle w:val="BodyText"/>
        <w:rPr/>
      </w:pPr>
      <w:r>
        <w:rPr>
          <w:rStyle w:val="Strong"/>
        </w:rPr>
        <w:t>Category-level diversification modeling:</w:t>
      </w:r>
      <w:r>
        <w:rPr/>
        <w:t xml:space="preserve"> The diversification scenario models a uniform 10% shift away from Raw Materials. A more granular model incorporating customer-level or contract-level data would refine which specific accounts or product lines are best positioned to absorb that shift.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Strong">
    <w:name w:val="Strong"/>
    <w:qFormat/>
    <w:rPr>
      <w:b/>
      <w:bCs/>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115</TotalTime>
  <Application>LibreOffice/26.2.4.2$Windows_X86_64 LibreOffice_project/0229ac93fcf0d7cbc6376066c6f35021cef002dc</Application>
  <AppVersion>15.0000</AppVersion>
  <Pages>4</Pages>
  <Words>1211</Words>
  <Characters>7531</Characters>
  <CharactersWithSpaces>8701</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2026-04-08T17:07:59Z</dcterms:created>
  <dc:creator/>
  <dc:description/>
  <dc:language>en-US</dc:language>
  <cp:lastModifiedBy/>
  <dcterms:modified xsi:type="dcterms:W3CDTF">2026-06-20T15:36:00Z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