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b/>
          <w:bCs/>
        </w:rPr>
        <w:t>Executive Summary</w:t>
      </w:r>
      <w:r>
        <w:rPr>
          <w:b/>
          <w:bCs/>
        </w:rPr>
        <w:t xml:space="preserve">: </w:t>
      </w:r>
      <w:r>
        <w:rPr/>
        <w:t xml:space="preserve">Global sales revenue at the company declined 8.95% between 2022 and 2024, </w:t>
      </w:r>
      <w:r>
        <w:rPr/>
        <w:t>falling</w:t>
      </w:r>
      <w:r>
        <w:rPr/>
        <w:t xml:space="preserve"> from $99.4M to $90.5M annually. </w:t>
      </w:r>
      <w:r>
        <w:rPr/>
        <w:t xml:space="preserve">This analysis identifies the primary driver of this loss as the sustained decline in Raw Materials sales, the company’s single largest revenue category, compounded by broad regional weakness in the North American, European and Latin American markets. The concentration of revenue into one category is creating significant structural and financial risk. To stabilize and reverse this trend, </w:t>
      </w:r>
      <w:r>
        <w:rPr/>
        <w:t xml:space="preserve">I recommend a targeted diversification strategy focused on growing underperforming product categories in high-potential regions, </w:t>
      </w:r>
      <w:r>
        <w:rPr/>
        <w:t>such as the Middle East,</w:t>
      </w:r>
      <w:r>
        <w:rPr/>
        <w:t xml:space="preserve"> </w:t>
      </w:r>
      <w:r>
        <w:rPr/>
        <w:t>and</w:t>
      </w:r>
      <w:r>
        <w:rPr/>
        <w:t xml:space="preserve"> reducing dependency on Raw Materials as the primary revenue driver.</w:t>
      </w:r>
    </w:p>
    <w:p>
      <w:pPr>
        <w:pStyle w:val="Normal"/>
        <w:bidi w:val="0"/>
        <w:jc w:val="start"/>
        <w:rPr/>
      </w:pPr>
      <w:r>
        <w:rPr/>
        <w:br/>
      </w:r>
    </w:p>
    <w:p>
      <w:pPr>
        <w:pStyle w:val="Normal"/>
        <w:bidi w:val="0"/>
        <w:jc w:val="start"/>
        <w:rPr/>
      </w:pPr>
      <w:r>
        <w:rPr>
          <w:b/>
          <w:bCs/>
        </w:rPr>
        <w:t>Business Context</w:t>
      </w:r>
      <w:r>
        <w:rPr>
          <w:b/>
          <w:bCs/>
        </w:rPr>
        <w:t>:</w:t>
      </w:r>
      <w:r>
        <w:rPr/>
        <w:t xml:space="preserve"> </w:t>
      </w:r>
      <w:r>
        <w:rPr/>
        <w:t>Stakeholders have observed a consistent year-over-year revenue decline since 2022, r</w:t>
      </w:r>
      <w:r>
        <w:rPr/>
        <w:t>esulting in</w:t>
      </w:r>
      <w:r>
        <w:rPr/>
        <w:t xml:space="preserve"> a cumulative loss of approximately $8.9M.</w:t>
      </w:r>
      <w:r>
        <w:rPr/>
        <w:t xml:space="preserve"> </w:t>
      </w:r>
      <w:r>
        <w:rPr/>
        <w:t xml:space="preserve">They have </w:t>
      </w:r>
      <w:r>
        <w:rPr/>
        <w:t>req</w:t>
      </w:r>
      <w:r>
        <w:rPr/>
        <w:t>uested</w:t>
      </w:r>
      <w:r>
        <w:rPr/>
        <w:t xml:space="preserve"> a clear understanding of where declines are concentrated in order to identify actionable opportunities to reverse them. </w:t>
      </w:r>
    </w:p>
    <w:p>
      <w:pPr>
        <w:pStyle w:val="Normal"/>
        <w:bidi w:val="0"/>
        <w:jc w:val="start"/>
        <w:rPr/>
      </w:pPr>
      <w:r>
        <w:rPr/>
      </w:r>
    </w:p>
    <w:p>
      <w:pPr>
        <w:pStyle w:val="Normal"/>
        <w:bidi w:val="0"/>
        <w:jc w:val="start"/>
        <w:rPr/>
      </w:pPr>
      <w:r>
        <w:rPr/>
      </w:r>
    </w:p>
    <w:p>
      <w:pPr>
        <w:pStyle w:val="Normal"/>
        <w:bidi w:val="0"/>
        <w:jc w:val="start"/>
        <w:rPr/>
      </w:pPr>
      <w:r>
        <w:rPr>
          <w:b/>
          <w:bCs/>
        </w:rPr>
        <w:t>Key Findings</w:t>
      </w:r>
      <w:r>
        <w:rPr>
          <w:b/>
          <w:bCs/>
        </w:rPr>
        <w:t xml:space="preserve">: </w:t>
      </w:r>
      <w:r>
        <w:rPr/>
        <w:t xml:space="preserve">Raw Materials accounts for a disproportionate share of total company revenue </w:t>
      </w:r>
      <w:r>
        <w:rPr/>
        <w:t>overall</w:t>
      </w:r>
      <w:r>
        <w:rPr/>
        <w:t xml:space="preserve">, generating approximately ten times more than the second highest category, Industrial Equipment. This concentration means that shifts in Raw Materials demand have an outsized impact on overall performance. Between 2022 and 2024 Raw Materials revenue declined 8.92%, </w:t>
      </w:r>
      <w:r>
        <w:rPr/>
        <w:t xml:space="preserve">comprising </w:t>
      </w:r>
      <w:r>
        <w:rPr/>
        <w:t xml:space="preserve">a 5.92% drop in 2023 followed by an additional 3.22% decline in 2024. </w:t>
      </w:r>
      <w:r>
        <w:rPr/>
        <w:t>This</w:t>
      </w:r>
      <w:r>
        <w:rPr/>
        <w:t xml:space="preserve"> trend </w:t>
      </w:r>
      <w:r>
        <w:rPr/>
        <w:t>is</w:t>
      </w:r>
      <w:r>
        <w:rPr/>
        <w:t xml:space="preserve"> consistent across all regions, indicating a global demand shift rather than a localized market issue </w:t>
      </w:r>
      <w:r>
        <w:rPr/>
        <w:t>and presenting significant revenue exposure</w:t>
      </w:r>
      <w:r>
        <w:rPr/>
        <w:t>.</w:t>
      </w:r>
    </w:p>
    <w:p>
      <w:pPr>
        <w:pStyle w:val="Normal"/>
        <w:bidi w:val="0"/>
        <w:jc w:val="start"/>
        <w:rPr/>
      </w:pPr>
      <w:r>
        <w:rPr/>
      </w:r>
    </w:p>
    <w:p>
      <w:pPr>
        <w:pStyle w:val="BodyText"/>
        <w:bidi w:val="0"/>
        <w:jc w:val="start"/>
        <w:rPr/>
      </w:pPr>
      <w:r>
        <w:rPr/>
        <w:t>On</w:t>
      </w:r>
      <w:r>
        <w:rPr/>
        <w:t xml:space="preserve"> the regional level, </w:t>
      </w:r>
      <w:r>
        <w:rPr/>
        <w:t xml:space="preserve">revenue </w:t>
      </w:r>
      <w:r>
        <w:rPr/>
        <w:t xml:space="preserve">declines were recorded in North America, Europe, and Latin America. </w:t>
      </w:r>
      <w:r>
        <w:rPr/>
        <w:t>T</w:t>
      </w:r>
      <w:r>
        <w:rPr/>
        <w:t xml:space="preserve">he Middle East </w:t>
      </w:r>
      <w:r>
        <w:rPr/>
        <w:t>region</w:t>
      </w:r>
      <w:r>
        <w:rPr/>
        <w:t xml:space="preserve"> demonstrated a strong recovery in 2024, ending above its 2022 baseline. </w:t>
      </w:r>
      <w:r>
        <w:rPr/>
        <w:t>The</w:t>
      </w:r>
      <w:r>
        <w:rPr/>
        <w:t xml:space="preserve"> Asia-Pacific </w:t>
      </w:r>
      <w:r>
        <w:rPr/>
        <w:t xml:space="preserve">region </w:t>
      </w:r>
      <w:r>
        <w:rPr/>
        <w:t xml:space="preserve">showed partial recovery after a 2023 dip. Latin America </w:t>
      </w:r>
      <w:r>
        <w:rPr/>
        <w:t xml:space="preserve">presents the </w:t>
      </w:r>
      <w:r>
        <w:rPr/>
        <w:t xml:space="preserve">most concerning regional </w:t>
      </w:r>
      <w:r>
        <w:rPr/>
        <w:t>picture:</w:t>
      </w:r>
      <w:r>
        <w:rPr/>
        <w:t xml:space="preserve"> despite ranking third in total regional revenue, it experienced the sharpest year over year decline between 2023 and 2024. Critically, this decline appears across all Latin American countries rather than concentrat</w:t>
      </w:r>
      <w:r>
        <w:rPr/>
        <w:t>ing</w:t>
      </w:r>
      <w:r>
        <w:rPr/>
        <w:t xml:space="preserve"> in a single market, suggesting a regional economic or demand shift.</w:t>
      </w:r>
    </w:p>
    <w:p>
      <w:pPr>
        <w:pStyle w:val="Normal"/>
        <w:bidi w:val="0"/>
        <w:jc w:val="start"/>
        <w:rPr/>
      </w:pPr>
      <w:r>
        <w:rPr/>
        <w:t xml:space="preserve">Pharmaceuticals represents the most underperforming product category by total revenue and presents a potential growth opportunity </w:t>
      </w:r>
      <w:r>
        <w:rPr/>
        <w:t xml:space="preserve">alongside Consumer Goods </w:t>
      </w:r>
      <w:r>
        <w:rPr/>
        <w:t>and Automotive Parts</w:t>
      </w:r>
      <w:r>
        <w:rPr/>
        <w:t xml:space="preserve">, particularly given that its decline is not as directly tied to the </w:t>
      </w:r>
      <w:r>
        <w:rPr/>
        <w:t>same</w:t>
      </w:r>
      <w:r>
        <w:rPr/>
        <w:t xml:space="preserve"> global commodity dynamics </w:t>
      </w:r>
      <w:r>
        <w:rPr/>
        <w:t>currently</w:t>
      </w:r>
      <w:r>
        <w:rPr/>
        <w:t xml:space="preserve"> affecting Raw Materials.</w:t>
      </w:r>
      <w:r>
        <w:rPr/>
        <w:br/>
        <w:br/>
        <w:br/>
      </w:r>
      <w:r>
        <w:rPr>
          <w:b/>
          <w:bCs/>
        </w:rPr>
        <w:t>Recommendation</w:t>
      </w:r>
      <w:r>
        <w:rPr>
          <w:b/>
          <w:bCs/>
        </w:rPr>
        <w:t>s</w:t>
      </w:r>
      <w:r>
        <w:rPr>
          <w:b/>
          <w:bCs/>
        </w:rPr>
        <w:t xml:space="preserve">: </w:t>
      </w:r>
      <w:r>
        <w:rPr>
          <w:b w:val="false"/>
          <w:bCs w:val="false"/>
        </w:rPr>
        <w:t>Given</w:t>
      </w:r>
      <w:r>
        <w:rPr/>
        <w:t xml:space="preserve"> </w:t>
      </w:r>
      <w:r>
        <w:rPr/>
        <w:t>the</w:t>
      </w:r>
      <w:r>
        <w:rPr/>
        <w:t xml:space="preserve"> combination of declining Raw Materials sales </w:t>
      </w:r>
      <w:r>
        <w:rPr/>
        <w:t>across key regions and the</w:t>
      </w:r>
      <w:r>
        <w:rPr/>
        <w:t xml:space="preserve"> heavy revenue concentration in that category, </w:t>
      </w:r>
      <w:r>
        <w:rPr/>
        <w:t>there is</w:t>
      </w:r>
      <w:r>
        <w:rPr/>
        <w:t xml:space="preserve"> significant risk to the company's financial health. </w:t>
      </w:r>
      <w:r>
        <w:rPr/>
        <w:t xml:space="preserve">I recommend the </w:t>
      </w:r>
      <w:r>
        <w:rPr/>
        <w:t>following actions:</w:t>
        <w:br/>
      </w:r>
    </w:p>
    <w:p>
      <w:pPr>
        <w:pStyle w:val="BodyText"/>
        <w:bidi w:val="0"/>
        <w:jc w:val="start"/>
        <w:rPr/>
      </w:pPr>
      <w:r>
        <w:rPr/>
        <w:t>1. R</w:t>
      </w:r>
      <w:r>
        <w:rPr/>
        <w:t>educe revenue concentration risk by setting growth targets for non-Raw Materials categories, particularly Pharmaceuticals, Consumer Goods, and Automotive Parts, with the goal of increasing their combined share of total revenue over the next two to three years. This will provide a buffer against continued softness in Raw Materials demand.</w:t>
      </w:r>
    </w:p>
    <w:p>
      <w:pPr>
        <w:pStyle w:val="BodyText"/>
        <w:bidi w:val="0"/>
        <w:jc w:val="start"/>
        <w:rPr/>
      </w:pPr>
      <w:r>
        <w:rPr/>
        <w:t>2.</w:t>
      </w:r>
      <w:r>
        <w:rPr/>
        <w:t xml:space="preserve"> </w:t>
      </w:r>
      <w:r>
        <w:rPr/>
        <w:t>P</w:t>
      </w:r>
      <w:r>
        <w:rPr/>
        <w:t xml:space="preserve">rioritize the Middle East as a growth market. Its recovery and upward momentum in 2024 suggests a </w:t>
      </w:r>
      <w:r>
        <w:rPr/>
        <w:t>potentially</w:t>
      </w:r>
      <w:r>
        <w:rPr/>
        <w:t xml:space="preserve"> receptive market environment. Targeted investment in expanding product availability and sales coverage in this region could yield meaningful revenue gains.</w:t>
      </w:r>
    </w:p>
    <w:p>
      <w:pPr>
        <w:pStyle w:val="Normal"/>
        <w:bidi w:val="0"/>
        <w:jc w:val="start"/>
        <w:rPr/>
      </w:pPr>
      <w:r>
        <w:rPr/>
        <w:t>3.</w:t>
      </w:r>
      <w:r>
        <w:rPr/>
        <w:t xml:space="preserve"> </w:t>
      </w:r>
      <w:r>
        <w:rPr/>
        <w:t>C</w:t>
      </w:r>
      <w:r>
        <w:rPr/>
        <w:t xml:space="preserve">onduct a focused investigation into Latin America's accelerating decline. Given that the downturn appears regional, understanding the underlying market conditions, whether </w:t>
      </w:r>
      <w:r>
        <w:rPr/>
        <w:t>it is</w:t>
      </w:r>
      <w:r>
        <w:rPr/>
        <w:t xml:space="preserve"> economic, competitive, or product-fit related, is essential before designing </w:t>
      </w:r>
      <w:r>
        <w:rPr/>
        <w:t>and implementing</w:t>
      </w:r>
      <w:r>
        <w:rPr/>
        <w:t xml:space="preserve"> </w:t>
      </w:r>
      <w:r>
        <w:rPr/>
        <w:t>a</w:t>
      </w:r>
      <w:r>
        <w:rPr/>
        <w:t xml:space="preserve"> recovery strategy.</w:t>
      </w:r>
    </w:p>
    <w:p>
      <w:pPr>
        <w:pStyle w:val="Normal"/>
        <w:bidi w:val="0"/>
        <w:jc w:val="start"/>
        <w:rPr/>
      </w:pPr>
      <w:r>
        <w:rPr/>
      </w:r>
    </w:p>
    <w:p>
      <w:pPr>
        <w:pStyle w:val="Normal"/>
        <w:bidi w:val="0"/>
        <w:jc w:val="start"/>
        <w:rPr/>
      </w:pPr>
      <w:r>
        <w:rPr/>
      </w:r>
    </w:p>
    <w:p>
      <w:pPr>
        <w:pStyle w:val="Normal"/>
        <w:bidi w:val="0"/>
        <w:jc w:val="start"/>
        <w:rPr/>
      </w:pPr>
      <w:r>
        <w:rPr>
          <w:b/>
          <w:bCs/>
        </w:rPr>
        <w:t>Additional Finding:</w:t>
      </w:r>
      <w:r>
        <w:rPr/>
        <w:t xml:space="preserve"> During the SQL analysis of the data, it was discovered that </w:t>
      </w:r>
      <w:r>
        <w:rPr/>
        <w:t xml:space="preserve">December generates the highest revenue per transaction of any month, nearly double July, despite </w:t>
      </w:r>
      <w:r>
        <w:rPr/>
        <w:t>having</w:t>
      </w:r>
      <w:r>
        <w:rPr/>
        <w:t xml:space="preserve"> the lowest transaction count. </w:t>
      </w:r>
      <w:r>
        <w:rPr/>
        <w:t>This is</w:t>
      </w:r>
      <w:r>
        <w:rPr/>
        <w:t xml:space="preserve"> indicating a concentration of high-value procurement activity at </w:t>
      </w:r>
      <w:r>
        <w:rPr/>
        <w:t>the end of the year.</w:t>
      </w:r>
      <w:r>
        <w:rPr/>
        <w:t xml:space="preserve"> </w:t>
      </w:r>
      <w:r>
        <w:rPr/>
        <w:t>I recommend that the marketing and sales teams investigate the driver for this anomaly before the next annual planning cycle.</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SimSun" w:cs="Lucida Sans"/>
      <w:color w:val="auto"/>
      <w:kern w:val="2"/>
      <w:sz w:val="24"/>
      <w:szCs w:val="24"/>
      <w:lang w:val="en-US" w:eastAsia="zh-CN" w:bidi="hi-IN"/>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111</TotalTime>
  <Application>LibreOffice/25.2.7.2$Windows_X86_64 LibreOffice_project/5cbfd1ab6520636bb5f7b99185aa69bd7456825d</Application>
  <AppVersion>15.0000</AppVersion>
  <Pages>2</Pages>
  <Words>596</Words>
  <Characters>3558</Characters>
  <CharactersWithSpaces>4150</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2026-04-08T17:07:59Z</dcterms:created>
  <dc:creator/>
  <dc:description/>
  <dc:language>en-US</dc:language>
  <cp:lastModifiedBy/>
  <dcterms:modified xsi:type="dcterms:W3CDTF">2026-04-12T14:24:14Z</dcterms:modified>
  <cp:revision>5</cp:revision>
  <dc:subject/>
  <dc:title/>
</cp:coreProperties>
</file>