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Executive Summary</w:t>
      </w:r>
    </w:p>
    <w:p>
      <w:pPr>
        <w:pStyle w:val="BodyText"/>
        <w:bidi w:val="0"/>
        <w:spacing w:lineRule="auto" w:line="276" w:before="0" w:after="140"/>
        <w:jc w:val="start"/>
        <w:rPr/>
      </w:pPr>
      <w:r>
        <w:rPr/>
        <w:t xml:space="preserve">Japan's corporate sector entered 2025 at a critical inflection point. Following a decade of escalating governance reform pressure </w:t>
      </w:r>
      <w:r>
        <w:rPr/>
        <w:t>with</w:t>
      </w:r>
      <w:r>
        <w:rPr/>
        <w:t xml:space="preserve"> the introduction of the Corporate Governance Code in 2015 through the Tokyo Stock Exchange's capital efficiency directive in 2023, Japanese listed companies have begun deploying idle capital at record levels. Capital expenditure reached a historic high of ¥55.5 trillion in 2024, and cash dividends </w:t>
      </w:r>
      <w:r>
        <w:rPr/>
        <w:t>increased nearly sixfold</w:t>
      </w:r>
      <w:r>
        <w:rPr/>
        <w:t xml:space="preserve"> from ¥7.2 trillion in 2003 to ¥40.1 trillion in 2024. The stock market has responded accordingly with TOPIX reaching multi-decade highs above 2,700 by year-end 2024.</w:t>
      </w:r>
    </w:p>
    <w:p>
      <w:pPr>
        <w:pStyle w:val="BodyText"/>
        <w:bidi w:val="0"/>
        <w:spacing w:lineRule="auto" w:line="276" w:before="0" w:after="140"/>
        <w:jc w:val="start"/>
        <w:rPr/>
      </w:pPr>
      <w:r>
        <w:rPr/>
        <w:t>Yet the structural challenge remains unresolved. Corporate earned surplus grew 126% between 2011 and 2024 from ¥281.7 trillion to ¥637.5 trillion in an unbroken upward trend that continued through every governance reform without exception. Japanese companies are deploying more capital than ever while simultaneously accumulating retained earnings faster than they are deploying them.</w:t>
      </w:r>
    </w:p>
    <w:p>
      <w:pPr>
        <w:pStyle w:val="BodyText"/>
        <w:bidi w:val="0"/>
        <w:spacing w:lineRule="auto" w:line="276" w:before="0" w:after="140"/>
        <w:jc w:val="start"/>
        <w:rPr/>
      </w:pPr>
      <w:r>
        <w:rPr/>
        <w:t xml:space="preserve">This analysis examines 24 years of corporate financial data, stock market performance, and international investment comparisons </w:t>
      </w:r>
      <w:r>
        <w:rPr/>
        <w:t xml:space="preserve">to the peer economies of Germany, South Korea and the United States </w:t>
      </w:r>
      <w:r>
        <w:rPr/>
        <w:t>to assess the impact of Japan's governance reform program and project the potential economic outcomes of accelerated capital deployment. Scenario modeling suggests that deploying between 5% and 15% of current surplus over a ten year horizon could generate between $</w:t>
      </w:r>
      <w:r>
        <w:rPr/>
        <w:t>370</w:t>
      </w:r>
      <w:r>
        <w:rPr/>
        <w:t xml:space="preserve"> </w:t>
      </w:r>
      <w:r>
        <w:rPr/>
        <w:t>b</w:t>
      </w:r>
      <w:r>
        <w:rPr/>
        <w:t>illion and $1.19 trillion in additional GDP relative to a no-deployment baseline, based on Japan's historical investment-</w:t>
      </w:r>
      <w:r>
        <w:rPr/>
        <w:t>to-growth</w:t>
      </w:r>
      <w:r>
        <w:rPr/>
        <w:t xml:space="preserve"> relationship.</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Business Context</w:t>
      </w:r>
    </w:p>
    <w:p>
      <w:pPr>
        <w:pStyle w:val="BodyText"/>
        <w:bidi w:val="0"/>
        <w:spacing w:lineRule="auto" w:line="276" w:before="0" w:after="140"/>
        <w:jc w:val="start"/>
        <w:rPr/>
      </w:pPr>
      <w:r>
        <w:rPr/>
        <w:t xml:space="preserve">Japan's corporate governance reform era began in earnest in 2013 with the launch of Abenomics, the economic revitalization program introduced by Prime Minister Shinzo Abe. Alongside monetary stimulus and fiscal expansion, Abenomics included a structural reform agenda that identified corporate governance as a critical lever for unlocking Japan's long-term economic potential. </w:t>
      </w:r>
      <w:r>
        <w:rPr/>
        <w:t xml:space="preserve">The reason is clear: </w:t>
      </w:r>
      <w:r>
        <w:rPr/>
        <w:t xml:space="preserve">Japanese listed companies spent decades accumulating cash reserves rather than deploying </w:t>
      </w:r>
      <w:r>
        <w:rPr/>
        <w:t>productive capital</w:t>
      </w:r>
      <w:r>
        <w:rPr/>
        <w:t xml:space="preserve">, suppressing returns to shareholders, limiting investment in growth, and ultimately </w:t>
      </w:r>
      <w:r>
        <w:rPr/>
        <w:t>restricting</w:t>
      </w:r>
      <w:r>
        <w:rPr/>
        <w:t xml:space="preserve"> broader economic output.</w:t>
      </w:r>
    </w:p>
    <w:p>
      <w:pPr>
        <w:pStyle w:val="BodyText"/>
        <w:bidi w:val="0"/>
        <w:spacing w:lineRule="auto" w:line="276" w:before="0" w:after="140"/>
        <w:jc w:val="start"/>
        <w:rPr/>
      </w:pPr>
      <w:r>
        <w:rPr/>
        <w:t xml:space="preserve">This behavior </w:t>
      </w:r>
      <w:r>
        <w:rPr/>
        <w:t>is not unfounded:</w:t>
      </w:r>
      <w:r>
        <w:rPr/>
        <w:t xml:space="preserve"> </w:t>
      </w:r>
      <w:r>
        <w:rPr/>
        <w:t>t</w:t>
      </w:r>
      <w:r>
        <w:rPr/>
        <w:t xml:space="preserve">he collapse of Japan's asset bubble in </w:t>
      </w:r>
      <w:r>
        <w:rPr/>
        <w:t>the early 1990’s</w:t>
      </w:r>
      <w:r>
        <w:rPr/>
        <w:t xml:space="preserve"> </w:t>
      </w:r>
      <w:r>
        <w:rPr/>
        <w:t>and the subsequent Lost Decade</w:t>
      </w:r>
      <w:r>
        <w:rPr/>
        <w:t>s</w:t>
      </w:r>
      <w:r>
        <w:rPr/>
        <w:t xml:space="preserve"> created a corporate culture of extreme risk aversion. Companies that had survived the crash did so partly by building large cash buffers against future instability. By the time Abenomics launched Japanese listed companies were sitting on an estimated ¥200-300 trillion in idle corporate cash that was earning near-zero returns while shareholders expected meaningful investment or distributions in return.</w:t>
      </w:r>
    </w:p>
    <w:p>
      <w:pPr>
        <w:pStyle w:val="BodyText"/>
        <w:bidi w:val="0"/>
        <w:spacing w:lineRule="auto" w:line="276" w:before="0" w:after="140"/>
        <w:jc w:val="start"/>
        <w:rPr/>
      </w:pPr>
      <w:r>
        <w:rPr/>
        <w:t xml:space="preserve">The policy response unfolded in four distinct stages. The Corporate Governance Code was introduced in 2015 </w:t>
      </w:r>
      <w:r>
        <w:rPr/>
        <w:t>and</w:t>
      </w:r>
      <w:r>
        <w:rPr/>
        <w:t xml:space="preserve"> establish</w:t>
      </w:r>
      <w:r>
        <w:rPr/>
        <w:t>ed</w:t>
      </w:r>
      <w:r>
        <w:rPr/>
        <w:t xml:space="preserve"> a “comply-or-explain” </w:t>
      </w:r>
      <w:r>
        <w:rPr/>
        <w:t>approach</w:t>
      </w:r>
      <w:r>
        <w:rPr/>
        <w:t xml:space="preserve"> requiring listed companies to justify their capital allocation decisions publicly. It was revised in 2018 and again in 2021 to strengthen board independence requirements and expand the scope of disclosure obligations. In 2023 the Tokyo Stock Exchange took the most direct action yet </w:t>
      </w:r>
      <w:r>
        <w:rPr/>
        <w:t>by</w:t>
      </w:r>
      <w:r>
        <w:rPr/>
        <w:t xml:space="preserve"> explicitly instructing companies trading below book value to develop and publish concrete plans for improving capital efficiency. </w:t>
      </w:r>
      <w:r>
        <w:rPr/>
        <w:t>This was</w:t>
      </w:r>
      <w:r>
        <w:rPr/>
        <w:t xml:space="preserve"> a directive widely interpreted as the most aggressive intervention in the reform program's history.</w:t>
      </w:r>
    </w:p>
    <w:p>
      <w:pPr>
        <w:pStyle w:val="BodyText"/>
        <w:bidi w:val="0"/>
        <w:spacing w:lineRule="auto" w:line="276" w:before="0" w:after="140"/>
        <w:jc w:val="start"/>
        <w:rPr/>
      </w:pPr>
      <w:r>
        <w:rPr/>
        <w:t>Against this backdrop, corporate stakeholders, investors, and policymakers require a clear evidence-based assessment of whether the reform program has materially changed corporate behavior and what the economic stakes are if the remaining idle capital is finally deployed.</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Key Findings</w:t>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Corporate Cash Accumulation Has Continued Uninterrupted</w:t>
      </w:r>
    </w:p>
    <w:p>
      <w:pPr>
        <w:pStyle w:val="BodyText"/>
        <w:bidi w:val="0"/>
        <w:spacing w:lineRule="auto" w:line="276" w:before="0" w:after="140"/>
        <w:jc w:val="start"/>
        <w:rPr/>
      </w:pPr>
      <w:r>
        <w:rPr/>
        <w:t xml:space="preserve">Japan's corporate earned surplus grew 126% between 2011 and 2024, rising from ¥281.7 trillion to ¥637.5 trillion. This growth was consistent, averaging approximately ¥26.6 trillion per year across the period. Critically, the rate of accumulation showed no meaningful deceleration at any governance reform milestone. Surplus grew 7.71% in the Abenomics year of 2013, 6.63% in the Governance Code year of 2015, and 8.33% in the TSE Push year of 2023, </w:t>
      </w:r>
      <w:r>
        <w:rPr/>
        <w:t>which are</w:t>
      </w:r>
      <w:r>
        <w:rPr/>
        <w:t xml:space="preserve"> broadly consistent with the overall period average. The governance reforms have not reversed, paused, or materially slowed the accumulation of idle corporate capital.</w:t>
        <w:br/>
      </w:r>
    </w:p>
    <w:p>
      <w:pPr>
        <w:pStyle w:val="BodyText"/>
        <w:bidi w:val="0"/>
        <w:spacing w:lineRule="auto" w:line="276" w:before="0" w:after="140"/>
        <w:jc w:val="start"/>
        <w:rPr/>
      </w:pPr>
      <w:r>
        <w:rPr>
          <w:rStyle w:val="Strong"/>
        </w:rPr>
        <w:t>Capital Deployment Shifted Toward Shareholder Returns</w:t>
      </w:r>
    </w:p>
    <w:p>
      <w:pPr>
        <w:pStyle w:val="BodyText"/>
        <w:bidi w:val="0"/>
        <w:spacing w:lineRule="auto" w:line="276" w:before="0" w:after="140"/>
        <w:jc w:val="start"/>
        <w:rPr/>
      </w:pPr>
      <w:r>
        <w:rPr/>
        <w:t xml:space="preserve">While surplus accumulation continued, the distribution of corporate capital deployment shifted materially during the reform era. Cash dividends paid by Japanese listed companies grew from ¥7.2 trillion in 2003 to ¥40.1 trillion in 2024, </w:t>
      </w:r>
      <w:r>
        <w:rPr/>
        <w:t>representing</w:t>
      </w:r>
      <w:r>
        <w:rPr/>
        <w:t xml:space="preserve"> a nearly sixfold increase over two decades. Capital expenditure also reached record levels ris</w:t>
      </w:r>
      <w:r>
        <w:rPr/>
        <w:t>ing</w:t>
      </w:r>
      <w:r>
        <w:rPr/>
        <w:t xml:space="preserve"> from ¥36.5 trillion in 2001 to ¥55.5 trillion in 2024, a 52% increase over the same period. However the pace of dividend growth substantially outpaced investment growth; </w:t>
      </w:r>
      <w:r>
        <w:rPr/>
        <w:t>d</w:t>
      </w:r>
      <w:r>
        <w:rPr/>
        <w:t xml:space="preserve">ividends as a percentage of capital expenditure rose from approximately 12% in 2001 to 72% in 2024 with the most pronounced acceleration occurring after the 2013 Abenomics milestone. </w:t>
      </w:r>
      <w:r>
        <w:rPr/>
        <w:t>When c</w:t>
      </w:r>
      <w:r>
        <w:rPr/>
        <w:t>omparing the pre-reform era to the reform era directly, average annual dividends rose from ¥10.9 trillion to ¥26.0 trillion while total dividends paid across the reform era exceeded pre-reform era totals by ¥181.7 trillion. Japanese companies are deploying significantly more capital than before the reforms, but shareholders are capturing a disproportionately growing share of that deployment relative to productive investment.</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Japan Maintains Consistent Second-Place Investment Rate Among Peer Economies</w:t>
      </w:r>
    </w:p>
    <w:p>
      <w:pPr>
        <w:pStyle w:val="BodyText"/>
        <w:bidi w:val="0"/>
        <w:spacing w:lineRule="auto" w:line="276" w:before="0" w:after="140"/>
        <w:jc w:val="start"/>
        <w:rPr/>
      </w:pPr>
      <w:r>
        <w:rPr/>
        <w:t xml:space="preserve">Gross fixed capital formation as a percentage of GDP places Japan consistently second among the four peer economies throughout the entire 24 year analytical period. South Korea led throughout at approximately 30-32% of GDP, followed by Japan at 23-28%, with Germany and the United States clustered between 19-23%. Japan's investment rate dipped to a low of 22.6% of GDP in 2010 following the global financial crisis before recovering to 26.1% by 2024. This finding </w:t>
      </w:r>
      <w:r>
        <w:rPr/>
        <w:t xml:space="preserve">establishes that </w:t>
      </w:r>
      <w:r>
        <w:rPr/>
        <w:t xml:space="preserve">Japan is not a low-investment economy by international standards, </w:t>
      </w:r>
      <w:r>
        <w:rPr/>
        <w:t>and that</w:t>
      </w:r>
      <w:r>
        <w:rPr/>
        <w:t xml:space="preserve"> </w:t>
      </w:r>
      <w:r>
        <w:rPr/>
        <w:t>t</w:t>
      </w:r>
      <w:r>
        <w:rPr/>
        <w:t xml:space="preserve">he structural challenge is not an absence of investment but rather the </w:t>
      </w:r>
      <w:r>
        <w:rPr/>
        <w:t>growing pool</w:t>
      </w:r>
      <w:r>
        <w:rPr/>
        <w:t xml:space="preserve"> of surplus capital that outpaces even Japan's historically s</w:t>
      </w:r>
      <w:r>
        <w:rPr/>
        <w:t xml:space="preserve">ound </w:t>
      </w:r>
      <w:r>
        <w:rPr/>
        <w:t>investment performance.</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Stock Market Performance Correlates Strongly With Capital Expenditure</w:t>
      </w:r>
    </w:p>
    <w:p>
      <w:pPr>
        <w:pStyle w:val="BodyText"/>
        <w:bidi w:val="0"/>
        <w:spacing w:lineRule="auto" w:line="276" w:before="0" w:after="140"/>
        <w:jc w:val="start"/>
        <w:rPr/>
      </w:pPr>
      <w:r>
        <w:rPr/>
        <w:t xml:space="preserve">The TOPIX index and Japan's corporate capital expenditure exhibit a strong positive correlation across the 24 year period with a Pearson coefficient of 0.913 and an R² of 0.833, meaning approximately 83% of the variation in TOPIX values is statistically associated with variation in </w:t>
      </w:r>
      <w:r>
        <w:rPr/>
        <w:t>C</w:t>
      </w:r>
      <w:r>
        <w:rPr/>
        <w:t>ap</w:t>
      </w:r>
      <w:r>
        <w:rPr/>
        <w:t>E</w:t>
      </w:r>
      <w:r>
        <w:rPr/>
        <w:t xml:space="preserve">x levels. The relationship operates with a one year lag, CapEx growth in year T is a statistically significant predictor of GDP growth in year T+1 with a p-value of 0.0001. Analysis of TOPIX performance around individual governance reform milestones reveals a consistent pattern: each reform announcement was followed by an initial market hesitation before recovery and resumed upward </w:t>
      </w:r>
      <w:r>
        <w:rPr/>
        <w:t>direction</w:t>
      </w:r>
      <w:r>
        <w:rPr/>
        <w:t xml:space="preserve">, suggesting investors required evidence of corporate behavioral change before fully pricing in reform benefits. The strongest market signal came after the 2023 TSE directive with TOPIX gaining 25.1% in 2023 and a further 17.7% in 2024, the most sustained two-year rally in the dataset and clearest </w:t>
      </w:r>
      <w:r>
        <w:rPr/>
        <w:t xml:space="preserve">market </w:t>
      </w:r>
      <w:r>
        <w:rPr/>
        <w:t>endorsement of the reform</w:t>
      </w:r>
      <w:r>
        <w:rPr/>
        <w:t>s</w:t>
      </w:r>
      <w:r>
        <w:rPr/>
        <w:t xml:space="preserve"> to date.</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Historical Investment Patterns Support Meaningful GDP Upside From Capital Deployment</w:t>
      </w:r>
    </w:p>
    <w:p>
      <w:pPr>
        <w:pStyle w:val="BodyText"/>
        <w:bidi w:val="0"/>
        <w:spacing w:lineRule="auto" w:line="276" w:before="0" w:after="140"/>
        <w:jc w:val="start"/>
        <w:rPr/>
      </w:pPr>
      <w:r>
        <w:rPr/>
        <w:t xml:space="preserve">Regression analysis of Japan's historical investment-to-growth relationship identifies a statistically significant one year lag between CapEx growth and GDP growth, with a multiplier of 0.1323 meaning each one percentage point increase in </w:t>
      </w:r>
      <w:r>
        <w:rPr/>
        <w:t>C</w:t>
      </w:r>
      <w:r>
        <w:rPr/>
        <w:t>ap</w:t>
      </w:r>
      <w:r>
        <w:rPr/>
        <w:t>E</w:t>
      </w:r>
      <w:r>
        <w:rPr/>
        <w:t>x growth is associated with approximately 0.13 percentage points of additional GDP growth in the following year. Applying this relationship to three capital deployment scenarios produce</w:t>
      </w:r>
      <w:r>
        <w:rPr/>
        <w:t>d</w:t>
      </w:r>
      <w:r>
        <w:rPr/>
        <w:t xml:space="preserve"> a range of projected GDP outcomes through 2034. Under a conservative scenario deploying 5% of current surplus over ten years, additional GDP of approximately $0.37 trillion is projected relative to a no-deployment baseline. A moderate scenario deploying 10% projects $0.76 trillion in additional GDP. An aggressive scenario deploying 15% projects $1.19 trillion. These projections are subject to meaningful uncertainty; the regression model carries a residual standard deviation of 1.44 percentage points and Japan's structural constraints, including demographic decline and persistent deflationary tendencies, may dampen the actual investment multiplier relative to historical averages. The forecast should be interpreted as a directional range rather than a precise prediction.</w:t>
      </w:r>
    </w:p>
    <w:p>
      <w:pPr>
        <w:pStyle w:val="BodyText"/>
        <w:bidi w:val="0"/>
        <w:spacing w:lineRule="auto" w:line="276" w:before="0" w:after="140"/>
        <w:jc w:val="start"/>
        <w:rPr>
          <w:rStyle w:val="Strong"/>
        </w:rPr>
      </w:pPr>
      <w:r>
        <w:rPr/>
      </w:r>
    </w:p>
    <w:p>
      <w:pPr>
        <w:pStyle w:val="BodyText"/>
        <w:bidi w:val="0"/>
        <w:spacing w:lineRule="auto" w:line="276" w:before="0" w:after="140"/>
        <w:jc w:val="start"/>
        <w:rPr>
          <w:rStyle w:val="Strong"/>
        </w:rPr>
      </w:pPr>
      <w:r>
        <w:rPr/>
      </w:r>
    </w:p>
    <w:p>
      <w:pPr>
        <w:pStyle w:val="BodyText"/>
        <w:bidi w:val="0"/>
        <w:spacing w:lineRule="auto" w:line="276" w:before="0" w:after="140"/>
        <w:jc w:val="start"/>
        <w:rPr/>
      </w:pPr>
      <w:r>
        <w:rPr>
          <w:rStyle w:val="Strong"/>
        </w:rPr>
        <w:t>Observations and Areas for Further Investigation</w:t>
      </w:r>
    </w:p>
    <w:p>
      <w:pPr>
        <w:pStyle w:val="BodyText"/>
        <w:bidi w:val="0"/>
        <w:spacing w:lineRule="auto" w:line="276" w:before="0" w:after="140"/>
        <w:jc w:val="start"/>
        <w:rPr/>
      </w:pPr>
      <w:r>
        <w:rPr/>
        <w:t>The findings of this analysis raise several questions that warrant further investigation by policymakers, investors, and corporate researchers with access to company-level data beyond what is available in aggregate public statistics</w:t>
      </w:r>
      <w:r>
        <w:rPr/>
        <w:t>.</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1. The </w:t>
      </w:r>
      <w:r>
        <w:rPr>
          <w:rStyle w:val="Strong"/>
        </w:rPr>
        <w:t>S</w:t>
      </w:r>
      <w:r>
        <w:rPr>
          <w:rStyle w:val="Strong"/>
        </w:rPr>
        <w:t xml:space="preserve">urplus </w:t>
      </w:r>
      <w:r>
        <w:rPr>
          <w:rStyle w:val="Strong"/>
        </w:rPr>
        <w:t>A</w:t>
      </w:r>
      <w:r>
        <w:rPr>
          <w:rStyle w:val="Strong"/>
        </w:rPr>
        <w:t xml:space="preserve">ccumulation </w:t>
      </w:r>
      <w:r>
        <w:rPr>
          <w:rStyle w:val="Strong"/>
        </w:rPr>
        <w:t>T</w:t>
      </w:r>
      <w:r>
        <w:rPr>
          <w:rStyle w:val="Strong"/>
        </w:rPr>
        <w:t xml:space="preserve">rend </w:t>
      </w:r>
      <w:r>
        <w:rPr>
          <w:rStyle w:val="Strong"/>
        </w:rPr>
        <w:t>R</w:t>
      </w:r>
      <w:r>
        <w:rPr>
          <w:rStyle w:val="Strong"/>
        </w:rPr>
        <w:t xml:space="preserve">equires </w:t>
      </w:r>
      <w:r>
        <w:rPr>
          <w:rStyle w:val="Strong"/>
        </w:rPr>
        <w:t>C</w:t>
      </w:r>
      <w:r>
        <w:rPr>
          <w:rStyle w:val="Strong"/>
        </w:rPr>
        <w:t xml:space="preserve">loser </w:t>
      </w:r>
      <w:r>
        <w:rPr>
          <w:rStyle w:val="Strong"/>
        </w:rPr>
        <w:t>M</w:t>
      </w:r>
      <w:r>
        <w:rPr>
          <w:rStyle w:val="Strong"/>
        </w:rPr>
        <w:t xml:space="preserve">onitoring </w:t>
      </w:r>
      <w:r>
        <w:rPr>
          <w:rStyle w:val="Strong"/>
        </w:rPr>
        <w:t>T</w:t>
      </w:r>
      <w:r>
        <w:rPr>
          <w:rStyle w:val="Strong"/>
        </w:rPr>
        <w:t>hrough 2027</w:t>
      </w:r>
    </w:p>
    <w:p>
      <w:pPr>
        <w:pStyle w:val="BodyText"/>
        <w:bidi w:val="0"/>
        <w:spacing w:lineRule="auto" w:line="276" w:before="0" w:after="140"/>
        <w:jc w:val="start"/>
        <w:rPr/>
      </w:pPr>
      <w:r>
        <w:rPr/>
        <w:t xml:space="preserve">The unbroken 126% growth in earned surplus between 2011 and 2024 suggests that aggregate compliance with the Corporate Governance Code has not yet translated into a reversal of the capital hoarding </w:t>
      </w:r>
      <w:r>
        <w:rPr/>
        <w:t>patter</w:t>
      </w:r>
      <w:r>
        <w:rPr/>
        <w:t>n</w:t>
      </w:r>
      <w:r>
        <w:rPr/>
        <w:t xml:space="preserve">. The July 2027 compliance deadline for the revised Code represents the most </w:t>
      </w:r>
      <w:r>
        <w:rPr/>
        <w:t>crucial</w:t>
      </w:r>
      <w:r>
        <w:rPr/>
        <w:t xml:space="preserve"> near-term test of whether the reforms can produce a measurable inflection in this trend, </w:t>
      </w:r>
      <w:r>
        <w:rPr/>
        <w:t>and t</w:t>
      </w:r>
      <w:r>
        <w:rPr/>
        <w:t>racking the rate of change in earned surplus as a percentage of total assets in the years immediately following 2027 would provide the clearest evidence of whether th</w:t>
      </w:r>
      <w:r>
        <w:rPr/>
        <w:t>is</w:t>
      </w:r>
      <w:r>
        <w:rPr/>
        <w:t xml:space="preserve"> latest revision has </w:t>
      </w:r>
      <w:r>
        <w:rPr/>
        <w:t>achieved its goals.</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2. The </w:t>
      </w:r>
      <w:r>
        <w:rPr>
          <w:rStyle w:val="Strong"/>
        </w:rPr>
        <w:t>D</w:t>
      </w:r>
      <w:r>
        <w:rPr>
          <w:rStyle w:val="Strong"/>
        </w:rPr>
        <w:t xml:space="preserve">ividend </w:t>
      </w:r>
      <w:r>
        <w:rPr>
          <w:rStyle w:val="Strong"/>
        </w:rPr>
        <w:t>V</w:t>
      </w:r>
      <w:r>
        <w:rPr>
          <w:rStyle w:val="Strong"/>
        </w:rPr>
        <w:t xml:space="preserve">ersus </w:t>
      </w:r>
      <w:r>
        <w:rPr>
          <w:rStyle w:val="Strong"/>
        </w:rPr>
        <w:t>I</w:t>
      </w:r>
      <w:r>
        <w:rPr>
          <w:rStyle w:val="Strong"/>
        </w:rPr>
        <w:t xml:space="preserve">nvestment </w:t>
      </w:r>
      <w:r>
        <w:rPr>
          <w:rStyle w:val="Strong"/>
        </w:rPr>
        <w:t>B</w:t>
      </w:r>
      <w:r>
        <w:rPr>
          <w:rStyle w:val="Strong"/>
        </w:rPr>
        <w:t xml:space="preserve">alance </w:t>
      </w:r>
      <w:r>
        <w:rPr>
          <w:rStyle w:val="Strong"/>
        </w:rPr>
        <w:t>W</w:t>
      </w:r>
      <w:r>
        <w:rPr>
          <w:rStyle w:val="Strong"/>
        </w:rPr>
        <w:t xml:space="preserve">arrants </w:t>
      </w:r>
      <w:r>
        <w:rPr>
          <w:rStyle w:val="Strong"/>
        </w:rPr>
        <w:t>S</w:t>
      </w:r>
      <w:r>
        <w:rPr>
          <w:rStyle w:val="Strong"/>
        </w:rPr>
        <w:t xml:space="preserve">ector </w:t>
      </w:r>
      <w:r>
        <w:rPr>
          <w:rStyle w:val="Strong"/>
        </w:rPr>
        <w:t>L</w:t>
      </w:r>
      <w:r>
        <w:rPr>
          <w:rStyle w:val="Strong"/>
        </w:rPr>
        <w:t xml:space="preserve">evel </w:t>
      </w:r>
      <w:r>
        <w:rPr>
          <w:rStyle w:val="Strong"/>
        </w:rPr>
        <w:t>I</w:t>
      </w:r>
      <w:r>
        <w:rPr>
          <w:rStyle w:val="Strong"/>
        </w:rPr>
        <w:t>nvestigation</w:t>
      </w:r>
    </w:p>
    <w:p>
      <w:pPr>
        <w:pStyle w:val="BodyText"/>
        <w:bidi w:val="0"/>
        <w:spacing w:lineRule="auto" w:line="276" w:before="0" w:after="140"/>
        <w:jc w:val="start"/>
        <w:rPr/>
      </w:pPr>
      <w:r>
        <w:rPr/>
        <w:t>The aggregate shift from a 30.6% to a 56.5% dividend-to-</w:t>
      </w:r>
      <w:r>
        <w:rPr/>
        <w:t>C</w:t>
      </w:r>
      <w:r>
        <w:rPr/>
        <w:t>ap</w:t>
      </w:r>
      <w:r>
        <w:rPr/>
        <w:t>E</w:t>
      </w:r>
      <w:r>
        <w:rPr/>
        <w:t xml:space="preserve">x ratio between the pre-reform and reform eras suggests that shareholder returns have grown faster than productive investment at the economy-wide </w:t>
      </w:r>
      <w:r>
        <w:rPr/>
        <w:t>scale</w:t>
      </w:r>
      <w:r>
        <w:rPr/>
        <w:t xml:space="preserve">. Whether this pattern is consistent across all sectors or </w:t>
      </w:r>
      <w:r>
        <w:rPr/>
        <w:t xml:space="preserve">is </w:t>
      </w:r>
      <w:r>
        <w:rPr/>
        <w:t xml:space="preserve">concentrated in specific industries cannot be determined from the aggregate data </w:t>
      </w:r>
      <w:r>
        <w:rPr/>
        <w:t>that was</w:t>
      </w:r>
      <w:r>
        <w:rPr/>
        <w:t xml:space="preserve"> used in this analysis. A sector level breakdown using company-</w:t>
      </w:r>
      <w:r>
        <w:rPr/>
        <w:t xml:space="preserve">level </w:t>
      </w:r>
      <w:r>
        <w:rPr/>
        <w:t>financial data would clarify whether the governance reforms are producing genuine long-term investment in high-growth areas or primarily accelerating cash distributions in low-growth ones.</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t xml:space="preserve">3. The </w:t>
      </w:r>
      <w:r>
        <w:rPr>
          <w:rStyle w:val="Strong"/>
        </w:rPr>
        <w:t>F</w:t>
      </w:r>
      <w:r>
        <w:rPr>
          <w:rStyle w:val="Strong"/>
        </w:rPr>
        <w:t xml:space="preserve">orecast </w:t>
      </w:r>
      <w:r>
        <w:rPr>
          <w:rStyle w:val="Strong"/>
        </w:rPr>
        <w:t>R</w:t>
      </w:r>
      <w:r>
        <w:rPr>
          <w:rStyle w:val="Strong"/>
        </w:rPr>
        <w:t xml:space="preserve">ange </w:t>
      </w:r>
      <w:r>
        <w:rPr>
          <w:rStyle w:val="Strong"/>
        </w:rPr>
        <w:t>S</w:t>
      </w:r>
      <w:r>
        <w:rPr>
          <w:rStyle w:val="Strong"/>
        </w:rPr>
        <w:t xml:space="preserve">hould </w:t>
      </w:r>
      <w:r>
        <w:rPr>
          <w:rStyle w:val="Strong"/>
        </w:rPr>
        <w:t>B</w:t>
      </w:r>
      <w:r>
        <w:rPr>
          <w:rStyle w:val="Strong"/>
        </w:rPr>
        <w:t xml:space="preserve">e </w:t>
      </w:r>
      <w:r>
        <w:rPr>
          <w:rStyle w:val="Strong"/>
        </w:rPr>
        <w:t>T</w:t>
      </w:r>
      <w:r>
        <w:rPr>
          <w:rStyle w:val="Strong"/>
        </w:rPr>
        <w:t xml:space="preserve">reated </w:t>
      </w:r>
      <w:r>
        <w:rPr>
          <w:rStyle w:val="Strong"/>
        </w:rPr>
        <w:t>A</w:t>
      </w:r>
      <w:r>
        <w:rPr>
          <w:rStyle w:val="Strong"/>
        </w:rPr>
        <w:t xml:space="preserve">s </w:t>
      </w:r>
      <w:r>
        <w:rPr>
          <w:rStyle w:val="Strong"/>
        </w:rPr>
        <w:t>A</w:t>
      </w:r>
      <w:r>
        <w:rPr>
          <w:rStyle w:val="Strong"/>
        </w:rPr>
        <w:t xml:space="preserve"> </w:t>
      </w:r>
      <w:r>
        <w:rPr>
          <w:rStyle w:val="Strong"/>
        </w:rPr>
        <w:t>D</w:t>
      </w:r>
      <w:r>
        <w:rPr>
          <w:rStyle w:val="Strong"/>
        </w:rPr>
        <w:t xml:space="preserve">irectional </w:t>
      </w:r>
      <w:r>
        <w:rPr>
          <w:rStyle w:val="Strong"/>
        </w:rPr>
        <w:t>R</w:t>
      </w:r>
      <w:r>
        <w:rPr>
          <w:rStyle w:val="Strong"/>
        </w:rPr>
        <w:t xml:space="preserve">eference </w:t>
      </w:r>
      <w:r>
        <w:rPr>
          <w:rStyle w:val="Strong"/>
        </w:rPr>
        <w:t>R</w:t>
      </w:r>
      <w:r>
        <w:rPr>
          <w:rStyle w:val="Strong"/>
        </w:rPr>
        <w:t xml:space="preserve">ather </w:t>
      </w:r>
      <w:r>
        <w:rPr>
          <w:rStyle w:val="Strong"/>
        </w:rPr>
        <w:t>T</w:t>
      </w:r>
      <w:r>
        <w:rPr>
          <w:rStyle w:val="Strong"/>
        </w:rPr>
        <w:t xml:space="preserve">han </w:t>
      </w:r>
      <w:r>
        <w:rPr>
          <w:rStyle w:val="Strong"/>
        </w:rPr>
        <w:t>A</w:t>
      </w:r>
      <w:r>
        <w:rPr>
          <w:rStyle w:val="Strong"/>
        </w:rPr>
        <w:t xml:space="preserve"> </w:t>
      </w:r>
      <w:r>
        <w:rPr>
          <w:rStyle w:val="Strong"/>
        </w:rPr>
        <w:t>P</w:t>
      </w:r>
      <w:r>
        <w:rPr>
          <w:rStyle w:val="Strong"/>
        </w:rPr>
        <w:t xml:space="preserve">lanning </w:t>
      </w:r>
      <w:r>
        <w:rPr>
          <w:rStyle w:val="Strong"/>
        </w:rPr>
        <w:t>T</w:t>
      </w:r>
      <w:r>
        <w:rPr>
          <w:rStyle w:val="Strong"/>
        </w:rPr>
        <w:t>arget</w:t>
      </w:r>
    </w:p>
    <w:p>
      <w:pPr>
        <w:pStyle w:val="BodyText"/>
        <w:bidi w:val="0"/>
        <w:spacing w:lineRule="auto" w:line="276" w:before="0" w:after="140"/>
        <w:jc w:val="start"/>
        <w:rPr/>
      </w:pPr>
      <w:r>
        <w:rPr/>
        <w:t>The scenario projections of $0.37 trillion to $1.19 trillion in additional GDP through 2034 are grounded in Japan's historical investment-to-growth relationship but carry uncertainty. The regression model's residual standard deviation of 1.44 percentage points reflects the influence of external shocks that no investment-based model can reliably predict. These projections are most useful as a quantitative frame of reference for evaluating actual deployment progress over time rather than as precise planning targets.</w:t>
      </w:r>
    </w:p>
    <w:p>
      <w:pPr>
        <w:pStyle w:val="BodyText"/>
        <w:bidi w:val="0"/>
        <w:spacing w:lineRule="auto" w:line="276" w:before="0" w:after="140"/>
        <w:jc w:val="start"/>
        <w:rPr/>
      </w:pPr>
      <w:r>
        <w:rPr/>
      </w:r>
    </w:p>
    <w:p>
      <w:pPr>
        <w:pStyle w:val="BodyText"/>
        <w:bidi w:val="0"/>
        <w:spacing w:lineRule="auto" w:line="276" w:before="0" w:after="140"/>
        <w:jc w:val="start"/>
        <w:rPr/>
      </w:pPr>
      <w:r>
        <w:rPr>
          <w:rStyle w:val="Strong"/>
        </w:rPr>
        <w:br/>
        <w:t>Additional Observation — The Aggregate Savings-Investment Gap</w:t>
      </w:r>
    </w:p>
    <w:p>
      <w:pPr>
        <w:pStyle w:val="BodyText"/>
        <w:bidi w:val="0"/>
        <w:spacing w:lineRule="auto" w:line="276" w:before="0" w:after="140"/>
        <w:jc w:val="start"/>
        <w:rPr/>
      </w:pPr>
      <w:r>
        <w:rPr/>
        <w:t xml:space="preserve">An unexpected pattern emerged during the macroeconomic context analysis that falls outside the primary scope of this project. Japan's gross domestic savings rate fell below its gross fixed capital formation rate in several years after 2013, producing a negative savings-investment gap at the aggregate national level. </w:t>
      </w:r>
      <w:r>
        <w:rPr/>
        <w:t xml:space="preserve">This is </w:t>
      </w:r>
      <w:r>
        <w:rPr/>
        <w:t>counterintuitive</w:t>
      </w:r>
      <w:r>
        <w:rPr/>
        <w:t xml:space="preserve"> given that corporate earned surplus grew uninterrupted throughout the same period.</w:t>
      </w:r>
    </w:p>
    <w:p>
      <w:pPr>
        <w:pStyle w:val="BodyText"/>
        <w:bidi w:val="0"/>
        <w:spacing w:lineRule="auto" w:line="276" w:before="0" w:after="140"/>
        <w:jc w:val="start"/>
        <w:rPr/>
      </w:pPr>
      <w:r>
        <w:rPr/>
        <w:t xml:space="preserve">This apparent contradiction likely reflects compositional factors within the national accounts, </w:t>
      </w:r>
      <w:r>
        <w:rPr/>
        <w:t xml:space="preserve">which </w:t>
      </w:r>
      <w:r>
        <w:rPr/>
        <w:t xml:space="preserve">likely reflects compositional factors within the national accounts, including persistent government fiscal deficits and declining household savings among Japan's aging population. The aggregate data used in this analysis does not provide sufficient granularity to isolate corporate sector behavior from household and government sector </w:t>
      </w:r>
      <w:r>
        <w:rPr/>
        <w:t>behavior</w:t>
      </w:r>
      <w:r>
        <w:rPr/>
        <w:t>, and resolving this question properly would require data beyond the scope of this project.</w:t>
      </w:r>
    </w:p>
    <w:p>
      <w:pPr>
        <w:pStyle w:val="BodyText"/>
        <w:bidi w:val="0"/>
        <w:spacing w:lineRule="auto" w:line="276" w:before="0" w:after="140"/>
        <w:jc w:val="start"/>
        <w:rPr/>
      </w:pPr>
      <w:r>
        <w:rPr>
          <w:rStyle w:val="Strong"/>
        </w:rPr>
        <w:t>Methodology Note</w:t>
      </w:r>
    </w:p>
    <w:p>
      <w:pPr>
        <w:pStyle w:val="BodyText"/>
        <w:bidi w:val="0"/>
        <w:spacing w:lineRule="auto" w:line="276" w:before="0" w:after="140"/>
        <w:jc w:val="start"/>
        <w:rPr/>
      </w:pPr>
      <w:r>
        <w:rPr/>
        <w:t xml:space="preserve">This analysis draws on publicly available data from </w:t>
      </w:r>
      <w:r>
        <w:rPr/>
        <w:t>three</w:t>
      </w:r>
      <w:r>
        <w:rPr/>
        <w:t xml:space="preserve"> sources </w:t>
      </w:r>
      <w:r>
        <w:rPr/>
        <w:t>covering the period from 2001 through 2024</w:t>
      </w:r>
      <w:r>
        <w:rPr/>
        <w:t xml:space="preserve">: the Japan Ministry of Finance Financial Statements Statistics of Corporations by Industry, the Japan Exchange Group TOPIX index historical records, and the World Bank World Development Indicators. </w:t>
      </w:r>
      <w:r>
        <w:rPr/>
        <w:t>The d</w:t>
      </w:r>
      <w:r>
        <w:rPr/>
        <w:t>ata was cleaned, standardized and integrated using Python, with structured queries run in SQLite to validate key findings. Visualizations and the interactive dashboard were produced in Power BI.</w:t>
      </w:r>
    </w:p>
    <w:p>
      <w:pPr>
        <w:pStyle w:val="BodyText"/>
        <w:bidi w:val="0"/>
        <w:spacing w:lineRule="auto" w:line="276" w:before="0" w:after="140"/>
        <w:jc w:val="start"/>
        <w:rPr/>
      </w:pPr>
      <w:r>
        <w:rPr/>
        <w:t>Cross-country comparisons are expressed as percentages of GDP rather than in absolute currency terms to eliminate distortion from exchange rate fluctuations across a 24 year period spanning significant yen volatility.</w:t>
      </w:r>
    </w:p>
    <w:p>
      <w:pPr>
        <w:pStyle w:val="BodyText"/>
        <w:bidi w:val="0"/>
        <w:spacing w:lineRule="auto" w:line="276" w:before="0" w:after="140"/>
        <w:jc w:val="start"/>
        <w:rPr/>
      </w:pPr>
      <w:r>
        <w:rPr/>
        <w:t xml:space="preserve">The scenario forecast is based on an ordinary least squares regression model identifying a statistically significant one year lag between corporate capital expenditure growth and GDP growth in Japan between 2002 and 2024, with an R² of 0.574 and a p-value of 0.0001. Three deployment scenarios, conservative, moderate and aggressive, represent 5%, 10%, and 15% of the 2024 earned surplus baseline of ¥637.5 trillion deployed over a ten year </w:t>
      </w:r>
      <w:r>
        <w:rPr/>
        <w:t>period</w:t>
      </w:r>
      <w:r>
        <w:rPr/>
        <w:t xml:space="preserve">. </w:t>
      </w:r>
      <w:r>
        <w:rPr/>
        <w:t>The p</w:t>
      </w:r>
      <w:r>
        <w:rPr/>
        <w:t xml:space="preserve">rojections carry </w:t>
      </w:r>
      <w:r>
        <w:rPr/>
        <w:t>residual</w:t>
      </w:r>
      <w:r>
        <w:rPr/>
        <w:t xml:space="preserve"> uncertainty of approximately 1.44 </w:t>
      </w:r>
      <w:r>
        <w:rPr/>
        <w:t>percentage points</w:t>
      </w:r>
      <w:r>
        <w:rPr/>
        <w:t xml:space="preserve"> per year </w:t>
      </w:r>
      <w:r>
        <w:rPr/>
        <w:t xml:space="preserve">and </w:t>
      </w:r>
      <w:r>
        <w:rPr/>
        <w:t>widen over the forecast horizon.</w:t>
      </w:r>
    </w:p>
    <w:p>
      <w:pPr>
        <w:pStyle w:val="BodyText"/>
        <w:bidi w:val="0"/>
        <w:spacing w:lineRule="auto" w:line="276" w:before="0" w:after="140"/>
        <w:jc w:val="start"/>
        <w:rPr/>
      </w:pPr>
      <w:r>
        <w:rPr/>
        <w:t xml:space="preserve">Key limitations of this analysis include the exclusion of the Finance and Insurance sector from Ministry of Finance corporate data, the absence of share buyback data due to availability constraints, earned surplus data availability from 2011 </w:t>
      </w:r>
      <w:r>
        <w:rPr/>
        <w:t>onward</w:t>
      </w:r>
      <w:r>
        <w:rPr/>
        <w:t xml:space="preserve"> only, and the use of aggregate national statistics which do not permit isolation of corporate sector behavior from household and government sector behavior</w:t>
      </w:r>
      <w:r>
        <w:rPr/>
        <w: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LibreOffice/26.2.2.2$Windows_X86_64 LibreOffice_project/1f77d10d6938fd34972958f64b2bcfa54f8b1ba5</Application>
  <AppVersion>15.0000</AppVersion>
  <Pages>5</Pages>
  <Words>1981</Words>
  <Characters>11879</Characters>
  <CharactersWithSpaces>13825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2026-04-24T17:29:53Z</dcterms:created>
  <dc:creator/>
  <dc:description/>
  <dc:language>en-US</dc:language>
  <cp:lastModifiedBy/>
  <dcterms:modified xsi:type="dcterms:W3CDTF">2026-04-25T12:23:01Z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