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numPr>
          <w:ilvl w:val="0"/>
          <w:numId w:val="0"/>
        </w:numPr>
        <w:spacing w:before="200" w:after="120"/>
        <w:rPr/>
      </w:pPr>
      <w:r>
        <w:rPr/>
        <w:t>Executive Summary</w:t>
      </w:r>
    </w:p>
    <w:p>
      <w:pPr>
        <w:pStyle w:val="BodyText"/>
        <w:rPr/>
      </w:pPr>
      <w:r>
        <w:rPr/>
        <w:t>This project presents a 24 year quantitative analysis of Japan's corporate governance reform program and its measurable impact on corporate capital allocation behavior, equity market performance, and macroeconomic outcomes, produced as a research analytics exercise using real public data from the Ministry of Finance, Japan Exchange Group, and World Bank. The analysis was built to provide the quantitative evidence base for institutional-level questions about Japan's capital markets, the kind of empirical foundation that portfolio managers, corporate strategy researchers, and financial analysts require before drawing their own conclusions.</w:t>
      </w:r>
    </w:p>
    <w:p>
      <w:pPr>
        <w:pStyle w:val="BodyText"/>
        <w:rPr/>
      </w:pPr>
      <w:r>
        <w:rPr/>
        <w:t>Three findings of particular analytical significance emerged. Japan's corporate earned surplus has grown 126% since 2011, reaching ¥637.5 trillion in 2024 with no meaningful deceleration at any governance reform milestone. The proportion of profits returned to shareholders versus reinvested shifted dramatically, with dividends as a percentage of capital expenditure rose from 12% in 2001 to 72% in 2024. Corporate capital expenditure and TOPIX performance exhibit a near-perfect positive correlation across the full analytical window (r = 0.913), with the strongest sustained market rally in the dataset occurring in the two years following the 2023 TSE capital efficiency directive. GDP scenario modeling projects $0.37T-$1.19T in additional output by 2034 if 5-15% of current surplus is deployed.</w:t>
      </w:r>
    </w:p>
    <w:p>
      <w:pPr>
        <w:pStyle w:val="Heading2"/>
        <w:numPr>
          <w:ilvl w:val="0"/>
          <w:numId w:val="0"/>
        </w:numPr>
        <w:ind w:hanging="0" w:start="0"/>
        <w:rPr/>
      </w:pPr>
      <w:r>
        <w:rPr/>
        <w:br/>
        <w:t>Business Problem</w:t>
      </w:r>
    </w:p>
    <w:p>
      <w:pPr>
        <w:pStyle w:val="BodyText"/>
        <w:rPr/>
      </w:pPr>
      <w:r>
        <w:rPr/>
        <w:t>Japan's listed companies had accumulated an estimated ¥637.5 trillion in corporate earned surplus as of 2024; idle retained profits that have persisted despite a decade of escalating governance reform pressure from Japan's Financial Services Agency and Tokyo Stock Exchange. Whether these policy interventions can meaningfully change deeply entrenched corporate behavior is a question with direct implications for equity investors, multinational corporations evaluating Japan exposure, and financial research organizations monitoring reform progress. This analysis was built to provide a quantitative evidence base for five core questions:</w:t>
      </w:r>
    </w:p>
    <w:p>
      <w:pPr>
        <w:pStyle w:val="BodyText"/>
        <w:numPr>
          <w:ilvl w:val="0"/>
          <w:numId w:val="2"/>
        </w:numPr>
        <w:tabs>
          <w:tab w:val="clear" w:pos="709"/>
          <w:tab w:val="left" w:pos="0" w:leader="none"/>
        </w:tabs>
        <w:ind w:hanging="283" w:start="709"/>
        <w:rPr/>
      </w:pPr>
      <w:r>
        <w:rPr/>
        <w:t>How have Japanese corporate cash holdings changed over time relative to governance reform milestones, and has the reform program altered the accumulation trend?</w:t>
      </w:r>
    </w:p>
    <w:p>
      <w:pPr>
        <w:pStyle w:val="BodyText"/>
        <w:numPr>
          <w:ilvl w:val="0"/>
          <w:numId w:val="2"/>
        </w:numPr>
        <w:tabs>
          <w:tab w:val="clear" w:pos="709"/>
          <w:tab w:val="left" w:pos="0" w:leader="none"/>
        </w:tabs>
        <w:ind w:hanging="283" w:start="709"/>
        <w:rPr/>
      </w:pPr>
      <w:r>
        <w:rPr/>
        <w:t>Has capital expenditure increased as a proportion of corporate profits since the TSE's 2023 capital efficiency push, or are companies primarily returning cash to shareholders through dividends rather than investing?</w:t>
      </w:r>
    </w:p>
    <w:p>
      <w:pPr>
        <w:pStyle w:val="BodyText"/>
        <w:numPr>
          <w:ilvl w:val="0"/>
          <w:numId w:val="2"/>
        </w:numPr>
        <w:tabs>
          <w:tab w:val="clear" w:pos="709"/>
          <w:tab w:val="left" w:pos="0" w:leader="none"/>
        </w:tabs>
        <w:ind w:hanging="283" w:start="709"/>
        <w:rPr/>
      </w:pPr>
      <w:r>
        <w:rPr/>
        <w:t>How does Japan's corporate investment behavior compare to peer economies (United States, Germany, South Korea) as a percentage of GDP over the same period?</w:t>
      </w:r>
    </w:p>
    <w:p>
      <w:pPr>
        <w:pStyle w:val="BodyText"/>
        <w:numPr>
          <w:ilvl w:val="0"/>
          <w:numId w:val="2"/>
        </w:numPr>
        <w:tabs>
          <w:tab w:val="clear" w:pos="709"/>
          <w:tab w:val="left" w:pos="0" w:leader="none"/>
        </w:tabs>
        <w:ind w:hanging="283" w:start="709"/>
        <w:rPr/>
      </w:pPr>
      <w:r>
        <w:rPr/>
        <w:t>Is there a measurable statistical correlation between governance reform milestones and Japan's stock market performance as measured by the TOPIX index?</w:t>
      </w:r>
    </w:p>
    <w:p>
      <w:pPr>
        <w:pStyle w:val="BodyText"/>
        <w:numPr>
          <w:ilvl w:val="0"/>
          <w:numId w:val="2"/>
        </w:numPr>
        <w:tabs>
          <w:tab w:val="clear" w:pos="709"/>
          <w:tab w:val="left" w:pos="0" w:leader="none"/>
        </w:tabs>
        <w:ind w:hanging="283" w:start="709"/>
        <w:rPr/>
      </w:pPr>
      <w:r>
        <w:rPr/>
        <w:t>Based on historical relationships between corporate investment and GDP growth, what range of economic outcomes could be expected if companies deployed varying proportions of their idle capital over a five to ten year horizon?</w:t>
        <w:br/>
      </w:r>
    </w:p>
    <w:p>
      <w:pPr>
        <w:pStyle w:val="Heading2"/>
        <w:numPr>
          <w:ilvl w:val="0"/>
          <w:numId w:val="0"/>
        </w:numPr>
        <w:ind w:hanging="0" w:start="0"/>
        <w:rPr/>
      </w:pPr>
      <w:r>
        <w:rPr/>
        <w:t>Methodology</w:t>
      </w:r>
    </w:p>
    <w:p>
      <w:pPr>
        <w:pStyle w:val="BodyText"/>
        <w:numPr>
          <w:ilvl w:val="0"/>
          <w:numId w:val="3"/>
        </w:numPr>
        <w:tabs>
          <w:tab w:val="clear" w:pos="709"/>
          <w:tab w:val="left" w:pos="0" w:leader="none"/>
        </w:tabs>
        <w:ind w:hanging="283" w:start="709"/>
        <w:rPr/>
      </w:pPr>
      <w:r>
        <w:rPr>
          <w:b/>
        </w:rPr>
        <w:t>Scope Definition:</w:t>
      </w:r>
      <w:r>
        <w:rPr/>
        <w:t xml:space="preserve"> Established five core business questions, a 2001–2024 analytical window, four peer economies for international comparison, and percentage of GDP as the primary cross-country normalization unit.</w:t>
      </w:r>
    </w:p>
    <w:p>
      <w:pPr>
        <w:pStyle w:val="BodyText"/>
        <w:numPr>
          <w:ilvl w:val="0"/>
          <w:numId w:val="3"/>
        </w:numPr>
        <w:tabs>
          <w:tab w:val="clear" w:pos="709"/>
          <w:tab w:val="left" w:pos="0" w:leader="none"/>
        </w:tabs>
        <w:ind w:hanging="283" w:start="709"/>
        <w:rPr/>
      </w:pPr>
      <w:r>
        <w:rPr>
          <w:b/>
        </w:rPr>
        <w:t>Data Sourcing and Integration:</w:t>
      </w:r>
      <w:r>
        <w:rPr/>
        <w:t xml:space="preserve"> Collected data from three public sources — 23 Ministry of Finance annual survey Excel files (FY2002–FY2024), TOPIX historical index records from the Japan Exchange Group, and World Bank World Development Indicators for four countries. Applied a most-recently-published deduplication strategy for overlapping MoF file coverage. Final master datasets: japan_master.csv (24 rows, 14 columns) and peer_comparison.csv (24 rows, 17 columns). Finance and Insurance industries are excluded from MoF figures throughout to maintain structural consistency across the full time series; their inclusion in later survey years without equivalent earlier data would have introduced a structural discontinuity.</w:t>
      </w:r>
    </w:p>
    <w:p>
      <w:pPr>
        <w:pStyle w:val="BodyText"/>
        <w:numPr>
          <w:ilvl w:val="0"/>
          <w:numId w:val="3"/>
        </w:numPr>
        <w:tabs>
          <w:tab w:val="clear" w:pos="709"/>
          <w:tab w:val="left" w:pos="0" w:leader="none"/>
        </w:tabs>
        <w:ind w:hanging="283" w:start="709"/>
        <w:rPr/>
      </w:pPr>
      <w:r>
        <w:rPr>
          <w:b/>
        </w:rPr>
        <w:t>Exploratory Data Analysis (Python):</w:t>
      </w:r>
      <w:r>
        <w:rPr/>
        <w:t xml:space="preserve"> Produced ten charts examining earned surplus accumulation, capital expenditure versus dividends, TOPIX trends, four-country GFCF comparison, Japan GDP growth, the savings-investment gap, and correlation analysis. Governance reform milestones were marked as reference points across all time-series charts.</w:t>
      </w:r>
    </w:p>
    <w:p>
      <w:pPr>
        <w:pStyle w:val="BodyText"/>
        <w:numPr>
          <w:ilvl w:val="0"/>
          <w:numId w:val="3"/>
        </w:numPr>
        <w:tabs>
          <w:tab w:val="clear" w:pos="709"/>
          <w:tab w:val="left" w:pos="0" w:leader="none"/>
        </w:tabs>
        <w:ind w:hanging="283" w:start="709"/>
        <w:rPr/>
      </w:pPr>
      <w:r>
        <w:rPr>
          <w:b/>
        </w:rPr>
        <w:t>Regression Modeling and Scenario Forecasting (Python):</w:t>
      </w:r>
      <w:r>
        <w:rPr/>
        <w:t> Tested same-year and lagged correlations between CapEx growth and GDP growth, identifying a statistically significant one-year lag relationship (Pearson r = 0.757, p = 0.0001). Built an OLS regression model (R² = 0.574) as the empirical foundation for three GDP deployment scenarios projecting outcomes through 2034.</w:t>
      </w:r>
    </w:p>
    <w:p>
      <w:pPr>
        <w:pStyle w:val="BodyText"/>
        <w:numPr>
          <w:ilvl w:val="0"/>
          <w:numId w:val="3"/>
        </w:numPr>
        <w:tabs>
          <w:tab w:val="clear" w:pos="709"/>
          <w:tab w:val="left" w:pos="0" w:leader="none"/>
        </w:tabs>
        <w:ind w:hanging="283" w:start="709"/>
        <w:rPr/>
      </w:pPr>
      <w:r>
        <w:rPr>
          <w:b/>
        </w:rPr>
        <w:t>SQL Analysis (SQLite):</w:t>
      </w:r>
      <w:r>
        <w:rPr/>
        <w:t xml:space="preserve"> Imported master datasets into a SQLite database connected to Power BI via ODBC. Wrote seven queries validating key findings across earned surplus growth, capital deployment era comparisons, peer GFCF rankings, TOPIX milestone performance, and the investment-to-GDP directional relationship.</w:t>
      </w:r>
    </w:p>
    <w:p>
      <w:pPr>
        <w:pStyle w:val="BodyText"/>
        <w:numPr>
          <w:ilvl w:val="0"/>
          <w:numId w:val="3"/>
        </w:numPr>
        <w:tabs>
          <w:tab w:val="clear" w:pos="709"/>
          <w:tab w:val="left" w:pos="0" w:leader="none"/>
        </w:tabs>
        <w:ind w:hanging="283" w:start="709"/>
        <w:rPr/>
      </w:pPr>
      <w:r>
        <w:rPr>
          <w:b/>
        </w:rPr>
        <w:t>Dashboard (Power BI):</w:t>
      </w:r>
      <w:r>
        <w:rPr/>
        <w:t xml:space="preserve"> Built a two-page interactive dashboard connected to the SQLite database via ODBC. Page 1 covers corporate capital allocation; Page 2 covers international context and the GDP forecast. Governance reform milestones are marked as reference lines across all time-series charts; an Era slicer filters all visuals simultaneously between pre-reform and reform era data.</w:t>
      </w:r>
    </w:p>
    <w:p>
      <w:pPr>
        <w:pStyle w:val="Heading2"/>
        <w:numPr>
          <w:ilvl w:val="0"/>
          <w:numId w:val="0"/>
        </w:numPr>
        <w:ind w:hanging="0" w:start="0"/>
        <w:rPr/>
      </w:pPr>
      <w:r>
        <w:rPr/>
        <w:br/>
        <w:t>Skills</w:t>
      </w:r>
    </w:p>
    <w:p>
      <w:pPr>
        <w:pStyle w:val="BodyText"/>
        <w:rPr/>
      </w:pPr>
      <w:r>
        <w:rPr>
          <w:b/>
        </w:rPr>
        <w:t>Python (pandas, matplotlib, seaborn, scipy, sklearn):</w:t>
      </w:r>
      <w:r>
        <w:rPr/>
        <w:t> Multi-source data cleaning and integration across 23 structurally inconsistent Excel files, EDA producing 10 charts, OLS regression modeling, GDP scenario forecasting</w:t>
      </w:r>
    </w:p>
    <w:p>
      <w:pPr>
        <w:pStyle w:val="BodyText"/>
        <w:rPr/>
      </w:pPr>
      <w:r>
        <w:rPr>
          <w:b/>
        </w:rPr>
        <w:t>SQL (SQLite):</w:t>
      </w:r>
      <w:r>
        <w:rPr/>
        <w:t xml:space="preserve"> 7 analytical queries, era-based aggregation, governance milestone flagging, GFCF peer ranking, investment-to-GDP directional analysis, ODBC pipeline to Power BI</w:t>
      </w:r>
    </w:p>
    <w:p>
      <w:pPr>
        <w:pStyle w:val="BodyText"/>
        <w:rPr/>
      </w:pPr>
      <w:r>
        <w:rPr>
          <w:b/>
        </w:rPr>
        <w:t>Power BI:</w:t>
      </w:r>
      <w:r>
        <w:rPr/>
        <w:t xml:space="preserve"> Two-page interactive dashboard, governance reform milestone reference lines, Era slicer for pre-reform vs. reform era filtering, live ODBC connection to SQLite database</w:t>
      </w:r>
    </w:p>
    <w:p>
      <w:pPr>
        <w:pStyle w:val="Heading2"/>
        <w:numPr>
          <w:ilvl w:val="0"/>
          <w:numId w:val="0"/>
        </w:numPr>
        <w:ind w:hanging="0" w:start="0"/>
        <w:rPr/>
      </w:pPr>
      <w:r>
        <w:rPr/>
        <w:br/>
        <w:t>Results</w:t>
      </w:r>
    </w:p>
    <w:p>
      <w:pPr>
        <w:pStyle w:val="BodyText"/>
        <w:rPr/>
      </w:pPr>
      <w:r>
        <w:rPr>
          <w:b/>
        </w:rPr>
        <w:t>Surplus accumulation has continued uninterrupted through every</w:t>
      </w:r>
      <w:r>
        <w:rPr/>
        <w:t> </w:t>
      </w:r>
      <w:r>
        <w:rPr>
          <w:b/>
        </w:rPr>
        <w:t>reform milestone.</w:t>
      </w:r>
      <w:r>
        <w:rPr/>
        <w:t xml:space="preserve"> Japan's corporate earned surplus grew 126% between 2011 and 2024, rising from ¥281.7 trillion to ¥637.5 trillion in an unbroken upward trend. The rate of accumulation showed no meaningful deceleration at any governance reform milestone, suggesting aggregate compliance with the Corporate Governance Code has not yet produced a reversal of the fundamental capital hoarding pattern.</w:t>
      </w:r>
    </w:p>
    <w:p>
      <w:pPr>
        <w:pStyle w:val="BodyText"/>
        <w:rPr/>
      </w:pPr>
      <w:r>
        <w:rPr>
          <w:b/>
        </w:rPr>
        <w:t>Corporate profit distribution has structurally shifted toward</w:t>
      </w:r>
      <w:r>
        <w:rPr/>
        <w:t> </w:t>
      </w:r>
      <w:r>
        <w:rPr>
          <w:b/>
        </w:rPr>
        <w:t>shareholder returns.</w:t>
      </w:r>
      <w:r>
        <w:rPr/>
        <w:t xml:space="preserve"> Cash dividends grew nearly sixfold from ¥7.2 trillion in 2003 to ¥40.1 trillion in 2024, while capital expenditure rose 52% from ¥36.5 trillion to ¥55.5 trillion over the same period. Dividends as a percentage of capital expenditure rose from 12% in 2001 to 72% in 2024, with the most pronounced acceleration after 2013. Total dividends paid during the reform era exceeded pre-reform era totals by ¥181.7 trillion.</w:t>
      </w:r>
    </w:p>
    <w:p>
      <w:pPr>
        <w:pStyle w:val="BodyText"/>
        <w:rPr/>
      </w:pPr>
      <w:r>
        <w:rPr>
          <w:b/>
        </w:rPr>
        <w:t>Japan maintains a relatively strong investment rate by</w:t>
      </w:r>
      <w:r>
        <w:rPr/>
        <w:t> </w:t>
      </w:r>
      <w:r>
        <w:rPr>
          <w:b/>
        </w:rPr>
        <w:t>international comparison.</w:t>
      </w:r>
      <w:r>
        <w:rPr/>
        <w:t xml:space="preserve"> Japan ranked second among four peer economies in gross fixed capital formation as a percentage of GDP throughout the full 24 year period, behind South Korea and ahead of Germany and the United States. Japan's investment rate recovered from a post-crisis low of 22.6% in 2010 to 26.1% by 2024, establishing that the governance reform challenge is not an absence of investment but an accumulation of surplus capital that outpaces investment performance.</w:t>
      </w:r>
    </w:p>
    <w:p>
      <w:pPr>
        <w:pStyle w:val="BodyText"/>
        <w:rPr/>
      </w:pPr>
      <w:r>
        <w:rPr>
          <w:b/>
        </w:rPr>
        <w:t>Corporate investment and stock market performance are strongly</w:t>
      </w:r>
      <w:r>
        <w:rPr/>
        <w:t> </w:t>
      </w:r>
      <w:r>
        <w:rPr>
          <w:b/>
        </w:rPr>
        <w:t>correlated.</w:t>
      </w:r>
      <w:r>
        <w:rPr/>
        <w:t xml:space="preserve"> Capital expenditure and TOPIX exhibit a Pearson correlation of 0.913 (R² = 0.833) across the 24 year window. A statistically significant one-year lag was identified between CapEx growth and GDP growth (p = 0.0001). The strongest sustained market rally in the dataset occurred in the two years following the 2023 TSE capital efficiency directive with TOPIX gaining 25.1% in 2023 and 17.7% in 2024.</w:t>
      </w:r>
    </w:p>
    <w:p>
      <w:pPr>
        <w:pStyle w:val="BodyText"/>
        <w:rPr/>
      </w:pPr>
      <w:r>
        <w:rPr>
          <w:b/>
        </w:rPr>
        <w:t>GDP scenario modeling projects a meaningful range of</w:t>
      </w:r>
      <w:r>
        <w:rPr/>
        <w:t> </w:t>
      </w:r>
      <w:r>
        <w:rPr>
          <w:b/>
        </w:rPr>
        <w:t>macroeconomic outcomes.</w:t>
      </w:r>
      <w:r>
        <w:rPr/>
        <w:t xml:space="preserve"> Assuming 5-15% of current surplus is deployed over ten years, the OLS regression model projects $0.37T-$1.19T in additional GDP by 2034 relative to a no-deployment baseline. These projections carry a residual uncertainty of 1.44 percentage points per year widening over the forecast horizon and should be treated as a directional reference range rather than precise planning targets.</w:t>
      </w:r>
    </w:p>
    <w:p>
      <w:pPr>
        <w:pStyle w:val="BodyText"/>
        <w:rPr/>
      </w:pPr>
      <w:r>
        <w:rPr/>
      </w:r>
    </w:p>
    <w:p>
      <w:pPr>
        <w:pStyle w:val="BodyText"/>
        <w:rPr>
          <w:b/>
          <w:bCs/>
          <w:sz w:val="32"/>
          <w:szCs w:val="32"/>
        </w:rPr>
      </w:pPr>
      <w:r>
        <w:rPr>
          <w:b/>
          <w:bCs/>
          <w:sz w:val="32"/>
          <w:szCs w:val="32"/>
        </w:rPr>
        <w:t>Business Recommendation</w:t>
      </w:r>
    </w:p>
    <w:p>
      <w:pPr>
        <w:pStyle w:val="BodyText"/>
        <w:rPr/>
      </w:pPr>
      <w:r>
        <w:rPr/>
        <w:t>The following outputs are intended to provide an evidence-based analytical foundation for stakeholders with domain expertise in Japanese capital markets, institutional investment, or corporate strategy. Conclusions about specific investment, policy, or operational decisions would require additional proprietary data and subject matter expertise beyond the scope of this analysis.</w:t>
      </w:r>
    </w:p>
    <w:p>
      <w:pPr>
        <w:pStyle w:val="BodyText"/>
        <w:rPr/>
      </w:pPr>
      <w:r>
        <w:rPr>
          <w:b/>
        </w:rPr>
        <w:t>For equity analysts and portfolio managers monitoring Japan</w:t>
      </w:r>
      <w:r>
        <w:rPr/>
        <w:t> </w:t>
      </w:r>
      <w:r>
        <w:rPr>
          <w:b/>
        </w:rPr>
        <w:t>exposure:</w:t>
      </w:r>
      <w:r>
        <w:rPr/>
        <w:t xml:space="preserve"> The strong historical correlation between corporate capital expenditure and TOPIX performance (r = 0.913) suggests that corporate investment behavior may function as a meaningful leading indicator alongside traditional market metrics. The 2023 TSE directive produced the most sustained two-year TOPIX rally in the dataset and monitoring whether this momentum persists through the July 2027 governance code compliance deadline may be informative for medium-term Japan equity positioning.</w:t>
      </w:r>
    </w:p>
    <w:p>
      <w:pPr>
        <w:pStyle w:val="BodyText"/>
        <w:rPr/>
      </w:pPr>
      <w:r>
        <w:rPr>
          <w:b/>
        </w:rPr>
        <w:t>For corporate strategy and M&amp;A research teams:</w:t>
      </w:r>
      <w:r>
        <w:rPr/>
        <w:t xml:space="preserve"> The structural shift in profit distribution, dividends as a percentage of CapEx rising from 12% to 72% over the reform period, represents a material change in how Japanese listed companies deploy profits. Whether this pattern reflects genuine strategic reallocation or primarily cash distribution in mature, low-growth industries cannot be determined from aggregate data. Company-level and sector-level financial analysis would be required to make that distinction, which is material to evaluating individual companies or sectors.</w:t>
      </w:r>
    </w:p>
    <w:p>
      <w:pPr>
        <w:pStyle w:val="BodyText"/>
        <w:rPr/>
      </w:pPr>
      <w:r>
        <w:rPr>
          <w:b/>
        </w:rPr>
        <w:t>For financial research organizations:</w:t>
      </w:r>
      <w:r>
        <w:rPr/>
        <w:t xml:space="preserve"> The GDP scenario range ($0.37T–$1.19T in additional output by 2034) provides a quantitative directional framework for assessing the macroeconomic significance of surplus deployment at scale. Actual outcomes would depend on the sector concentration of deployment, the composition of investment types, and conditions external to any investment-based model.</w:t>
      </w:r>
    </w:p>
    <w:p>
      <w:pPr>
        <w:pStyle w:val="Heading2"/>
        <w:numPr>
          <w:ilvl w:val="0"/>
          <w:numId w:val="0"/>
        </w:numPr>
        <w:ind w:hanging="0" w:start="0"/>
        <w:rPr/>
      </w:pPr>
      <w:r>
        <w:rPr/>
        <w:br/>
        <w:t>Next Steps</w:t>
      </w:r>
    </w:p>
    <w:p>
      <w:pPr>
        <w:pStyle w:val="BodyText"/>
        <w:rPr/>
      </w:pPr>
      <w:r>
        <w:rPr>
          <w:b/>
        </w:rPr>
        <w:t>Sector-level decomposition:</w:t>
      </w:r>
      <w:r>
        <w:rPr/>
        <w:t xml:space="preserve"> The aggregate shift from a 30.6% to 56.5% dividend-to-CapEx ratio between pre-reform and reform eras is an economy-wide finding. Whether this pattern is consistent across industries or concentrated in specific sectors cannot be determined from the data used in this analysis. Company-level or sector-level financial data would enable the more granular assessment required to evaluate reform impact at a meaningful operational level.</w:t>
      </w:r>
    </w:p>
    <w:p>
      <w:pPr>
        <w:pStyle w:val="BodyText"/>
        <w:rPr/>
      </w:pPr>
      <w:r>
        <w:rPr>
          <w:b/>
        </w:rPr>
        <w:t>Share buyback integration:</w:t>
      </w:r>
      <w:r>
        <w:rPr/>
        <w:t xml:space="preserve"> Share buyback data was not incorporated due to the absence of a freely accessible historical time series at the required aggregation level. To the extent that buybacks have grown as an alternative return mechanism during the reform era (which professional reporting suggests to be the case) the shift toward shareholder returns identified here may be understated. A complete capital return analysis would incorporate buyback data alongside dividends.</w:t>
      </w:r>
    </w:p>
    <w:p>
      <w:pPr>
        <w:pStyle w:val="BodyText"/>
        <w:rPr/>
      </w:pPr>
      <w:r>
        <w:rPr>
          <w:b/>
        </w:rPr>
        <w:t>Reform compliance monitoring:</w:t>
      </w:r>
      <w:r>
        <w:rPr/>
        <w:t xml:space="preserve"> The July 2027 compliance deadline for the revised Corporate Governance Code represents the most meaningful near-term test of whether the reform program can reverse the surplus accumulation trend. An updated analysis using 2025–2027 data would provide the first evidence-based assessment of whether the TSE's 2023 directive has produced durable behavioral change or primarily a temporary market response.</w:t>
      </w:r>
    </w:p>
    <w:p>
      <w:pPr>
        <w:pStyle w:val="BodyText"/>
        <w:rPr/>
      </w:pPr>
      <w:r>
        <w:rPr>
          <w:b/>
        </w:rPr>
        <w:t>Savings-investment gap investigation:</w:t>
      </w:r>
      <w:r>
        <w:rPr/>
        <w:t xml:space="preserve"> An incidental finding outside the primary analytical scope: Japan's gross domestic savings rate fell below its gross fixed capital formation rate in several years after 2013, producing a negative savings-investment gap counter intuitive against the central finding of uninterrupted corporate surplus growth. This likely reflects government fiscal deficits and declining household savings, but the aggregate data used here does not permit sector-level resolution. It is noted as an area warranting further research by analysts with access to dis-aggregated national accounts data.</w:t>
      </w:r>
    </w:p>
    <w:p>
      <w:pPr>
        <w:pStyle w:val="BodyText"/>
        <w:rPr/>
      </w:pPr>
      <w:r>
        <w:rPr>
          <w:b/>
        </w:rPr>
        <w:t>Model refinement:</w:t>
      </w:r>
      <w:r>
        <w:rPr/>
        <w:t xml:space="preserve"> The GDP scenario model is built on aggregate national investment and GDP data rather than corporate-sector- specific data, meaning the historical investment multiplier reflects non-corporate activity alongside corporate investment. A corporate-sector-specific model using dis-aggregated investment data would produce more precise scenario estimates.</w:t>
      </w:r>
    </w:p>
    <w:p>
      <w:pPr>
        <w:pStyle w:val="BodyTex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TotalTime>
  <Application>LibreOffice/26.2.4.2$Windows_X86_64 LibreOffice_project/0229ac93fcf0d7cbc6376066c6f35021cef002dc</Application>
  <AppVersion>15.0000</AppVersion>
  <Pages>5</Pages>
  <Words>1770</Words>
  <Characters>10981</Characters>
  <CharactersWithSpaces>12702</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2026-04-24T17:29:53Z</dcterms:created>
  <dc:creator/>
  <dc:description/>
  <dc:language>en-US</dc:language>
  <cp:lastModifiedBy/>
  <dcterms:modified xsi:type="dcterms:W3CDTF">2026-06-20T14:53:58Z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