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rFonts w:ascii="Liberation Sans" w:hAnsi="Liberation Sans"/>
          <w:b/>
          <w:bCs/>
          <w:sz w:val="32"/>
          <w:szCs w:val="32"/>
        </w:rPr>
      </w:pPr>
      <w:r>
        <w:rPr>
          <w:rFonts w:ascii="Liberation Sans" w:hAnsi="Liberation Sans"/>
          <w:b/>
          <w:bCs/>
          <w:sz w:val="32"/>
          <w:szCs w:val="32"/>
        </w:rPr>
        <w:t>Executive Summary</w:t>
      </w:r>
    </w:p>
    <w:p>
      <w:pPr>
        <w:pStyle w:val="BodyText"/>
        <w:ind w:hanging="0" w:start="0" w:end="0"/>
        <w:rPr>
          <w:sz w:val="28"/>
          <w:szCs w:val="28"/>
        </w:rPr>
      </w:pPr>
      <w:bookmarkStart w:id="0" w:name="user-content-executive-summary"/>
      <w:bookmarkEnd w:id="0"/>
      <w:r>
        <w:rPr>
          <w:b w:val="false"/>
          <w:bCs w:val="false"/>
          <w:sz w:val="28"/>
          <w:szCs w:val="28"/>
        </w:rPr>
        <w:t>Northgate Marketplace achieved an overall session-to-purchase conversion rate of 2.22% in 2024, while cart abandonment resulted in $217,956 in lost revenue, 1.82 times the $119,555 in revenue successfully captured, with 65% of all sessions originating from mobile devices. After identifying that the largest source of revenue loss stems from cart abandonment in the Electronics category, recommended interventions include targeted cart recovery tools, abandoned cart email reminders, and a mobile checkout experience redesign, projected to generate between $2,982 and $9,048 in additional annual revenue.</w:t>
        <w:br/>
      </w:r>
    </w:p>
    <w:p>
      <w:pPr>
        <w:pStyle w:val="Heading2"/>
        <w:bidi w:val="0"/>
        <w:jc w:val="start"/>
        <w:rPr>
          <w:rFonts w:ascii="Liberation Sans" w:hAnsi="Liberation Sans"/>
          <w:sz w:val="32"/>
          <w:szCs w:val="32"/>
        </w:rPr>
      </w:pPr>
      <w:r>
        <w:rPr>
          <w:rFonts w:ascii="Liberation Sans" w:hAnsi="Liberation Sans"/>
          <w:sz w:val="32"/>
          <w:szCs w:val="32"/>
        </w:rPr>
        <w:t>Business Problem</w:t>
      </w:r>
    </w:p>
    <w:p>
      <w:pPr>
        <w:pStyle w:val="BodyText"/>
        <w:ind w:hanging="0" w:start="0" w:end="0"/>
        <w:rPr>
          <w:sz w:val="28"/>
          <w:szCs w:val="28"/>
        </w:rPr>
      </w:pPr>
      <w:bookmarkStart w:id="1" w:name="user-content-business-problem"/>
      <w:bookmarkEnd w:id="1"/>
      <w:r>
        <w:rPr>
          <w:sz w:val="28"/>
          <w:szCs w:val="28"/>
        </w:rPr>
        <w:t>Completed orders and a seamless customer experience are paramount to the success of Northgate Marketplace. Despite maintaining an overall conversion rate of 2.22%, lost revenue exceeds captured revenue by a factor of 1.82x, representing a significant and addressable gap in funnel performance. Sales stakeholders requested an investigation into this discrepancy, structured around four core questions:</w:t>
      </w:r>
    </w:p>
    <w:p>
      <w:pPr>
        <w:pStyle w:val="BodyText"/>
        <w:numPr>
          <w:ilvl w:val="0"/>
          <w:numId w:val="1"/>
        </w:numPr>
        <w:tabs>
          <w:tab w:val="clear" w:pos="709"/>
          <w:tab w:val="left" w:pos="0" w:leader="none"/>
        </w:tabs>
        <w:ind w:hanging="283" w:start="709"/>
        <w:rPr>
          <w:sz w:val="28"/>
          <w:szCs w:val="28"/>
        </w:rPr>
      </w:pPr>
      <w:r>
        <w:rPr>
          <w:sz w:val="28"/>
          <w:szCs w:val="28"/>
        </w:rPr>
        <w:t>What is the overall funnel conversion rate, and where does the most significant revenue loss occur within the purchase funnel?</w:t>
      </w:r>
    </w:p>
    <w:p>
      <w:pPr>
        <w:pStyle w:val="BodyText"/>
        <w:numPr>
          <w:ilvl w:val="0"/>
          <w:numId w:val="1"/>
        </w:numPr>
        <w:tabs>
          <w:tab w:val="clear" w:pos="709"/>
          <w:tab w:val="left" w:pos="0" w:leader="none"/>
        </w:tabs>
        <w:ind w:hanging="283" w:start="709"/>
        <w:rPr>
          <w:sz w:val="28"/>
          <w:szCs w:val="28"/>
        </w:rPr>
      </w:pPr>
      <w:r>
        <w:rPr>
          <w:sz w:val="28"/>
          <w:szCs w:val="28"/>
        </w:rPr>
        <w:t>Which product categories experience the highest cart abandonment, by both rate and dollar value?</w:t>
      </w:r>
    </w:p>
    <w:p>
      <w:pPr>
        <w:pStyle w:val="BodyText"/>
        <w:numPr>
          <w:ilvl w:val="0"/>
          <w:numId w:val="1"/>
        </w:numPr>
        <w:tabs>
          <w:tab w:val="clear" w:pos="709"/>
          <w:tab w:val="left" w:pos="0" w:leader="none"/>
        </w:tabs>
        <w:ind w:hanging="283" w:start="709"/>
        <w:rPr>
          <w:sz w:val="28"/>
          <w:szCs w:val="28"/>
        </w:rPr>
      </w:pPr>
      <w:r>
        <w:rPr>
          <w:sz w:val="28"/>
          <w:szCs w:val="28"/>
        </w:rPr>
        <w:t>Are there monthly trends in conversion performance across 2024 worth accounting for?</w:t>
      </w:r>
    </w:p>
    <w:p>
      <w:pPr>
        <w:pStyle w:val="BodyText"/>
        <w:numPr>
          <w:ilvl w:val="0"/>
          <w:numId w:val="1"/>
        </w:numPr>
        <w:tabs>
          <w:tab w:val="clear" w:pos="709"/>
          <w:tab w:val="left" w:pos="0" w:leader="none"/>
        </w:tabs>
        <w:ind w:hanging="283" w:start="709"/>
        <w:rPr>
          <w:sz w:val="28"/>
          <w:szCs w:val="28"/>
        </w:rPr>
      </w:pPr>
      <w:r>
        <w:rPr>
          <w:sz w:val="28"/>
          <w:szCs w:val="28"/>
        </w:rPr>
        <w:t>Does device type influence cart abandonment behavior, and if so, which segment warrants priority intervention?</w:t>
        <w:br/>
      </w:r>
    </w:p>
    <w:p>
      <w:pPr>
        <w:pStyle w:val="Heading2"/>
        <w:bidi w:val="0"/>
        <w:jc w:val="start"/>
        <w:rPr>
          <w:sz w:val="32"/>
          <w:szCs w:val="32"/>
        </w:rPr>
      </w:pPr>
      <w:r>
        <w:rPr>
          <w:rFonts w:ascii="Liberation Sans" w:hAnsi="Liberation Sans"/>
          <w:b/>
          <w:bCs/>
          <w:sz w:val="32"/>
          <w:szCs w:val="32"/>
        </w:rPr>
        <w:t>Methodology</w:t>
      </w:r>
    </w:p>
    <w:p>
      <w:pPr>
        <w:pStyle w:val="BodyText"/>
        <w:numPr>
          <w:ilvl w:val="0"/>
          <w:numId w:val="2"/>
        </w:numPr>
        <w:tabs>
          <w:tab w:val="clear" w:pos="709"/>
          <w:tab w:val="left" w:pos="0" w:leader="none"/>
        </w:tabs>
        <w:ind w:hanging="283" w:start="709" w:end="0"/>
        <w:rPr>
          <w:b/>
          <w:bCs/>
        </w:rPr>
      </w:pPr>
      <w:bookmarkStart w:id="2" w:name="user-content-methodology"/>
      <w:bookmarkEnd w:id="2"/>
      <w:r>
        <w:rPr>
          <w:rStyle w:val="Strong"/>
          <w:sz w:val="28"/>
          <w:szCs w:val="28"/>
        </w:rPr>
        <w:t>Data Generation (Python):</w:t>
      </w:r>
      <w:r>
        <w:rPr>
          <w:b/>
          <w:bCs/>
          <w:sz w:val="28"/>
          <w:szCs w:val="28"/>
        </w:rPr>
        <w:t xml:space="preserve"> </w:t>
      </w:r>
      <w:r>
        <w:rPr>
          <w:b w:val="false"/>
          <w:bCs w:val="false"/>
          <w:sz w:val="28"/>
          <w:szCs w:val="28"/>
        </w:rPr>
        <w:t>Generated a synthetic transactional dataset simulating 76,709 customer sessions across 2024, including products, sessions, events, and orders across a four-table relational schema.</w:t>
      </w:r>
    </w:p>
    <w:p>
      <w:pPr>
        <w:pStyle w:val="BodyText"/>
        <w:numPr>
          <w:ilvl w:val="0"/>
          <w:numId w:val="2"/>
        </w:numPr>
        <w:tabs>
          <w:tab w:val="clear" w:pos="709"/>
          <w:tab w:val="left" w:pos="0" w:leader="none"/>
        </w:tabs>
        <w:ind w:hanging="283" w:start="709"/>
        <w:rPr>
          <w:b/>
          <w:bCs/>
        </w:rPr>
      </w:pPr>
      <w:r>
        <w:rPr>
          <w:rStyle w:val="Strong"/>
          <w:sz w:val="28"/>
          <w:szCs w:val="28"/>
        </w:rPr>
        <w:t>SQL Analysis (SQLite):</w:t>
      </w:r>
      <w:r>
        <w:rPr>
          <w:b/>
          <w:bCs/>
          <w:sz w:val="28"/>
          <w:szCs w:val="28"/>
        </w:rPr>
        <w:t xml:space="preserve"> </w:t>
      </w:r>
      <w:r>
        <w:rPr>
          <w:b w:val="false"/>
          <w:bCs w:val="false"/>
          <w:sz w:val="28"/>
          <w:szCs w:val="28"/>
        </w:rPr>
        <w:t>Wrote SQL queries to analyze funnel conversion rates, cart abandonment by category and device type, monthly conversion trends, and revenue impact of funnel drop-off.</w:t>
      </w:r>
    </w:p>
    <w:p>
      <w:pPr>
        <w:pStyle w:val="BodyText"/>
        <w:numPr>
          <w:ilvl w:val="0"/>
          <w:numId w:val="2"/>
        </w:numPr>
        <w:tabs>
          <w:tab w:val="clear" w:pos="709"/>
          <w:tab w:val="left" w:pos="0" w:leader="none"/>
        </w:tabs>
        <w:ind w:hanging="283" w:start="709"/>
        <w:rPr>
          <w:b/>
          <w:bCs/>
        </w:rPr>
      </w:pPr>
      <w:r>
        <w:rPr>
          <w:rStyle w:val="Strong"/>
          <w:sz w:val="28"/>
          <w:szCs w:val="28"/>
        </w:rPr>
        <w:t>Dashboard (Power BI):</w:t>
      </w:r>
      <w:r>
        <w:rPr>
          <w:b/>
          <w:bCs/>
          <w:sz w:val="28"/>
          <w:szCs w:val="28"/>
        </w:rPr>
        <w:t xml:space="preserve"> </w:t>
      </w:r>
      <w:r>
        <w:rPr>
          <w:b w:val="false"/>
          <w:bCs w:val="false"/>
          <w:sz w:val="28"/>
          <w:szCs w:val="28"/>
        </w:rPr>
        <w:t>Built an interactive dashboard to visualize funnel performance, lost revenue by category, and monthly conversion trends with category filtering, enabling sales stakeholders to independently access and filter funnel metrics by product category.</w:t>
      </w:r>
    </w:p>
    <w:p>
      <w:pPr>
        <w:pStyle w:val="BodyText"/>
        <w:numPr>
          <w:ilvl w:val="0"/>
          <w:numId w:val="2"/>
        </w:numPr>
        <w:tabs>
          <w:tab w:val="clear" w:pos="709"/>
          <w:tab w:val="left" w:pos="0" w:leader="none"/>
        </w:tabs>
        <w:ind w:hanging="283" w:start="709"/>
        <w:rPr/>
      </w:pPr>
      <w:r>
        <w:rPr>
          <w:rStyle w:val="Strong"/>
          <w:sz w:val="28"/>
          <w:szCs w:val="28"/>
        </w:rPr>
        <w:t>Revenue Recovery Simulation (Python):</w:t>
      </w:r>
      <w:r>
        <w:rPr>
          <w:b/>
          <w:bCs/>
          <w:sz w:val="28"/>
          <w:szCs w:val="28"/>
        </w:rPr>
        <w:t xml:space="preserve"> </w:t>
      </w:r>
      <w:r>
        <w:rPr>
          <w:b w:val="false"/>
          <w:bCs w:val="false"/>
          <w:sz w:val="28"/>
          <w:szCs w:val="28"/>
        </w:rPr>
        <w:t>Created a simulation modeling the financial impact of reducing Electronics cart abandonment by 5%, 10%, and 15%.</w:t>
        <w:br/>
      </w:r>
    </w:p>
    <w:p>
      <w:pPr>
        <w:pStyle w:val="Heading2"/>
        <w:bidi w:val="0"/>
        <w:jc w:val="start"/>
        <w:rPr>
          <w:rFonts w:ascii="Liberation Sans" w:hAnsi="Liberation Sans"/>
          <w:sz w:val="32"/>
          <w:szCs w:val="32"/>
        </w:rPr>
      </w:pPr>
      <w:r>
        <w:rPr>
          <w:rFonts w:ascii="Liberation Sans" w:hAnsi="Liberation Sans"/>
          <w:sz w:val="32"/>
          <w:szCs w:val="32"/>
        </w:rPr>
        <w:t>Skills</w:t>
      </w:r>
    </w:p>
    <w:p>
      <w:pPr>
        <w:pStyle w:val="BodyText"/>
        <w:ind w:hanging="0" w:start="0" w:end="0"/>
        <w:rPr/>
      </w:pPr>
      <w:bookmarkStart w:id="3" w:name="user-content-skills"/>
      <w:bookmarkEnd w:id="3"/>
      <w:r>
        <w:rPr>
          <w:rStyle w:val="Strong"/>
          <w:sz w:val="28"/>
          <w:szCs w:val="28"/>
        </w:rPr>
        <w:t>SQL:</w:t>
      </w:r>
      <w:r>
        <w:rPr>
          <w:sz w:val="28"/>
          <w:szCs w:val="28"/>
        </w:rPr>
        <w:t xml:space="preserve"> Relational database design, CTEs, window functions, anti-join pattern, funnel aggregation queries.</w:t>
      </w:r>
    </w:p>
    <w:p>
      <w:pPr>
        <w:pStyle w:val="BodyText"/>
        <w:rPr/>
      </w:pPr>
      <w:r>
        <w:rPr>
          <w:rStyle w:val="Strong"/>
          <w:sz w:val="28"/>
          <w:szCs w:val="28"/>
        </w:rPr>
        <w:t>Power BI:</w:t>
      </w:r>
      <w:r>
        <w:rPr>
          <w:sz w:val="28"/>
          <w:szCs w:val="28"/>
        </w:rPr>
        <w:t xml:space="preserve"> Data modeling with relationships, DAX measures, funnel chart, interactive slicer, dashboard design.</w:t>
      </w:r>
    </w:p>
    <w:p>
      <w:pPr>
        <w:pStyle w:val="BodyText"/>
        <w:rPr/>
      </w:pPr>
      <w:r>
        <w:rPr>
          <w:rStyle w:val="Strong"/>
          <w:sz w:val="28"/>
          <w:szCs w:val="28"/>
        </w:rPr>
        <w:t>Python:</w:t>
      </w:r>
      <w:r>
        <w:rPr>
          <w:sz w:val="28"/>
          <w:szCs w:val="28"/>
        </w:rPr>
        <w:t xml:space="preserve"> Synthetic data generation with realistic e-commerce benchmarks, revenue recovery simulation modeling.</w:t>
        <w:br/>
      </w:r>
    </w:p>
    <w:p>
      <w:pPr>
        <w:pStyle w:val="Heading2"/>
        <w:bidi w:val="0"/>
        <w:jc w:val="start"/>
        <w:rPr>
          <w:rFonts w:ascii="Liberation Sans" w:hAnsi="Liberation Sans"/>
          <w:sz w:val="32"/>
          <w:szCs w:val="32"/>
        </w:rPr>
      </w:pPr>
      <w:r>
        <w:rPr>
          <w:rFonts w:ascii="Liberation Sans" w:hAnsi="Liberation Sans"/>
          <w:sz w:val="32"/>
          <w:szCs w:val="32"/>
        </w:rPr>
        <w:t>Results</w:t>
      </w:r>
    </w:p>
    <w:p>
      <w:pPr>
        <w:pStyle w:val="BodyText"/>
        <w:ind w:hanging="0" w:start="0" w:end="0"/>
        <w:rPr/>
      </w:pPr>
      <w:bookmarkStart w:id="4" w:name="user-content-results"/>
      <w:bookmarkEnd w:id="4"/>
      <w:r>
        <w:rPr>
          <w:rStyle w:val="Strong"/>
          <w:sz w:val="28"/>
          <w:szCs w:val="28"/>
        </w:rPr>
        <w:t>The primary funnel leak occurs at the product view to add-to-cart stage:</w:t>
      </w:r>
      <w:r>
        <w:rPr>
          <w:sz w:val="28"/>
          <w:szCs w:val="28"/>
        </w:rPr>
        <w:t xml:space="preserve"> An 88.63% drop-off rate at this stage represents the single largest source of friction in the purchase funnel, ahead of any later-stage abandonment point.</w:t>
      </w:r>
    </w:p>
    <w:p>
      <w:pPr>
        <w:pStyle w:val="BodyText"/>
        <w:rPr/>
      </w:pPr>
      <w:r>
        <w:rPr>
          <w:rStyle w:val="Strong"/>
          <w:sz w:val="28"/>
          <w:szCs w:val="28"/>
        </w:rPr>
        <w:t>Electronics drives the largest share of lost revenue:</w:t>
      </w:r>
      <w:r>
        <w:rPr>
          <w:sz w:val="28"/>
          <w:szCs w:val="28"/>
        </w:rPr>
        <w:t xml:space="preserve"> The category accounts for 27.88% of total lost revenue at $60,764 annually, driven by high per-cart values averaging $102.82, making it the highest-value abandonment segment in the dataset. Home and Kitchen and Sports and Outdoors are secondary categories of concern.</w:t>
      </w:r>
    </w:p>
    <w:p>
      <w:pPr>
        <w:pStyle w:val="BodyText"/>
        <w:rPr/>
      </w:pPr>
      <w:r>
        <w:rPr>
          <w:rStyle w:val="Strong"/>
          <w:sz w:val="28"/>
          <w:szCs w:val="28"/>
        </w:rPr>
        <w:t>Mobile users abandon carts at consistently higher rates than desktop users:</w:t>
      </w:r>
      <w:r>
        <w:rPr>
          <w:sz w:val="28"/>
          <w:szCs w:val="28"/>
        </w:rPr>
        <w:t xml:space="preserve"> This pattern holds across all product categories, making mobile checkout optimization a priority intervention alongside category-specific fixes.</w:t>
      </w:r>
    </w:p>
    <w:p>
      <w:pPr>
        <w:pStyle w:val="BodyText"/>
        <w:bidi w:val="0"/>
        <w:jc w:val="start"/>
        <w:rPr>
          <w:sz w:val="28"/>
          <w:szCs w:val="28"/>
        </w:rPr>
      </w:pPr>
      <w:r>
        <w:rPr>
          <w:sz w:val="28"/>
          <w:szCs w:val="28"/>
        </w:rPr>
      </w:r>
    </w:p>
    <w:p>
      <w:pPr>
        <w:pStyle w:val="BodyText"/>
        <w:bidi w:val="0"/>
        <w:jc w:val="start"/>
        <w:rPr>
          <w:sz w:val="28"/>
          <w:szCs w:val="28"/>
        </w:rPr>
      </w:pPr>
      <w:r>
        <w:rPr>
          <w:sz w:val="28"/>
          <w:szCs w:val="28"/>
        </w:rPr>
      </w:r>
    </w:p>
    <w:p>
      <w:pPr>
        <w:pStyle w:val="Heading2"/>
        <w:bidi w:val="0"/>
        <w:jc w:val="start"/>
        <w:rPr>
          <w:rFonts w:ascii="Liberation Sans" w:hAnsi="Liberation Sans"/>
          <w:sz w:val="32"/>
          <w:szCs w:val="32"/>
        </w:rPr>
      </w:pPr>
      <w:r>
        <w:rPr>
          <w:rFonts w:ascii="Liberation Sans" w:hAnsi="Liberation Sans"/>
          <w:sz w:val="32"/>
          <w:szCs w:val="32"/>
        </w:rPr>
        <w:t>Business Recommendation</w:t>
      </w:r>
    </w:p>
    <w:p>
      <w:pPr>
        <w:pStyle w:val="BodyText"/>
        <w:ind w:hanging="0" w:start="0" w:end="0"/>
        <w:rPr>
          <w:sz w:val="28"/>
          <w:szCs w:val="28"/>
        </w:rPr>
      </w:pPr>
      <w:bookmarkStart w:id="5" w:name="user-content-business-recommendation"/>
      <w:bookmarkEnd w:id="5"/>
      <w:r>
        <w:rPr>
          <w:sz w:val="28"/>
          <w:szCs w:val="28"/>
        </w:rPr>
        <w:t>The revenue recovery model projects that reducing Electronics cart abandonment by 5% to 15% would generate between $2,982 and $9,048 in additional annual revenue. The following recommendations are intended for the Product, Marketing, and Revenue Operations teams:</w:t>
      </w:r>
    </w:p>
    <w:p>
      <w:pPr>
        <w:pStyle w:val="BodyText"/>
        <w:rPr/>
      </w:pPr>
      <w:r>
        <w:rPr>
          <w:rStyle w:val="Strong"/>
          <w:sz w:val="28"/>
          <w:szCs w:val="28"/>
        </w:rPr>
        <w:t>Deploy cart recovery tools for active but abandoned sessions:</w:t>
      </w:r>
      <w:r>
        <w:rPr>
          <w:sz w:val="28"/>
          <w:szCs w:val="28"/>
        </w:rPr>
        <w:t xml:space="preserve"> Real-time recovery prompts for customers with items still in cart but no completed purchase would address the highest-frequency abandonment scenario directly.</w:t>
      </w:r>
    </w:p>
    <w:p>
      <w:pPr>
        <w:pStyle w:val="BodyText"/>
        <w:rPr/>
      </w:pPr>
      <w:r>
        <w:rPr>
          <w:rStyle w:val="Strong"/>
          <w:sz w:val="28"/>
          <w:szCs w:val="28"/>
        </w:rPr>
        <w:t>Launch email and text reminders for abandoned carts:</w:t>
      </w:r>
      <w:r>
        <w:rPr>
          <w:sz w:val="28"/>
          <w:szCs w:val="28"/>
        </w:rPr>
        <w:t xml:space="preserve"> Automated reminders targeting customers who abandon mid-funnel would re-engage the segment most likely to convert with minimal additional friction.</w:t>
      </w:r>
    </w:p>
    <w:p>
      <w:pPr>
        <w:pStyle w:val="BodyText"/>
        <w:rPr/>
      </w:pPr>
      <w:r>
        <w:rPr>
          <w:rStyle w:val="Strong"/>
          <w:sz w:val="28"/>
          <w:szCs w:val="28"/>
        </w:rPr>
        <w:t>Redesign the mobile checkout experience:</w:t>
      </w:r>
      <w:r>
        <w:rPr>
          <w:sz w:val="28"/>
          <w:szCs w:val="28"/>
        </w:rPr>
        <w:t xml:space="preserve"> Mobile users show consistently higher abandonment than desktop across all categories; reducing checkout friction on mobile is the highest-leverage fix given that Electronics purchases, the highest-value abandonment segment, skew toward mobile sessions.</w:t>
      </w:r>
    </w:p>
    <w:p>
      <w:pPr>
        <w:pStyle w:val="BodyText"/>
        <w:rPr>
          <w:sz w:val="28"/>
          <w:szCs w:val="28"/>
        </w:rPr>
      </w:pPr>
      <w:r>
        <w:rPr>
          <w:sz w:val="28"/>
          <w:szCs w:val="28"/>
        </w:rPr>
        <w:t>Prioritizing Electronics and mobile users targets the highest-value abandonment segment identified in the analysis.</w:t>
        <w:br/>
      </w:r>
    </w:p>
    <w:p>
      <w:pPr>
        <w:pStyle w:val="Heading2"/>
        <w:bidi w:val="0"/>
        <w:jc w:val="start"/>
        <w:rPr>
          <w:rFonts w:ascii="Liberation Sans" w:hAnsi="Liberation Sans"/>
          <w:b/>
          <w:bCs/>
          <w:sz w:val="32"/>
          <w:szCs w:val="32"/>
        </w:rPr>
      </w:pPr>
      <w:r>
        <w:rPr>
          <w:rFonts w:ascii="Liberation Sans" w:hAnsi="Liberation Sans"/>
          <w:b/>
          <w:bCs/>
          <w:sz w:val="32"/>
          <w:szCs w:val="32"/>
        </w:rPr>
        <w:t>Next Steps</w:t>
      </w:r>
    </w:p>
    <w:p>
      <w:pPr>
        <w:pStyle w:val="BodyText"/>
        <w:numPr>
          <w:ilvl w:val="0"/>
          <w:numId w:val="3"/>
        </w:numPr>
        <w:rPr>
          <w:b/>
          <w:bCs/>
        </w:rPr>
      </w:pPr>
      <w:bookmarkStart w:id="6" w:name="user-content-next-steps"/>
      <w:bookmarkEnd w:id="6"/>
      <w:r>
        <w:rPr>
          <w:rStyle w:val="Strong"/>
          <w:sz w:val="28"/>
          <w:szCs w:val="28"/>
        </w:rPr>
        <w:t>A/B test the mobile checkout redesign:</w:t>
      </w:r>
      <w:r>
        <w:rPr>
          <w:b/>
          <w:bCs/>
          <w:sz w:val="28"/>
          <w:szCs w:val="28"/>
        </w:rPr>
        <w:t xml:space="preserve"> </w:t>
      </w:r>
      <w:r>
        <w:rPr>
          <w:b w:val="false"/>
          <w:bCs w:val="false"/>
          <w:sz w:val="28"/>
          <w:szCs w:val="28"/>
        </w:rPr>
        <w:t>Establish a controlled test comparing the redesigned mobile checkout experience against the current flow to validate the abandonment reduction before full rollout.</w:t>
      </w:r>
    </w:p>
    <w:p>
      <w:pPr>
        <w:pStyle w:val="BodyText"/>
        <w:numPr>
          <w:ilvl w:val="0"/>
          <w:numId w:val="3"/>
        </w:numPr>
        <w:rPr>
          <w:b/>
          <w:bCs/>
        </w:rPr>
      </w:pPr>
      <w:r>
        <w:rPr>
          <w:rStyle w:val="Strong"/>
          <w:sz w:val="28"/>
          <w:szCs w:val="28"/>
        </w:rPr>
        <w:t>Examine secondary categories for similar patterns:</w:t>
      </w:r>
      <w:r>
        <w:rPr>
          <w:b/>
          <w:bCs/>
          <w:sz w:val="28"/>
          <w:szCs w:val="28"/>
        </w:rPr>
        <w:t xml:space="preserve"> </w:t>
      </w:r>
      <w:r>
        <w:rPr>
          <w:b w:val="false"/>
          <w:bCs w:val="false"/>
          <w:sz w:val="28"/>
          <w:szCs w:val="28"/>
        </w:rPr>
        <w:t>Home and Kitchen and Sports and Outdoors showed elevated abandonment but were not the primary focus of this analysis; a category-specific investigation would determine whether the same interventions apply.</w:t>
      </w:r>
    </w:p>
    <w:p>
      <w:pPr>
        <w:pStyle w:val="BodyText"/>
        <w:numPr>
          <w:ilvl w:val="0"/>
          <w:numId w:val="3"/>
        </w:numPr>
        <w:rPr>
          <w:b/>
          <w:bCs/>
        </w:rPr>
      </w:pPr>
      <w:r>
        <w:rPr>
          <w:rStyle w:val="Strong"/>
          <w:sz w:val="28"/>
          <w:szCs w:val="28"/>
        </w:rPr>
        <w:t>Measure campaign effectiveness:</w:t>
      </w:r>
      <w:r>
        <w:rPr>
          <w:b/>
          <w:bCs/>
          <w:sz w:val="28"/>
          <w:szCs w:val="28"/>
        </w:rPr>
        <w:t xml:space="preserve"> </w:t>
      </w:r>
      <w:r>
        <w:rPr>
          <w:b w:val="false"/>
          <w:bCs w:val="false"/>
          <w:sz w:val="28"/>
          <w:szCs w:val="28"/>
        </w:rPr>
        <w:t>Track email and text reminder open and click-through rates to determine which channel and messaging combination most effectively recovers abandoned carts.</w:t>
      </w:r>
    </w:p>
    <w:p>
      <w:pPr>
        <w:pStyle w:val="BodyText"/>
        <w:bidi w:val="0"/>
        <w:spacing w:before="0" w:after="140"/>
        <w:jc w:val="start"/>
        <w:rPr>
          <w:b/>
          <w:bCs/>
        </w:rPr>
      </w:pPr>
      <w:r>
        <w:rPr>
          <w:b/>
          <w:bCs/>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245</TotalTime>
  <Application>LibreOffice/26.2.4.2$Windows_X86_64 LibreOffice_project/0229ac93fcf0d7cbc6376066c6f35021cef002dc</Application>
  <AppVersion>15.0000</AppVersion>
  <Pages>3</Pages>
  <Words>711</Words>
  <Characters>4497</Characters>
  <CharactersWithSpaces>5171</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2026-05-21T19:33:24Z</dcterms:created>
  <dc:creator/>
  <dc:description/>
  <dc:language>en-US</dc:language>
  <cp:lastModifiedBy/>
  <dcterms:modified xsi:type="dcterms:W3CDTF">2026-06-21T13:36:55Z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