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spacing w:before="200" w:after="120"/>
        <w:ind w:hanging="0" w:start="0"/>
        <w:rPr/>
      </w:pPr>
      <w:r>
        <w:rPr/>
        <w:t>Executive Summary</w:t>
      </w:r>
    </w:p>
    <w:p>
      <w:pPr>
        <w:pStyle w:val="BodyText"/>
        <w:rPr/>
      </w:pPr>
      <w:r>
        <w:rPr/>
        <w:t>Tokai Logistics, a fictional third-party logistics provider serving the Greater Tokyo metropolitan area, processed 50,279 deliveries across five hubs in 2024 with an overall failure rate of approximately 10% and an annual revenue impact of ¥5,985,600 under the attempt-weighted cost model. Analysis using SQL, Python, AWS S3, and Power BI identified three primary drivers of revenue loss: customer absence during evening and night delivery windows, weather-related delays concentrated in snow and heavy rain conditions, and staffing patterns optimized for peak hours but under-resourced for transitional periods. Recommended interventions include differential delivery window pricing, pre-delivery confirmation for night window deliveries projected to recover between ¥358,405 and ¥502,481 annually, and expansion of alternative delivery options through locker pickup and convenience store partnerships.</w:t>
        <w:br/>
      </w:r>
    </w:p>
    <w:p>
      <w:pPr>
        <w:pStyle w:val="Heading2"/>
        <w:numPr>
          <w:ilvl w:val="0"/>
          <w:numId w:val="0"/>
        </w:numPr>
        <w:ind w:hanging="0" w:start="0"/>
        <w:rPr/>
      </w:pPr>
      <w:r>
        <w:rPr/>
        <w:t>Business Problem</w:t>
      </w:r>
    </w:p>
    <w:p>
      <w:pPr>
        <w:pStyle w:val="BodyText"/>
        <w:rPr/>
      </w:pPr>
      <w:r>
        <w:rPr/>
        <w:t>Stakeholders at Tokai Logistics requested a 2024 performance analysis to identify operational patterns driving delivery failures and quantify the revenue impact of those failures. This analysis was built to answer five core questions:</w:t>
      </w:r>
    </w:p>
    <w:p>
      <w:pPr>
        <w:pStyle w:val="BodyText"/>
        <w:numPr>
          <w:ilvl w:val="0"/>
          <w:numId w:val="5"/>
        </w:numPr>
        <w:tabs>
          <w:tab w:val="clear" w:pos="709"/>
          <w:tab w:val="left" w:pos="0" w:leader="none"/>
        </w:tabs>
        <w:ind w:hanging="283" w:start="709"/>
        <w:rPr/>
      </w:pPr>
      <w:r>
        <w:rPr/>
        <w:t>How does delivery failure and delay rate vary across hubs, weather conditions, and prefectures?</w:t>
      </w:r>
    </w:p>
    <w:p>
      <w:pPr>
        <w:pStyle w:val="BodyText"/>
        <w:numPr>
          <w:ilvl w:val="0"/>
          <w:numId w:val="5"/>
        </w:numPr>
        <w:tabs>
          <w:tab w:val="clear" w:pos="709"/>
          <w:tab w:val="left" w:pos="0" w:leader="none"/>
        </w:tabs>
        <w:ind w:hanging="283" w:start="709"/>
        <w:rPr/>
      </w:pPr>
      <w:r>
        <w:rPr/>
        <w:t>Are there sustained weekly trends or periods of progressive performance degradation across 2024?</w:t>
      </w:r>
    </w:p>
    <w:p>
      <w:pPr>
        <w:pStyle w:val="BodyText"/>
        <w:numPr>
          <w:ilvl w:val="0"/>
          <w:numId w:val="5"/>
        </w:numPr>
        <w:tabs>
          <w:tab w:val="clear" w:pos="709"/>
          <w:tab w:val="left" w:pos="0" w:leader="none"/>
        </w:tabs>
        <w:ind w:hanging="283" w:start="709"/>
        <w:rPr/>
      </w:pPr>
      <w:r>
        <w:rPr/>
        <w:t>Does delivery performance correlate with hub volume, or are busiest hours under-resourced relative to demand?</w:t>
      </w:r>
    </w:p>
    <w:p>
      <w:pPr>
        <w:pStyle w:val="BodyText"/>
        <w:numPr>
          <w:ilvl w:val="0"/>
          <w:numId w:val="5"/>
        </w:numPr>
        <w:tabs>
          <w:tab w:val="clear" w:pos="709"/>
          <w:tab w:val="left" w:pos="0" w:leader="none"/>
        </w:tabs>
        <w:ind w:hanging="283" w:start="709"/>
        <w:rPr/>
      </w:pPr>
      <w:r>
        <w:rPr/>
        <w:t>What is the total revenue impact of delivery failures, and how does cost modeling methodology affect that estimate?</w:t>
      </w:r>
    </w:p>
    <w:p>
      <w:pPr>
        <w:pStyle w:val="BodyText"/>
        <w:numPr>
          <w:ilvl w:val="0"/>
          <w:numId w:val="5"/>
        </w:numPr>
        <w:tabs>
          <w:tab w:val="clear" w:pos="709"/>
          <w:tab w:val="left" w:pos="0" w:leader="none"/>
        </w:tabs>
        <w:ind w:hanging="283" w:start="709"/>
        <w:rPr/>
      </w:pPr>
      <w:r>
        <w:rPr/>
        <w:t>How does failure rate and re-delivery cost vary by delivery time window (morning, afternoon, evening, night)?</w:t>
      </w:r>
    </w:p>
    <w:p>
      <w:pPr>
        <w:pStyle w:val="BodyText"/>
        <w:rPr/>
      </w:pPr>
      <w:r>
        <w:rPr/>
      </w:r>
    </w:p>
    <w:p>
      <w:pPr>
        <w:pStyle w:val="Heading2"/>
        <w:numPr>
          <w:ilvl w:val="1"/>
          <w:numId w:val="1"/>
        </w:numPr>
        <w:ind w:hanging="0" w:start="0"/>
        <w:rPr/>
      </w:pPr>
      <w:r>
        <w:rPr/>
        <w:t>Methodology</w:t>
      </w:r>
    </w:p>
    <w:p>
      <w:pPr>
        <w:pStyle w:val="BodyText"/>
        <w:numPr>
          <w:ilvl w:val="0"/>
          <w:numId w:val="2"/>
        </w:numPr>
        <w:tabs>
          <w:tab w:val="clear" w:pos="709"/>
          <w:tab w:val="left" w:pos="0" w:leader="none"/>
        </w:tabs>
        <w:ind w:hanging="283" w:start="709"/>
        <w:rPr/>
      </w:pPr>
      <w:r>
        <w:rPr>
          <w:rStyle w:val="Strong"/>
        </w:rPr>
        <w:t>Data Generation (Python):</w:t>
      </w:r>
      <w:r>
        <w:rPr/>
        <w:t xml:space="preserve"> Generated a synthetic dataset simulating 50,279 total delivery records across 18 columns for the year 2024, calibrated against published Japanese logistics industry data including Yamato Holdings delivery windows, Japan Meteorological Agency weather frequencies, and Ministry of Land, Infrastructure, Transport and Tourism delivery failure statistics. </w:t>
      </w:r>
    </w:p>
    <w:p>
      <w:pPr>
        <w:pStyle w:val="BodyText"/>
        <w:numPr>
          <w:ilvl w:val="0"/>
          <w:numId w:val="2"/>
        </w:numPr>
        <w:tabs>
          <w:tab w:val="clear" w:pos="709"/>
          <w:tab w:val="left" w:pos="0" w:leader="none"/>
        </w:tabs>
        <w:ind w:hanging="283" w:start="709"/>
        <w:rPr/>
      </w:pPr>
      <w:r>
        <w:rPr>
          <w:rStyle w:val="Strong"/>
        </w:rPr>
        <w:t>Cloud Integration (AWS S3, boto3):</w:t>
      </w:r>
      <w:r>
        <w:rPr/>
        <w:t xml:space="preserve"> Uploaded the cleaned dataset to AWS S3 using Python's boto3 library, implementing cloud data integration architecture designed to scale to Amazon Redshift in a production environment. </w:t>
      </w:r>
    </w:p>
    <w:p>
      <w:pPr>
        <w:pStyle w:val="BodyText"/>
        <w:numPr>
          <w:ilvl w:val="0"/>
          <w:numId w:val="2"/>
        </w:numPr>
        <w:tabs>
          <w:tab w:val="clear" w:pos="709"/>
          <w:tab w:val="left" w:pos="0" w:leader="none"/>
        </w:tabs>
        <w:ind w:hanging="283" w:start="709"/>
        <w:rPr/>
      </w:pPr>
      <w:r>
        <w:rPr>
          <w:rStyle w:val="Strong"/>
        </w:rPr>
        <w:t>SQL Analysis (SQLite):</w:t>
      </w:r>
      <w:r>
        <w:rPr/>
        <w:t xml:space="preserve"> Built a SQLite database with appropriate indexing on the deliveries table and wrote five analytical queries examining hub delay patterns by weather and prefecture, rolling weekly delay trends, busiest hours per hub with delay correlation, combined revenue impact with attempt-weighted cost modeling, and delivery window performance. </w:t>
      </w:r>
    </w:p>
    <w:p>
      <w:pPr>
        <w:pStyle w:val="BodyText"/>
        <w:numPr>
          <w:ilvl w:val="0"/>
          <w:numId w:val="2"/>
        </w:numPr>
        <w:tabs>
          <w:tab w:val="clear" w:pos="709"/>
          <w:tab w:val="left" w:pos="0" w:leader="none"/>
        </w:tabs>
        <w:ind w:hanging="283" w:start="709"/>
        <w:rPr/>
      </w:pPr>
      <w:r>
        <w:rPr>
          <w:rStyle w:val="Strong"/>
        </w:rPr>
        <w:t>Revenue Recovery Simulation (Python):</w:t>
      </w:r>
      <w:r>
        <w:rPr/>
        <w:t xml:space="preserve"> Created a simulation modeling the financial impact of pre-delivery confirmation interventions on night window deliveries at 25%, 30%, and 35% failure reduction rates, calibrated against published Japanese logistics research. </w:t>
      </w:r>
    </w:p>
    <w:p>
      <w:pPr>
        <w:pStyle w:val="BodyText"/>
        <w:numPr>
          <w:ilvl w:val="0"/>
          <w:numId w:val="2"/>
        </w:numPr>
        <w:tabs>
          <w:tab w:val="clear" w:pos="709"/>
          <w:tab w:val="left" w:pos="0" w:leader="none"/>
        </w:tabs>
        <w:ind w:hanging="283" w:start="709"/>
        <w:rPr/>
      </w:pPr>
      <w:r>
        <w:rPr>
          <w:rStyle w:val="Strong"/>
        </w:rPr>
        <w:t>Dashboard (Power BI):</w:t>
      </w:r>
      <w:r>
        <w:rPr/>
        <w:t xml:space="preserve"> Built an interactive dashboard connected to the SQLite database via ODBC, presenting hub performance with dual-axis visualization, monthly delay trends, revenue impact breakdown, and weather impact analysis with interactive filtering. </w:t>
        <w:br/>
      </w:r>
    </w:p>
    <w:p>
      <w:pPr>
        <w:pStyle w:val="Heading2"/>
        <w:numPr>
          <w:ilvl w:val="0"/>
          <w:numId w:val="0"/>
        </w:numPr>
        <w:ind w:hanging="0" w:start="0"/>
        <w:rPr/>
      </w:pPr>
      <w:r>
        <w:rPr/>
        <w:t>Skills</w:t>
      </w:r>
    </w:p>
    <w:p>
      <w:pPr>
        <w:pStyle w:val="BodyText"/>
        <w:rPr/>
      </w:pPr>
      <w:r>
        <w:rPr>
          <w:rStyle w:val="Strong"/>
        </w:rPr>
        <w:t>Python:</w:t>
      </w:r>
      <w:r>
        <w:rPr/>
        <w:t xml:space="preserve"> Synthetic data generation with realistic logistical hub delivery time frames and weather condition effects, AWS S3 integration via boto3, revenue recovery simulation modeling.</w:t>
      </w:r>
    </w:p>
    <w:p>
      <w:pPr>
        <w:pStyle w:val="BodyText"/>
        <w:rPr/>
      </w:pPr>
      <w:r>
        <w:rPr>
          <w:rStyle w:val="Strong"/>
        </w:rPr>
        <w:t>SQL:</w:t>
      </w:r>
      <w:r>
        <w:rPr/>
        <w:t xml:space="preserve"> DENSE_RANK, ROW_NUMBER, LAG, PARTITION BY, multi-CTE chained queries, CASE WHEN aggregation, attempt-weighted revenue modeling.</w:t>
      </w:r>
    </w:p>
    <w:p>
      <w:pPr>
        <w:pStyle w:val="BodyText"/>
        <w:rPr/>
      </w:pPr>
      <w:r>
        <w:rPr>
          <w:rStyle w:val="Strong"/>
        </w:rPr>
        <w:t>Power BI:</w:t>
      </w:r>
      <w:r>
        <w:rPr/>
        <w:t xml:space="preserve"> Data modeling, DAX measures, interactive slicer, dashboard design, dual-axis charting.</w:t>
      </w:r>
    </w:p>
    <w:p>
      <w:pPr>
        <w:pStyle w:val="BodyText"/>
        <w:rPr/>
      </w:pPr>
      <w:r>
        <w:rPr>
          <w:rStyle w:val="Strong"/>
        </w:rPr>
        <w:t>AWS:</w:t>
      </w:r>
      <w:r>
        <w:rPr/>
        <w:t xml:space="preserve"> S3 cloud storage configuration, boto3 programmatic upload, IAM credential management.</w:t>
      </w:r>
    </w:p>
    <w:p>
      <w:pPr>
        <w:pStyle w:val="BodyText"/>
        <w:rPr/>
      </w:pPr>
      <w:r>
        <w:rPr/>
      </w:r>
    </w:p>
    <w:p>
      <w:pPr>
        <w:pStyle w:val="Heading2"/>
        <w:numPr>
          <w:ilvl w:val="1"/>
          <w:numId w:val="1"/>
        </w:numPr>
        <w:ind w:hanging="0" w:start="0"/>
        <w:rPr/>
      </w:pPr>
      <w:r>
        <w:rPr/>
        <w:t>Results</w:t>
      </w:r>
    </w:p>
    <w:p>
      <w:pPr>
        <w:pStyle w:val="BodyText"/>
        <w:rPr/>
      </w:pPr>
      <w:r>
        <w:rPr>
          <w:rStyle w:val="Strong"/>
        </w:rPr>
        <w:t>Hub performance is consistent across the network, with variation driven by specific factors rather than hub-level differences:</w:t>
      </w:r>
      <w:r>
        <w:rPr/>
        <w:t xml:space="preserve"> The five Tokai Logistics hubs operate within a narrow performance band of 46.77% to 47.20% delay rate, indicating consistent operational capability across the network. However, the analysis identified specific weather, time-of-day, and seasonal factors that drive significant variation in delivery success within that overall pattern.</w:t>
      </w:r>
    </w:p>
    <w:p>
      <w:pPr>
        <w:pStyle w:val="BodyText"/>
        <w:rPr/>
      </w:pPr>
      <w:r>
        <w:rPr>
          <w:rStyle w:val="Strong"/>
        </w:rPr>
        <w:t>Delivery time window is the most operationally actionable driver of failure:</w:t>
      </w:r>
      <w:r>
        <w:rPr/>
        <w:t xml:space="preserve"> Failure rates climbed progressively from 8.82% in morning windows to 11.87% in night windows, a 35% relative increase. The night window generated ¥964,800 in re-delivery costs alone, 37% higher than the morning window, which is consistent with documented Japanese consumer absence patterns during evening hours.</w:t>
      </w:r>
    </w:p>
    <w:p>
      <w:pPr>
        <w:pStyle w:val="BodyText"/>
        <w:rPr/>
      </w:pPr>
      <w:r>
        <w:rPr>
          <w:rStyle w:val="Strong"/>
        </w:rPr>
        <w:t>A sustained four-week degradation period aligned with typhoon season:</w:t>
      </w:r>
      <w:r>
        <w:rPr/>
        <w:t xml:space="preserve"> Performance progressively declined from week 32 through week 35 (August 5–26), consistent with Japan's typhoon season impact on Tokyo metropolitan deliveries. October and December each showed elevated monthly average delay (6.32 and 6.37 minutes respectively), reflecting holiday peak volume combined with winter weather variability. Delay rates tied to snow or heavy rainfall, particularly at Chiba and Yokohama Hubs, indicate operational or routing issues rather than distance-driven factors.</w:t>
      </w:r>
    </w:p>
    <w:p>
      <w:pPr>
        <w:pStyle w:val="BodyText"/>
        <w:rPr/>
      </w:pPr>
      <w:r>
        <w:rPr>
          <w:rStyle w:val="Strong"/>
        </w:rPr>
        <w:t>Staffing appears optimized for known peaks but under-resourced during transitional periods:</w:t>
      </w:r>
      <w:r>
        <w:rPr/>
        <w:t xml:space="preserve"> Only Chiba Hub showed the expected pattern of higher delay rates correlating with higher volume; the remaining four hubs showed inverse or flat patterns, with their busiest hours performing better than medium-volume hours.</w:t>
      </w:r>
    </w:p>
    <w:p>
      <w:pPr>
        <w:pStyle w:val="BodyText"/>
        <w:rPr/>
      </w:pPr>
      <w:r>
        <w:rPr>
          <w:rStyle w:val="Strong"/>
        </w:rPr>
        <w:t>The standard revenue impact methodology significantly understates true cost:</w:t>
      </w:r>
      <w:r>
        <w:rPr/>
        <w:t xml:space="preserve"> The flat re-delivery cost calculation understates actual costs by approximately ¥1,967,200 annually by not accounting for multi-attempt failures. The attempt-weighted model captures this previously invisible cost component, raising total annual revenue impact from ¥4,825,900 to ¥5,985,600.</w:t>
      </w:r>
    </w:p>
    <w:p>
      <w:pPr>
        <w:pStyle w:val="BodyText"/>
        <w:rPr/>
      </w:pPr>
      <w:r>
        <w:rPr/>
      </w:r>
    </w:p>
    <w:p>
      <w:pPr>
        <w:pStyle w:val="Heading2"/>
        <w:numPr>
          <w:ilvl w:val="1"/>
          <w:numId w:val="1"/>
        </w:numPr>
        <w:ind w:hanging="0" w:start="0"/>
        <w:rPr/>
      </w:pPr>
      <w:r>
        <w:rPr/>
        <w:t>Business Recommendation</w:t>
      </w:r>
    </w:p>
    <w:p>
      <w:pPr>
        <w:pStyle w:val="BodyText"/>
        <w:rPr/>
      </w:pPr>
      <w:r>
        <w:rPr/>
        <w:t xml:space="preserve">The revenue recovery model projects that implementing pre-delivery confirmation for Night window deliveries alone, calibrated against the 25-35% failure reduction documented in published Japanese logistics research, would prevent an estimated 301 to 422 failed deliveries annually and recover between ¥358,405 and ¥502,481 in attempt-weighted re-delivery costs. Recommended actions include: </w:t>
      </w:r>
    </w:p>
    <w:p>
      <w:pPr>
        <w:pStyle w:val="BodyText"/>
        <w:numPr>
          <w:ilvl w:val="0"/>
          <w:numId w:val="3"/>
        </w:numPr>
        <w:tabs>
          <w:tab w:val="clear" w:pos="709"/>
          <w:tab w:val="left" w:pos="0" w:leader="none"/>
        </w:tabs>
        <w:ind w:hanging="283" w:start="709"/>
        <w:rPr/>
      </w:pPr>
      <w:r>
        <w:rPr>
          <w:rStyle w:val="Strong"/>
        </w:rPr>
        <w:t>Implement differential pricing for delivery windows:</w:t>
      </w:r>
      <w:r>
        <w:rPr/>
        <w:t xml:space="preserve"> Premium rates for evening and night slots would encourage customers to opt for more reliable morning and afternoon delivery windows, reducing exposure to the highest-failure time periods. </w:t>
      </w:r>
    </w:p>
    <w:p>
      <w:pPr>
        <w:pStyle w:val="BodyText"/>
        <w:numPr>
          <w:ilvl w:val="0"/>
          <w:numId w:val="3"/>
        </w:numPr>
        <w:tabs>
          <w:tab w:val="clear" w:pos="709"/>
          <w:tab w:val="left" w:pos="0" w:leader="none"/>
        </w:tabs>
        <w:ind w:hanging="283" w:start="709"/>
        <w:rPr/>
      </w:pPr>
      <w:r>
        <w:rPr>
          <w:rStyle w:val="Strong"/>
        </w:rPr>
        <w:t xml:space="preserve">Deploy pre-delivery confirmation for evening and night windows: </w:t>
      </w:r>
      <w:r>
        <w:rPr>
          <w:rStyle w:val="Strong"/>
          <w:b w:val="false"/>
          <w:bCs w:val="false"/>
        </w:rPr>
        <w:t xml:space="preserve">Requiring customer acknowledgment of presence before dispatch, via SMS or mobile app, directly targets the customer-absence pattern identified as the primary driver of night-window failures. </w:t>
      </w:r>
    </w:p>
    <w:p>
      <w:pPr>
        <w:pStyle w:val="BodyText"/>
        <w:numPr>
          <w:ilvl w:val="0"/>
          <w:numId w:val="3"/>
        </w:numPr>
        <w:tabs>
          <w:tab w:val="clear" w:pos="709"/>
          <w:tab w:val="left" w:pos="0" w:leader="none"/>
        </w:tabs>
        <w:ind w:hanging="283" w:start="709"/>
        <w:rPr/>
      </w:pPr>
      <w:r>
        <w:rPr>
          <w:rStyle w:val="Strong"/>
        </w:rPr>
        <w:t>Establish and promote alternative delivery options:</w:t>
      </w:r>
      <w:r>
        <w:rPr/>
        <w:t xml:space="preserve"> Locker pickup (PUDO locations) and convenience store delivery for customers selecting evening or night windows address the customer absence problem at the root rather than relying on redelivery attempts. </w:t>
      </w:r>
    </w:p>
    <w:p>
      <w:pPr>
        <w:pStyle w:val="BodyText"/>
        <w:rPr/>
      </w:pPr>
      <w:r>
        <w:rPr/>
        <w:t xml:space="preserve">Combining these interventions would extend recovery beyond the night window scope and address customer absence patterns across both evening and night delivery windows. </w:t>
        <w:br/>
      </w:r>
    </w:p>
    <w:p>
      <w:pPr>
        <w:pStyle w:val="Heading2"/>
        <w:numPr>
          <w:ilvl w:val="1"/>
          <w:numId w:val="1"/>
        </w:numPr>
        <w:ind w:hanging="0" w:start="0"/>
        <w:rPr/>
      </w:pPr>
      <w:r>
        <w:rPr/>
        <w:t>Next Steps</w:t>
      </w:r>
    </w:p>
    <w:p>
      <w:pPr>
        <w:pStyle w:val="BodyText"/>
        <w:numPr>
          <w:ilvl w:val="0"/>
          <w:numId w:val="4"/>
        </w:numPr>
        <w:tabs>
          <w:tab w:val="clear" w:pos="709"/>
          <w:tab w:val="left" w:pos="0" w:leader="none"/>
        </w:tabs>
        <w:ind w:hanging="283" w:start="709"/>
        <w:rPr/>
      </w:pPr>
      <w:r>
        <w:rPr>
          <w:rStyle w:val="Strong"/>
        </w:rPr>
        <w:t>Staffing mismatch investigation:</w:t>
      </w:r>
      <w:r>
        <w:rPr/>
        <w:t xml:space="preserve"> Determine efficient staffing solutions for lower-performing time windows across all hubs, given that current staffing appears optimized for known peaks rather than actual demand patterns. </w:t>
      </w:r>
    </w:p>
    <w:p>
      <w:pPr>
        <w:pStyle w:val="BodyText"/>
        <w:numPr>
          <w:ilvl w:val="0"/>
          <w:numId w:val="4"/>
        </w:numPr>
        <w:tabs>
          <w:tab w:val="clear" w:pos="709"/>
          <w:tab w:val="left" w:pos="0" w:leader="none"/>
        </w:tabs>
        <w:ind w:hanging="283" w:start="709"/>
        <w:rPr/>
      </w:pPr>
      <w:r>
        <w:rPr>
          <w:rStyle w:val="Strong"/>
        </w:rPr>
        <w:t>Weather-specific operational protocols:</w:t>
      </w:r>
      <w:r>
        <w:rPr/>
        <w:t xml:space="preserve"> Develop vehicle preparation, route adjustments, and predictive scheduling procedures for forecasted adverse weather events, particularly for Chiba and Yokohama Hubs given their elevated snow- and rain-related delays. </w:t>
      </w:r>
    </w:p>
    <w:p>
      <w:pPr>
        <w:pStyle w:val="BodyText"/>
        <w:numPr>
          <w:ilvl w:val="0"/>
          <w:numId w:val="4"/>
        </w:numPr>
        <w:tabs>
          <w:tab w:val="clear" w:pos="709"/>
          <w:tab w:val="left" w:pos="0" w:leader="none"/>
        </w:tabs>
        <w:ind w:hanging="283" w:start="709"/>
        <w:rPr/>
      </w:pPr>
      <w:r>
        <w:rPr>
          <w:rStyle w:val="Strong"/>
        </w:rPr>
        <w:t>Inter-hub coordination opportunities:</w:t>
      </w:r>
      <w:r>
        <w:rPr/>
        <w:t xml:space="preserve"> Investigate options to balance volume distribution during weather events or seasonal peaks, allowing better-positioned hubs to absorb overflow from heavily impacted hubs. </w:t>
      </w:r>
    </w:p>
    <w:p>
      <w:pPr>
        <w:pStyle w:val="BodyText"/>
        <w:spacing w:before="0" w:after="1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TotalTime>
  <Application>LibreOffice/26.2.4.2$Windows_X86_64 LibreOffice_project/0229ac93fcf0d7cbc6376066c6f35021cef002dc</Application>
  <AppVersion>15.0000</AppVersion>
  <Pages>4</Pages>
  <Words>1051</Words>
  <Characters>6838</Characters>
  <CharactersWithSpaces>7852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2026-06-13T14:46:07Z</dcterms:created>
  <dc:creator/>
  <dc:description/>
  <dc:language>en-US</dc:language>
  <cp:lastModifiedBy/>
  <dcterms:modified xsi:type="dcterms:W3CDTF">2026-06-21T13:26:07Z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