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spacing w:line="360" w:lineRule="auto" w:after="80"/>
        <w:jc w:val="center"/>
      </w:pPr>
      <w:bookmarkStart w:id="20" w:name="plan-du-mémoire"/>
      <w:r>
        <w:rPr>
          <w:rFonts w:ascii="Times New Roman" w:hAnsi="Times New Roman"/>
          <w:b/>
          <w:color w:val="000000"/>
          <w:sz w:val="28"/>
        </w:rPr>
        <w:t xml:space="preserve">PLAN DU MÉMOIRE</w:t>
      </w:r>
      <w:bookmarkEnd w:id="20"/>
    </w:p>
    <w:p>
      <w:pPr>
        <w:pStyle w:val="FirstParagraph"/>
        <w:spacing w:line="360" w:lineRule="auto" w:after="80"/>
      </w:pPr>
      <w:r>
        <w:rPr>
          <w:rFonts w:ascii="Times New Roman" w:hAnsi="Times New Roman"/>
          <w:b/>
          <w:color w:val="000000"/>
          <w:sz w:val="24"/>
        </w:rPr>
        <w:t xml:space="preserve">Conception et réalisation d’une plateforme web et mobile de gestion et de diffusion des ressources pédagogiques accessible hors connexion : cas d’AFI-L’UE</w:t>
      </w:r>
    </w:p>
    <w:p>
      <w:pPr>
        <w:pStyle w:val="Heading2"/>
        <w:spacing w:line="360" w:lineRule="auto" w:after="80"/>
      </w:pPr>
      <w:bookmarkStart w:id="21" w:name="pages-liminaires"/>
      <w:r>
        <w:rPr>
          <w:rFonts w:ascii="Times New Roman" w:hAnsi="Times New Roman"/>
          <w:b/>
          <w:color w:val="000000"/>
          <w:sz w:val="26"/>
        </w:rPr>
        <w:t xml:space="preserve">PAGES LIMINAIRES</w:t>
      </w:r>
      <w:bookmarkEnd w:id="21"/>
    </w:p>
    <w:p>
      <w:pPr>
        <w:numPr>
          <w:ilvl w:val="0"/>
          <w:numId w:val="1001"/>
        </w:numPr>
        <w:pStyle w:val="Compact"/>
        <w:spacing w:line="360" w:lineRule="auto" w:after="80"/>
      </w:pPr>
      <w:r>
        <w:rPr>
          <w:rFonts w:ascii="Times New Roman" w:hAnsi="Times New Roman"/>
          <w:color w:val="000000"/>
          <w:sz w:val="24"/>
        </w:rPr>
        <w:t xml:space="preserve">Page de garde</w:t>
      </w:r>
    </w:p>
    <w:p>
      <w:pPr>
        <w:numPr>
          <w:ilvl w:val="0"/>
          <w:numId w:val="1001"/>
        </w:numPr>
        <w:pStyle w:val="Compact"/>
        <w:spacing w:line="360" w:lineRule="auto" w:after="80"/>
      </w:pPr>
      <w:r>
        <w:rPr>
          <w:rFonts w:ascii="Times New Roman" w:hAnsi="Times New Roman"/>
          <w:color w:val="000000"/>
          <w:sz w:val="24"/>
        </w:rPr>
        <w:t xml:space="preserve">Dédicace</w:t>
      </w:r>
    </w:p>
    <w:p>
      <w:pPr>
        <w:numPr>
          <w:ilvl w:val="0"/>
          <w:numId w:val="1001"/>
        </w:numPr>
        <w:pStyle w:val="Compact"/>
        <w:spacing w:line="360" w:lineRule="auto" w:after="80"/>
      </w:pPr>
      <w:r>
        <w:rPr>
          <w:rFonts w:ascii="Times New Roman" w:hAnsi="Times New Roman"/>
          <w:color w:val="000000"/>
          <w:sz w:val="24"/>
        </w:rPr>
        <w:t xml:space="preserve">Remerciements</w:t>
      </w:r>
    </w:p>
    <w:p>
      <w:pPr>
        <w:numPr>
          <w:ilvl w:val="0"/>
          <w:numId w:val="1001"/>
        </w:numPr>
        <w:pStyle w:val="Compact"/>
        <w:spacing w:line="360" w:lineRule="auto" w:after="80"/>
      </w:pPr>
      <w:r>
        <w:rPr>
          <w:rFonts w:ascii="Times New Roman" w:hAnsi="Times New Roman"/>
          <w:color w:val="000000"/>
          <w:sz w:val="24"/>
        </w:rPr>
        <w:t xml:space="preserve">Sommaire</w:t>
      </w:r>
    </w:p>
    <w:p>
      <w:pPr>
        <w:numPr>
          <w:ilvl w:val="0"/>
          <w:numId w:val="1001"/>
        </w:numPr>
        <w:pStyle w:val="Compact"/>
        <w:spacing w:line="360" w:lineRule="auto" w:after="80"/>
      </w:pPr>
      <w:r>
        <w:rPr>
          <w:rFonts w:ascii="Times New Roman" w:hAnsi="Times New Roman"/>
          <w:color w:val="000000"/>
          <w:sz w:val="24"/>
        </w:rPr>
        <w:t xml:space="preserve">Liste des sigles et abréviations</w:t>
      </w:r>
    </w:p>
    <w:p>
      <w:pPr>
        <w:numPr>
          <w:ilvl w:val="0"/>
          <w:numId w:val="1001"/>
        </w:numPr>
        <w:pStyle w:val="Compact"/>
        <w:spacing w:line="360" w:lineRule="auto" w:after="80"/>
      </w:pPr>
      <w:r>
        <w:rPr>
          <w:rFonts w:ascii="Times New Roman" w:hAnsi="Times New Roman"/>
          <w:color w:val="000000"/>
          <w:sz w:val="24"/>
        </w:rPr>
        <w:t xml:space="preserve">Liste des figures et des tableaux</w:t>
      </w:r>
    </w:p>
    <w:p>
      <w:pPr>
        <w:numPr>
          <w:ilvl w:val="0"/>
          <w:numId w:val="1001"/>
        </w:numPr>
        <w:pStyle w:val="Compact"/>
        <w:spacing w:line="360" w:lineRule="auto" w:after="80"/>
      </w:pPr>
      <w:r>
        <w:rPr>
          <w:rFonts w:ascii="Times New Roman" w:hAnsi="Times New Roman"/>
          <w:color w:val="000000"/>
          <w:sz w:val="24"/>
        </w:rPr>
        <w:t xml:space="preserve">Résumé / Abstract</w:t>
      </w:r>
    </w:p>
    <w:p>
      <w:pPr>
        <w:pStyle w:val="Heading2"/>
        <w:spacing w:line="360" w:lineRule="auto" w:after="80"/>
      </w:pPr>
      <w:bookmarkStart w:id="22" w:name="introduction-générale"/>
      <w:r>
        <w:rPr>
          <w:rFonts w:ascii="Times New Roman" w:hAnsi="Times New Roman"/>
          <w:b/>
          <w:color w:val="000000"/>
          <w:sz w:val="26"/>
        </w:rPr>
        <w:t xml:space="preserve">INTRODUCTION GÉNÉRALE</w:t>
      </w:r>
      <w:bookmarkEnd w:id="22"/>
    </w:p>
    <w:p>
      <w:pPr>
        <w:pStyle w:val="Heading2"/>
        <w:spacing w:line="360" w:lineRule="auto" w:after="80"/>
      </w:pPr>
      <w:bookmarkStart w:id="23" w:name="X1151e4ffa465e27f7435a2c692eafbb6850724d"/>
      <w:r>
        <w:rPr>
          <w:rFonts w:ascii="Times New Roman" w:hAnsi="Times New Roman"/>
          <w:b/>
          <w:color w:val="000000"/>
          <w:sz w:val="26"/>
        </w:rPr>
        <w:t xml:space="preserve">PREMIÈRE PARTIE — CADRE THÉORIQUE, LÉGISLATIF ET RÉGLEMENTAIRE</w:t>
      </w:r>
      <w:bookmarkEnd w:id="23"/>
    </w:p>
    <w:p>
      <w:pPr>
        <w:pStyle w:val="Heading3"/>
        <w:spacing w:line="360" w:lineRule="auto" w:after="80"/>
      </w:pPr>
      <w:bookmarkStart w:id="24" w:name="chapitre-i-cadre-théorique"/>
      <w:r>
        <w:rPr>
          <w:rFonts w:ascii="Times New Roman" w:hAnsi="Times New Roman"/>
          <w:b/>
          <w:color w:val="000000"/>
          <w:sz w:val="24"/>
        </w:rPr>
        <w:t xml:space="preserve">CHAPITRE I — CADRE THÉORIQUE</w:t>
      </w:r>
      <w:bookmarkEnd w:id="24"/>
    </w:p>
    <w:p>
      <w:pPr>
        <w:numPr>
          <w:ilvl w:val="0"/>
          <w:numId w:val="1002"/>
        </w:numPr>
        <w:pStyle w:val="Compact"/>
        <w:spacing w:line="360" w:lineRule="auto" w:after="80"/>
      </w:pPr>
      <w:r>
        <w:rPr>
          <w:rFonts w:ascii="Times New Roman" w:hAnsi="Times New Roman"/>
          <w:color w:val="000000"/>
          <w:sz w:val="24"/>
        </w:rPr>
        <w:t xml:space="preserve">Introduction du chapitre I</w:t>
      </w:r>
    </w:p>
    <w:p>
      <w:pPr>
        <w:numPr>
          <w:ilvl w:val="0"/>
          <w:numId w:val="1002"/>
        </w:numPr>
        <w:pStyle w:val="Compact"/>
        <w:spacing w:line="360" w:lineRule="auto" w:after="80"/>
      </w:pPr>
      <w:r>
        <w:rPr>
          <w:rFonts w:ascii="Times New Roman" w:hAnsi="Times New Roman"/>
          <w:b/>
          <w:color w:val="000000"/>
          <w:sz w:val="24"/>
        </w:rPr>
        <w:t xml:space="preserve">Section 1 : Revue conceptuelle</w:t>
      </w:r>
    </w:p>
    <w:p>
      <w:pPr>
        <w:numPr>
          <w:ilvl w:val="1"/>
          <w:numId w:val="1003"/>
        </w:numPr>
        <w:pStyle w:val="Compact"/>
        <w:spacing w:line="360" w:lineRule="auto" w:after="80"/>
      </w:pPr>
      <w:r>
        <w:rPr>
          <w:rFonts w:ascii="Times New Roman" w:hAnsi="Times New Roman"/>
          <w:color w:val="000000"/>
          <w:sz w:val="24"/>
        </w:rPr>
        <w:t xml:space="preserve">1.1 Les systèmes de gestion de l’apprentissage (LMS)</w:t>
      </w:r>
    </w:p>
    <w:p>
      <w:pPr>
        <w:numPr>
          <w:ilvl w:val="1"/>
          <w:numId w:val="1003"/>
        </w:numPr>
        <w:pStyle w:val="Compact"/>
        <w:spacing w:line="360" w:lineRule="auto" w:after="80"/>
      </w:pPr>
      <w:r>
        <w:rPr>
          <w:rFonts w:ascii="Times New Roman" w:hAnsi="Times New Roman"/>
          <w:color w:val="000000"/>
          <w:sz w:val="24"/>
        </w:rPr>
        <w:t xml:space="preserve">1.2 Les plateformes collaboratives numériques</w:t>
      </w:r>
    </w:p>
    <w:p>
      <w:pPr>
        <w:numPr>
          <w:ilvl w:val="1"/>
          <w:numId w:val="1003"/>
        </w:numPr>
        <w:pStyle w:val="Compact"/>
        <w:spacing w:line="360" w:lineRule="auto" w:after="80"/>
      </w:pPr>
      <w:r>
        <w:rPr>
          <w:rFonts w:ascii="Times New Roman" w:hAnsi="Times New Roman"/>
          <w:color w:val="000000"/>
          <w:sz w:val="24"/>
        </w:rPr>
        <w:t xml:space="preserve">1.3 Les architectures logicielles modernes (REST, API)</w:t>
      </w:r>
    </w:p>
    <w:p>
      <w:pPr>
        <w:numPr>
          <w:ilvl w:val="1"/>
          <w:numId w:val="1003"/>
        </w:numPr>
        <w:pStyle w:val="Compact"/>
        <w:spacing w:line="360" w:lineRule="auto" w:after="80"/>
      </w:pPr>
      <w:r>
        <w:rPr>
          <w:rFonts w:ascii="Times New Roman" w:hAnsi="Times New Roman"/>
          <w:color w:val="000000"/>
          <w:sz w:val="24"/>
        </w:rPr>
        <w:t xml:space="preserve">1.4 L’approche « offline-first » (le fonctionnement hors connexion)</w:t>
      </w:r>
    </w:p>
    <w:p>
      <w:pPr>
        <w:numPr>
          <w:ilvl w:val="0"/>
          <w:numId w:val="1002"/>
        </w:numPr>
        <w:pStyle w:val="Compact"/>
        <w:spacing w:line="360" w:lineRule="auto" w:after="80"/>
      </w:pPr>
      <w:r>
        <w:rPr>
          <w:rFonts w:ascii="Times New Roman" w:hAnsi="Times New Roman"/>
          <w:b/>
          <w:color w:val="000000"/>
          <w:sz w:val="24"/>
        </w:rPr>
        <w:t xml:space="preserve">Section 2 : Revue critique de la littérature</w:t>
      </w:r>
    </w:p>
    <w:p>
      <w:pPr>
        <w:numPr>
          <w:ilvl w:val="1"/>
          <w:numId w:val="1004"/>
        </w:numPr>
        <w:pStyle w:val="Compact"/>
        <w:spacing w:line="360" w:lineRule="auto" w:after="80"/>
      </w:pPr>
      <w:r>
        <w:rPr>
          <w:rFonts w:ascii="Times New Roman" w:hAnsi="Times New Roman"/>
          <w:color w:val="000000"/>
          <w:sz w:val="24"/>
        </w:rPr>
        <w:t xml:space="preserve">2.1 Le socioconstructivisme — Vygotsky (1978)</w:t>
      </w:r>
    </w:p>
    <w:p>
      <w:pPr>
        <w:numPr>
          <w:ilvl w:val="1"/>
          <w:numId w:val="1004"/>
        </w:numPr>
        <w:pStyle w:val="Compact"/>
        <w:spacing w:line="360" w:lineRule="auto" w:after="80"/>
      </w:pPr>
      <w:r>
        <w:rPr>
          <w:rFonts w:ascii="Times New Roman" w:hAnsi="Times New Roman"/>
          <w:color w:val="000000"/>
          <w:sz w:val="24"/>
        </w:rPr>
        <w:t xml:space="preserve">2.2 Le design centré utilisateur — Norman (2013)</w:t>
      </w:r>
    </w:p>
    <w:p>
      <w:pPr>
        <w:numPr>
          <w:ilvl w:val="1"/>
          <w:numId w:val="1004"/>
        </w:numPr>
        <w:pStyle w:val="Compact"/>
        <w:spacing w:line="360" w:lineRule="auto" w:after="80"/>
      </w:pPr>
      <w:r>
        <w:rPr>
          <w:rFonts w:ascii="Times New Roman" w:hAnsi="Times New Roman"/>
          <w:color w:val="000000"/>
          <w:sz w:val="24"/>
        </w:rPr>
        <w:t xml:space="preserve">2.3 Architecture REST et monolithe structuré — Fielding (2000) &amp; Newman (2015)</w:t>
      </w:r>
    </w:p>
    <w:p>
      <w:pPr>
        <w:numPr>
          <w:ilvl w:val="1"/>
          <w:numId w:val="1004"/>
        </w:numPr>
        <w:pStyle w:val="Compact"/>
        <w:spacing w:line="360" w:lineRule="auto" w:after="80"/>
      </w:pPr>
      <w:r>
        <w:rPr>
          <w:rFonts w:ascii="Times New Roman" w:hAnsi="Times New Roman"/>
          <w:color w:val="000000"/>
          <w:sz w:val="24"/>
        </w:rPr>
        <w:t xml:space="preserve">2.4 Le paradoxe de sur-fonctionnalité — Naveh et al. (2010)</w:t>
      </w:r>
    </w:p>
    <w:p>
      <w:pPr>
        <w:numPr>
          <w:ilvl w:val="0"/>
          <w:numId w:val="1002"/>
        </w:numPr>
        <w:pStyle w:val="Compact"/>
        <w:spacing w:line="360" w:lineRule="auto" w:after="80"/>
      </w:pPr>
      <w:r>
        <w:rPr>
          <w:rFonts w:ascii="Times New Roman" w:hAnsi="Times New Roman"/>
          <w:color w:val="000000"/>
          <w:sz w:val="24"/>
        </w:rPr>
        <w:t xml:space="preserve">Conclusion du chapitre I</w:t>
      </w:r>
    </w:p>
    <w:p>
      <w:pPr>
        <w:pStyle w:val="Heading3"/>
        <w:spacing w:line="360" w:lineRule="auto" w:after="80"/>
      </w:pPr>
      <w:bookmarkStart w:id="25" w:name="chapitre-ii-contexte-de-létude"/>
      <w:r>
        <w:rPr>
          <w:rFonts w:ascii="Times New Roman" w:hAnsi="Times New Roman"/>
          <w:b/>
          <w:color w:val="000000"/>
          <w:sz w:val="24"/>
        </w:rPr>
        <w:t xml:space="preserve">CHAPITRE II — CONTEXTE DE L’ÉTUDE</w:t>
      </w:r>
      <w:bookmarkEnd w:id="25"/>
    </w:p>
    <w:p>
      <w:pPr>
        <w:numPr>
          <w:ilvl w:val="0"/>
          <w:numId w:val="1005"/>
        </w:numPr>
        <w:pStyle w:val="Compact"/>
        <w:spacing w:line="360" w:lineRule="auto" w:after="80"/>
      </w:pPr>
      <w:r>
        <w:rPr>
          <w:rFonts w:ascii="Times New Roman" w:hAnsi="Times New Roman"/>
          <w:color w:val="000000"/>
          <w:sz w:val="24"/>
        </w:rPr>
        <w:t xml:space="preserve">Introduction du chapitre II</w:t>
      </w:r>
    </w:p>
    <w:p>
      <w:pPr>
        <w:numPr>
          <w:ilvl w:val="0"/>
          <w:numId w:val="1005"/>
        </w:numPr>
        <w:pStyle w:val="Compact"/>
        <w:spacing w:line="360" w:lineRule="auto" w:after="80"/>
      </w:pPr>
      <w:r>
        <w:rPr>
          <w:rFonts w:ascii="Times New Roman" w:hAnsi="Times New Roman"/>
          <w:b/>
          <w:color w:val="000000"/>
          <w:sz w:val="24"/>
        </w:rPr>
        <w:t xml:space="preserve">Section 1 : Contexte général</w:t>
      </w:r>
    </w:p>
    <w:p>
      <w:pPr>
        <w:numPr>
          <w:ilvl w:val="1"/>
          <w:numId w:val="1006"/>
        </w:numPr>
        <w:pStyle w:val="Compact"/>
        <w:spacing w:line="360" w:lineRule="auto" w:after="80"/>
      </w:pPr>
      <w:r>
        <w:rPr>
          <w:rFonts w:ascii="Times New Roman" w:hAnsi="Times New Roman"/>
          <w:color w:val="000000"/>
          <w:sz w:val="24"/>
        </w:rPr>
        <w:t xml:space="preserve">1.1 La numérisation de l’enseignement supérieur en Afrique</w:t>
      </w:r>
    </w:p>
    <w:p>
      <w:pPr>
        <w:numPr>
          <w:ilvl w:val="1"/>
          <w:numId w:val="1006"/>
        </w:numPr>
        <w:pStyle w:val="Compact"/>
        <w:spacing w:line="360" w:lineRule="auto" w:after="80"/>
      </w:pPr>
      <w:r>
        <w:rPr>
          <w:rFonts w:ascii="Times New Roman" w:hAnsi="Times New Roman"/>
          <w:color w:val="000000"/>
          <w:sz w:val="24"/>
        </w:rPr>
        <w:t xml:space="preserve">1.2 Les enjeux pédagogiques du numérique</w:t>
      </w:r>
    </w:p>
    <w:p>
      <w:pPr>
        <w:numPr>
          <w:ilvl w:val="0"/>
          <w:numId w:val="1005"/>
        </w:numPr>
        <w:pStyle w:val="Compact"/>
        <w:spacing w:line="360" w:lineRule="auto" w:after="80"/>
      </w:pPr>
      <w:r>
        <w:rPr>
          <w:rFonts w:ascii="Times New Roman" w:hAnsi="Times New Roman"/>
          <w:b/>
          <w:color w:val="000000"/>
          <w:sz w:val="24"/>
        </w:rPr>
        <w:t xml:space="preserve">Section 2 : Contexte spécifique à l’AFI</w:t>
      </w:r>
    </w:p>
    <w:p>
      <w:pPr>
        <w:numPr>
          <w:ilvl w:val="1"/>
          <w:numId w:val="1007"/>
        </w:numPr>
        <w:pStyle w:val="Compact"/>
        <w:spacing w:line="360" w:lineRule="auto" w:after="80"/>
      </w:pPr>
      <w:r>
        <w:rPr>
          <w:rFonts w:ascii="Times New Roman" w:hAnsi="Times New Roman"/>
          <w:color w:val="000000"/>
          <w:sz w:val="24"/>
        </w:rPr>
        <w:t xml:space="preserve">2.1 Présentation de l’AFI (historique, missions, filières)</w:t>
      </w:r>
    </w:p>
    <w:p>
      <w:pPr>
        <w:numPr>
          <w:ilvl w:val="1"/>
          <w:numId w:val="1007"/>
        </w:numPr>
        <w:pStyle w:val="Compact"/>
        <w:spacing w:line="360" w:lineRule="auto" w:after="80"/>
      </w:pPr>
      <w:r>
        <w:rPr>
          <w:rFonts w:ascii="Times New Roman" w:hAnsi="Times New Roman"/>
          <w:color w:val="000000"/>
          <w:sz w:val="24"/>
        </w:rPr>
        <w:t xml:space="preserve">2.2 Pratiques actuelles de partage (WhatsApp, fichiers volatils)</w:t>
      </w:r>
    </w:p>
    <w:p>
      <w:pPr>
        <w:numPr>
          <w:ilvl w:val="1"/>
          <w:numId w:val="1007"/>
        </w:numPr>
        <w:pStyle w:val="Compact"/>
        <w:spacing w:line="360" w:lineRule="auto" w:after="80"/>
      </w:pPr>
      <w:r>
        <w:rPr>
          <w:rFonts w:ascii="Times New Roman" w:hAnsi="Times New Roman"/>
          <w:color w:val="000000"/>
          <w:sz w:val="24"/>
        </w:rPr>
        <w:t xml:space="preserve">2.3 Défaillances identifiées et besoins exprimés</w:t>
      </w:r>
    </w:p>
    <w:p>
      <w:pPr>
        <w:numPr>
          <w:ilvl w:val="0"/>
          <w:numId w:val="1005"/>
        </w:numPr>
        <w:pStyle w:val="Compact"/>
        <w:spacing w:line="360" w:lineRule="auto" w:after="80"/>
      </w:pPr>
      <w:r>
        <w:rPr>
          <w:rFonts w:ascii="Times New Roman" w:hAnsi="Times New Roman"/>
          <w:color w:val="000000"/>
          <w:sz w:val="24"/>
        </w:rPr>
        <w:t xml:space="preserve">Conclusion du chapitre II</w:t>
      </w:r>
    </w:p>
    <w:p>
      <w:pPr>
        <w:pStyle w:val="Heading2"/>
        <w:spacing w:line="360" w:lineRule="auto" w:after="80"/>
      </w:pPr>
      <w:bookmarkStart w:id="26" w:name="X24e8a1d0e46787213ef80e1c522a11ca9c85921"/>
      <w:r>
        <w:rPr>
          <w:rFonts w:ascii="Times New Roman" w:hAnsi="Times New Roman"/>
          <w:b/>
          <w:color w:val="000000"/>
          <w:sz w:val="26"/>
        </w:rPr>
        <w:t xml:space="preserve">DEUXIÈME PARTIE — CADRE MÉTHODOLOGIQUE ET ANALYTIQUE</w:t>
      </w:r>
      <w:bookmarkEnd w:id="26"/>
    </w:p>
    <w:p>
      <w:pPr>
        <w:pStyle w:val="Heading3"/>
        <w:spacing w:line="360" w:lineRule="auto" w:after="80"/>
      </w:pPr>
      <w:bookmarkStart w:id="27" w:name="chapitre-iii-cadre-méthodologique"/>
      <w:r>
        <w:rPr>
          <w:rFonts w:ascii="Times New Roman" w:hAnsi="Times New Roman"/>
          <w:b/>
          <w:color w:val="000000"/>
          <w:sz w:val="24"/>
        </w:rPr>
        <w:t xml:space="preserve">CHAPITRE III — CADRE MÉTHODOLOGIQUE</w:t>
      </w:r>
      <w:bookmarkEnd w:id="27"/>
    </w:p>
    <w:p>
      <w:pPr>
        <w:numPr>
          <w:ilvl w:val="0"/>
          <w:numId w:val="1008"/>
        </w:numPr>
        <w:pStyle w:val="Compact"/>
        <w:spacing w:line="360" w:lineRule="auto" w:after="80"/>
      </w:pPr>
      <w:r>
        <w:rPr>
          <w:rFonts w:ascii="Times New Roman" w:hAnsi="Times New Roman"/>
          <w:color w:val="000000"/>
          <w:sz w:val="24"/>
        </w:rPr>
        <w:t xml:space="preserve">Introduction du chapitre III</w:t>
      </w:r>
    </w:p>
    <w:p>
      <w:pPr>
        <w:numPr>
          <w:ilvl w:val="0"/>
          <w:numId w:val="1008"/>
        </w:numPr>
        <w:pStyle w:val="Compact"/>
        <w:spacing w:line="360" w:lineRule="auto" w:after="80"/>
      </w:pPr>
      <w:r>
        <w:rPr>
          <w:rFonts w:ascii="Times New Roman" w:hAnsi="Times New Roman"/>
          <w:b/>
          <w:color w:val="000000"/>
          <w:sz w:val="24"/>
        </w:rPr>
        <w:t xml:space="preserve">Section 1 : Modélisation et implémentation</w:t>
      </w:r>
    </w:p>
    <w:p>
      <w:pPr>
        <w:numPr>
          <w:ilvl w:val="1"/>
          <w:numId w:val="1009"/>
        </w:numPr>
        <w:pStyle w:val="Compact"/>
        <w:spacing w:line="360" w:lineRule="auto" w:after="80"/>
      </w:pPr>
      <w:r>
        <w:rPr>
          <w:rFonts w:ascii="Times New Roman" w:hAnsi="Times New Roman"/>
          <w:color w:val="000000"/>
          <w:sz w:val="24"/>
        </w:rPr>
        <w:t xml:space="preserve">1.1 Diagramme de classes — structure des données et relations Eloquent</w:t>
      </w:r>
    </w:p>
    <w:p>
      <w:pPr>
        <w:numPr>
          <w:ilvl w:val="1"/>
          <w:numId w:val="1009"/>
        </w:numPr>
        <w:pStyle w:val="Compact"/>
        <w:spacing w:line="360" w:lineRule="auto" w:after="80"/>
      </w:pPr>
      <w:r>
        <w:rPr>
          <w:rFonts w:ascii="Times New Roman" w:hAnsi="Times New Roman"/>
          <w:color w:val="000000"/>
          <w:sz w:val="24"/>
        </w:rPr>
        <w:t xml:space="preserve">1.2 Schéma de la base de données</w:t>
      </w:r>
    </w:p>
    <w:p>
      <w:pPr>
        <w:numPr>
          <w:ilvl w:val="1"/>
          <w:numId w:val="1009"/>
        </w:numPr>
        <w:pStyle w:val="Compact"/>
        <w:spacing w:line="360" w:lineRule="auto" w:after="80"/>
      </w:pPr>
      <w:r>
        <w:rPr>
          <w:rFonts w:ascii="Times New Roman" w:hAnsi="Times New Roman"/>
          <w:color w:val="000000"/>
          <w:sz w:val="24"/>
        </w:rPr>
        <w:t xml:space="preserve">1.3 Diagramme de composants — architecture Laravel / React / React Native / MySQL</w:t>
      </w:r>
    </w:p>
    <w:p>
      <w:pPr>
        <w:numPr>
          <w:ilvl w:val="1"/>
          <w:numId w:val="1009"/>
        </w:numPr>
        <w:pStyle w:val="Compact"/>
        <w:spacing w:line="360" w:lineRule="auto" w:after="80"/>
      </w:pPr>
      <w:r>
        <w:rPr>
          <w:rFonts w:ascii="Times New Roman" w:hAnsi="Times New Roman"/>
          <w:color w:val="000000"/>
          <w:sz w:val="24"/>
        </w:rPr>
        <w:t xml:space="preserve">1.4 Diagramme de cas d’utilisation</w:t>
      </w:r>
    </w:p>
    <w:p>
      <w:pPr>
        <w:numPr>
          <w:ilvl w:val="1"/>
          <w:numId w:val="1009"/>
        </w:numPr>
        <w:pStyle w:val="Compact"/>
        <w:spacing w:line="360" w:lineRule="auto" w:after="80"/>
      </w:pPr>
      <w:r>
        <w:rPr>
          <w:rFonts w:ascii="Times New Roman" w:hAnsi="Times New Roman"/>
          <w:color w:val="000000"/>
          <w:sz w:val="24"/>
        </w:rPr>
        <w:t xml:space="preserve">1.5 Diagramme de classes détaillé</w:t>
      </w:r>
    </w:p>
    <w:p>
      <w:pPr>
        <w:numPr>
          <w:ilvl w:val="1"/>
          <w:numId w:val="1009"/>
        </w:numPr>
        <w:pStyle w:val="Compact"/>
        <w:spacing w:line="360" w:lineRule="auto" w:after="80"/>
      </w:pPr>
      <w:r>
        <w:rPr>
          <w:rFonts w:ascii="Times New Roman" w:hAnsi="Times New Roman"/>
          <w:color w:val="000000"/>
          <w:sz w:val="24"/>
        </w:rPr>
        <w:t xml:space="preserve">1.6 Diagrammes de séquence (authentification, publication directe, consultation restreinte)</w:t>
      </w:r>
    </w:p>
    <w:p>
      <w:pPr>
        <w:numPr>
          <w:ilvl w:val="1"/>
          <w:numId w:val="1009"/>
        </w:numPr>
        <w:pStyle w:val="Compact"/>
        <w:spacing w:line="360" w:lineRule="auto" w:after="80"/>
      </w:pPr>
      <w:r>
        <w:rPr>
          <w:rFonts w:ascii="Times New Roman" w:hAnsi="Times New Roman"/>
          <w:color w:val="000000"/>
          <w:sz w:val="24"/>
        </w:rPr>
        <w:t xml:space="preserve">1.7 Maquettes et prototype d’interface</w:t>
      </w:r>
    </w:p>
    <w:p>
      <w:pPr>
        <w:numPr>
          <w:ilvl w:val="1"/>
          <w:numId w:val="1009"/>
        </w:numPr>
        <w:pStyle w:val="Compact"/>
        <w:spacing w:line="360" w:lineRule="auto" w:after="80"/>
      </w:pPr>
      <w:r>
        <w:rPr>
          <w:rFonts w:ascii="Times New Roman" w:hAnsi="Times New Roman"/>
          <w:color w:val="000000"/>
          <w:sz w:val="24"/>
        </w:rPr>
        <w:t xml:space="preserve">1.8 Acteurs et matrice des droits</w:t>
      </w:r>
    </w:p>
    <w:p>
      <w:pPr>
        <w:numPr>
          <w:ilvl w:val="0"/>
          <w:numId w:val="1008"/>
        </w:numPr>
        <w:pStyle w:val="Compact"/>
        <w:spacing w:line="360" w:lineRule="auto" w:after="80"/>
      </w:pPr>
      <w:r>
        <w:rPr>
          <w:rFonts w:ascii="Times New Roman" w:hAnsi="Times New Roman"/>
          <w:b/>
          <w:color w:val="000000"/>
          <w:sz w:val="24"/>
        </w:rPr>
        <w:t xml:space="preserve">Section 2 : Présentation et traitement des données</w:t>
      </w:r>
    </w:p>
    <w:p>
      <w:pPr>
        <w:numPr>
          <w:ilvl w:val="1"/>
          <w:numId w:val="1010"/>
        </w:numPr>
        <w:pStyle w:val="Compact"/>
        <w:spacing w:line="360" w:lineRule="auto" w:after="80"/>
      </w:pPr>
      <w:r>
        <w:rPr>
          <w:rFonts w:ascii="Times New Roman" w:hAnsi="Times New Roman"/>
          <w:color w:val="000000"/>
          <w:sz w:val="24"/>
        </w:rPr>
        <w:t xml:space="preserve">2.1 Questionnaire utilisateurs — méthodologie et résultats</w:t>
      </w:r>
    </w:p>
    <w:p>
      <w:pPr>
        <w:numPr>
          <w:ilvl w:val="1"/>
          <w:numId w:val="1010"/>
        </w:numPr>
        <w:pStyle w:val="Compact"/>
        <w:spacing w:line="360" w:lineRule="auto" w:after="80"/>
      </w:pPr>
      <w:r>
        <w:rPr>
          <w:rFonts w:ascii="Times New Roman" w:hAnsi="Times New Roman"/>
          <w:color w:val="000000"/>
          <w:sz w:val="24"/>
        </w:rPr>
        <w:t xml:space="preserve">2.2 Méthode Agile Scrum — organisation en sprints</w:t>
      </w:r>
    </w:p>
    <w:p>
      <w:pPr>
        <w:numPr>
          <w:ilvl w:val="1"/>
          <w:numId w:val="1010"/>
        </w:numPr>
        <w:pStyle w:val="Compact"/>
        <w:spacing w:line="360" w:lineRule="auto" w:after="80"/>
      </w:pPr>
      <w:r>
        <w:rPr>
          <w:rFonts w:ascii="Times New Roman" w:hAnsi="Times New Roman"/>
          <w:color w:val="000000"/>
          <w:sz w:val="24"/>
        </w:rPr>
        <w:t xml:space="preserve">2.3 Environnement de développement et de déploiement</w:t>
      </w:r>
    </w:p>
    <w:p>
      <w:pPr>
        <w:numPr>
          <w:ilvl w:val="0"/>
          <w:numId w:val="1008"/>
        </w:numPr>
        <w:pStyle w:val="Compact"/>
        <w:spacing w:line="360" w:lineRule="auto" w:after="80"/>
      </w:pPr>
      <w:r>
        <w:rPr>
          <w:rFonts w:ascii="Times New Roman" w:hAnsi="Times New Roman"/>
          <w:color w:val="000000"/>
          <w:sz w:val="24"/>
        </w:rPr>
        <w:t xml:space="preserve">Conclusion du chapitre III</w:t>
      </w:r>
    </w:p>
    <w:p>
      <w:pPr>
        <w:pStyle w:val="Heading3"/>
        <w:spacing w:line="360" w:lineRule="auto" w:after="80"/>
      </w:pPr>
      <w:bookmarkStart w:id="28" w:name="X3e6de2ace3719374dc050187162df8582748f9e"/>
      <w:r>
        <w:rPr>
          <w:rFonts w:ascii="Times New Roman" w:hAnsi="Times New Roman"/>
          <w:b/>
          <w:color w:val="000000"/>
          <w:sz w:val="24"/>
        </w:rPr>
        <w:t xml:space="preserve">CHAPITRE IV — DÉMONSTRATION DE L’APPLICATION</w:t>
      </w:r>
      <w:bookmarkEnd w:id="28"/>
    </w:p>
    <w:p>
      <w:pPr>
        <w:numPr>
          <w:ilvl w:val="0"/>
          <w:numId w:val="1011"/>
        </w:numPr>
        <w:pStyle w:val="Compact"/>
        <w:spacing w:line="360" w:lineRule="auto" w:after="80"/>
      </w:pPr>
      <w:r>
        <w:rPr>
          <w:rFonts w:ascii="Times New Roman" w:hAnsi="Times New Roman"/>
          <w:color w:val="000000"/>
          <w:sz w:val="24"/>
        </w:rPr>
        <w:t xml:space="preserve">Introduction du chapitre IV</w:t>
      </w:r>
    </w:p>
    <w:p>
      <w:pPr>
        <w:numPr>
          <w:ilvl w:val="0"/>
          <w:numId w:val="1011"/>
        </w:numPr>
        <w:pStyle w:val="Compact"/>
        <w:spacing w:line="360" w:lineRule="auto" w:after="80"/>
      </w:pPr>
      <w:r>
        <w:rPr>
          <w:rFonts w:ascii="Times New Roman" w:hAnsi="Times New Roman"/>
          <w:b/>
          <w:color w:val="000000"/>
          <w:sz w:val="24"/>
        </w:rPr>
        <w:t xml:space="preserve">Section 1 : Environnement et parcours par rôle</w:t>
      </w:r>
    </w:p>
    <w:p>
      <w:pPr>
        <w:numPr>
          <w:ilvl w:val="1"/>
          <w:numId w:val="1012"/>
        </w:numPr>
        <w:pStyle w:val="Compact"/>
        <w:spacing w:line="360" w:lineRule="auto" w:after="80"/>
      </w:pPr>
      <w:r>
        <w:rPr>
          <w:rFonts w:ascii="Times New Roman" w:hAnsi="Times New Roman"/>
          <w:color w:val="000000"/>
          <w:sz w:val="24"/>
        </w:rPr>
        <w:t xml:space="preserve">1.1 Environnement de démonstration et comptes de test</w:t>
      </w:r>
    </w:p>
    <w:p>
      <w:pPr>
        <w:numPr>
          <w:ilvl w:val="1"/>
          <w:numId w:val="1012"/>
        </w:numPr>
        <w:pStyle w:val="Compact"/>
        <w:spacing w:line="360" w:lineRule="auto" w:after="80"/>
      </w:pPr>
      <w:r>
        <w:rPr>
          <w:rFonts w:ascii="Times New Roman" w:hAnsi="Times New Roman"/>
          <w:color w:val="000000"/>
          <w:sz w:val="24"/>
        </w:rPr>
        <w:t xml:space="preserve">1.2 Parcours Administrateur</w:t>
      </w:r>
    </w:p>
    <w:p>
      <w:pPr>
        <w:numPr>
          <w:ilvl w:val="1"/>
          <w:numId w:val="1012"/>
        </w:numPr>
        <w:pStyle w:val="Compact"/>
        <w:spacing w:line="360" w:lineRule="auto" w:after="80"/>
      </w:pPr>
      <w:r>
        <w:rPr>
          <w:rFonts w:ascii="Times New Roman" w:hAnsi="Times New Roman"/>
          <w:color w:val="000000"/>
          <w:sz w:val="24"/>
        </w:rPr>
        <w:t xml:space="preserve">1.3 Parcours Délégué</w:t>
      </w:r>
    </w:p>
    <w:p>
      <w:pPr>
        <w:numPr>
          <w:ilvl w:val="1"/>
          <w:numId w:val="1012"/>
        </w:numPr>
        <w:pStyle w:val="Compact"/>
        <w:spacing w:line="360" w:lineRule="auto" w:after="80"/>
      </w:pPr>
      <w:r>
        <w:rPr>
          <w:rFonts w:ascii="Times New Roman" w:hAnsi="Times New Roman"/>
          <w:color w:val="000000"/>
          <w:sz w:val="24"/>
        </w:rPr>
        <w:t xml:space="preserve">1.4 Parcours Étudiant</w:t>
      </w:r>
    </w:p>
    <w:p>
      <w:pPr>
        <w:numPr>
          <w:ilvl w:val="0"/>
          <w:numId w:val="1011"/>
        </w:numPr>
        <w:pStyle w:val="Compact"/>
        <w:spacing w:line="360" w:lineRule="auto" w:after="80"/>
      </w:pPr>
      <w:r>
        <w:rPr>
          <w:rFonts w:ascii="Times New Roman" w:hAnsi="Times New Roman"/>
          <w:b/>
          <w:color w:val="000000"/>
          <w:sz w:val="24"/>
        </w:rPr>
        <w:t xml:space="preserve">Section 2 : Fonctions transversales et application mobile</w:t>
      </w:r>
    </w:p>
    <w:p>
      <w:pPr>
        <w:numPr>
          <w:ilvl w:val="1"/>
          <w:numId w:val="1013"/>
        </w:numPr>
        <w:pStyle w:val="Compact"/>
        <w:spacing w:line="360" w:lineRule="auto" w:after="80"/>
      </w:pPr>
      <w:r>
        <w:rPr>
          <w:rFonts w:ascii="Times New Roman" w:hAnsi="Times New Roman"/>
          <w:color w:val="000000"/>
          <w:sz w:val="24"/>
        </w:rPr>
        <w:t xml:space="preserve">2.1 Notifications (in-app, push, e-mail)</w:t>
      </w:r>
    </w:p>
    <w:p>
      <w:pPr>
        <w:numPr>
          <w:ilvl w:val="1"/>
          <w:numId w:val="1013"/>
        </w:numPr>
        <w:pStyle w:val="Compact"/>
        <w:spacing w:line="360" w:lineRule="auto" w:after="80"/>
      </w:pPr>
      <w:r>
        <w:rPr>
          <w:rFonts w:ascii="Times New Roman" w:hAnsi="Times New Roman"/>
          <w:color w:val="000000"/>
          <w:sz w:val="24"/>
        </w:rPr>
        <w:t xml:space="preserve">2.2 Double authentification (OTP) et connexion Google</w:t>
      </w:r>
    </w:p>
    <w:p>
      <w:pPr>
        <w:numPr>
          <w:ilvl w:val="1"/>
          <w:numId w:val="1013"/>
        </w:numPr>
        <w:pStyle w:val="Compact"/>
        <w:spacing w:line="360" w:lineRule="auto" w:after="80"/>
      </w:pPr>
      <w:r>
        <w:rPr>
          <w:rFonts w:ascii="Times New Roman" w:hAnsi="Times New Roman"/>
          <w:color w:val="000000"/>
          <w:sz w:val="24"/>
        </w:rPr>
        <w:t xml:space="preserve">2.3 Application mobile et consultation hors connexion</w:t>
      </w:r>
    </w:p>
    <w:p>
      <w:pPr>
        <w:numPr>
          <w:ilvl w:val="1"/>
          <w:numId w:val="1013"/>
        </w:numPr>
        <w:pStyle w:val="Compact"/>
        <w:spacing w:line="360" w:lineRule="auto" w:after="80"/>
      </w:pPr>
      <w:r>
        <w:rPr>
          <w:rFonts w:ascii="Times New Roman" w:hAnsi="Times New Roman"/>
          <w:color w:val="000000"/>
          <w:sz w:val="24"/>
        </w:rPr>
        <w:t xml:space="preserve">2.4 Évaluation des enseignants</w:t>
      </w:r>
    </w:p>
    <w:p>
      <w:pPr>
        <w:numPr>
          <w:ilvl w:val="0"/>
          <w:numId w:val="1011"/>
        </w:numPr>
        <w:pStyle w:val="Compact"/>
        <w:spacing w:line="360" w:lineRule="auto" w:after="80"/>
      </w:pPr>
      <w:r>
        <w:rPr>
          <w:rFonts w:ascii="Times New Roman" w:hAnsi="Times New Roman"/>
          <w:color w:val="000000"/>
          <w:sz w:val="24"/>
        </w:rPr>
        <w:t xml:space="preserve">Conclusion du chapitre IV</w:t>
      </w:r>
    </w:p>
    <w:p>
      <w:pPr>
        <w:pStyle w:val="Heading3"/>
        <w:spacing w:line="360" w:lineRule="auto" w:after="80"/>
      </w:pPr>
      <w:bookmarkStart w:id="29" w:name="chapitre-v-cadre-analytique"/>
      <w:r>
        <w:rPr>
          <w:rFonts w:ascii="Times New Roman" w:hAnsi="Times New Roman"/>
          <w:b/>
          <w:color w:val="000000"/>
          <w:sz w:val="24"/>
        </w:rPr>
        <w:t xml:space="preserve">CHAPITRE V — CADRE ANALYTIQUE</w:t>
      </w:r>
      <w:bookmarkEnd w:id="29"/>
    </w:p>
    <w:p>
      <w:pPr>
        <w:numPr>
          <w:ilvl w:val="0"/>
          <w:numId w:val="1014"/>
        </w:numPr>
        <w:pStyle w:val="Compact"/>
        <w:spacing w:line="360" w:lineRule="auto" w:after="80"/>
      </w:pPr>
      <w:r>
        <w:rPr>
          <w:rFonts w:ascii="Times New Roman" w:hAnsi="Times New Roman"/>
          <w:color w:val="000000"/>
          <w:sz w:val="24"/>
        </w:rPr>
        <w:t xml:space="preserve">Introduction du chapitre V</w:t>
      </w:r>
    </w:p>
    <w:p>
      <w:pPr>
        <w:numPr>
          <w:ilvl w:val="0"/>
          <w:numId w:val="1014"/>
        </w:numPr>
        <w:pStyle w:val="Compact"/>
        <w:spacing w:line="360" w:lineRule="auto" w:after="80"/>
      </w:pPr>
      <w:r>
        <w:rPr>
          <w:rFonts w:ascii="Times New Roman" w:hAnsi="Times New Roman"/>
          <w:b/>
          <w:color w:val="000000"/>
          <w:sz w:val="24"/>
        </w:rPr>
        <w:t xml:space="preserve">Section 1 : Analyse des résultats</w:t>
      </w:r>
    </w:p>
    <w:p>
      <w:pPr>
        <w:numPr>
          <w:ilvl w:val="1"/>
          <w:numId w:val="1015"/>
        </w:numPr>
        <w:pStyle w:val="Compact"/>
        <w:spacing w:line="360" w:lineRule="auto" w:after="80"/>
      </w:pPr>
      <w:r>
        <w:rPr>
          <w:rFonts w:ascii="Times New Roman" w:hAnsi="Times New Roman"/>
          <w:color w:val="000000"/>
          <w:sz w:val="24"/>
        </w:rPr>
        <w:t xml:space="preserve">1.1 Présentation des résultats — tests fonctionnels</w:t>
      </w:r>
    </w:p>
    <w:p>
      <w:pPr>
        <w:numPr>
          <w:ilvl w:val="1"/>
          <w:numId w:val="1015"/>
        </w:numPr>
        <w:pStyle w:val="Compact"/>
        <w:spacing w:line="360" w:lineRule="auto" w:after="80"/>
      </w:pPr>
      <w:r>
        <w:rPr>
          <w:rFonts w:ascii="Times New Roman" w:hAnsi="Times New Roman"/>
          <w:color w:val="000000"/>
          <w:sz w:val="24"/>
        </w:rPr>
        <w:t xml:space="preserve">1.2 Synthèse des résultats et vérification des hypothèses (H1 à H4)</w:t>
      </w:r>
    </w:p>
    <w:p>
      <w:pPr>
        <w:numPr>
          <w:ilvl w:val="0"/>
          <w:numId w:val="1014"/>
        </w:numPr>
        <w:pStyle w:val="Compact"/>
        <w:spacing w:line="360" w:lineRule="auto" w:after="80"/>
      </w:pPr>
      <w:r>
        <w:rPr>
          <w:rFonts w:ascii="Times New Roman" w:hAnsi="Times New Roman"/>
          <w:b/>
          <w:color w:val="000000"/>
          <w:sz w:val="24"/>
        </w:rPr>
        <w:t xml:space="preserve">Section 2 : Recommandations</w:t>
      </w:r>
    </w:p>
    <w:p>
      <w:pPr>
        <w:numPr>
          <w:ilvl w:val="1"/>
          <w:numId w:val="1016"/>
        </w:numPr>
        <w:pStyle w:val="Compact"/>
        <w:spacing w:line="360" w:lineRule="auto" w:after="80"/>
      </w:pPr>
      <w:r>
        <w:rPr>
          <w:rFonts w:ascii="Times New Roman" w:hAnsi="Times New Roman"/>
          <w:color w:val="000000"/>
          <w:sz w:val="24"/>
        </w:rPr>
        <w:t xml:space="preserve">2.1 Implications managériales</w:t>
      </w:r>
    </w:p>
    <w:p>
      <w:pPr>
        <w:numPr>
          <w:ilvl w:val="1"/>
          <w:numId w:val="1016"/>
        </w:numPr>
        <w:pStyle w:val="Compact"/>
        <w:spacing w:line="360" w:lineRule="auto" w:after="80"/>
      </w:pPr>
      <w:r>
        <w:rPr>
          <w:rFonts w:ascii="Times New Roman" w:hAnsi="Times New Roman"/>
          <w:color w:val="000000"/>
          <w:sz w:val="24"/>
        </w:rPr>
        <w:t xml:space="preserve">2.2 Améliorations et perspectives</w:t>
      </w:r>
    </w:p>
    <w:p>
      <w:pPr>
        <w:numPr>
          <w:ilvl w:val="0"/>
          <w:numId w:val="1014"/>
        </w:numPr>
        <w:pStyle w:val="Compact"/>
        <w:spacing w:line="360" w:lineRule="auto" w:after="80"/>
      </w:pPr>
      <w:r>
        <w:rPr>
          <w:rFonts w:ascii="Times New Roman" w:hAnsi="Times New Roman"/>
          <w:color w:val="000000"/>
          <w:sz w:val="24"/>
        </w:rPr>
        <w:t xml:space="preserve">Conclusion du chapitre V</w:t>
      </w:r>
    </w:p>
    <w:p>
      <w:pPr>
        <w:pStyle w:val="Heading2"/>
        <w:spacing w:line="360" w:lineRule="auto" w:after="80"/>
      </w:pPr>
      <w:bookmarkStart w:id="30" w:name="conclusion-générale"/>
      <w:r>
        <w:rPr>
          <w:rFonts w:ascii="Times New Roman" w:hAnsi="Times New Roman"/>
          <w:b/>
          <w:color w:val="000000"/>
          <w:sz w:val="26"/>
        </w:rPr>
        <w:t xml:space="preserve">CONCLUSION GÉNÉRALE</w:t>
      </w:r>
      <w:bookmarkEnd w:id="30"/>
    </w:p>
    <w:p>
      <w:pPr>
        <w:pStyle w:val="Heading2"/>
        <w:spacing w:line="360" w:lineRule="auto" w:after="80"/>
      </w:pPr>
      <w:bookmarkStart w:id="31" w:name="bibliographie"/>
      <w:r>
        <w:rPr>
          <w:rFonts w:ascii="Times New Roman" w:hAnsi="Times New Roman"/>
          <w:b/>
          <w:color w:val="000000"/>
          <w:sz w:val="26"/>
        </w:rPr>
        <w:t xml:space="preserve">BIBLIOGRAPHIE</w:t>
      </w:r>
      <w:bookmarkEnd w:id="31"/>
    </w:p>
    <w:p>
      <w:pPr>
        <w:pStyle w:val="Heading2"/>
        <w:spacing w:line="360" w:lineRule="auto" w:after="80"/>
      </w:pPr>
      <w:bookmarkStart w:id="32" w:name="annexes"/>
      <w:r>
        <w:rPr>
          <w:rFonts w:ascii="Times New Roman" w:hAnsi="Times New Roman"/>
          <w:b/>
          <w:color w:val="000000"/>
          <w:sz w:val="26"/>
        </w:rPr>
        <w:t xml:space="preserve">ANNEXES</w:t>
      </w:r>
      <w:bookmarkEnd w:id="32"/>
    </w:p>
    <w:p>
      <w:pPr>
        <w:pStyle w:val="Heading2"/>
        <w:spacing w:line="360" w:lineRule="auto" w:after="80"/>
      </w:pPr>
      <w:bookmarkStart w:id="33" w:name="table-des-matières"/>
      <w:r>
        <w:rPr>
          <w:rFonts w:ascii="Times New Roman" w:hAnsi="Times New Roman"/>
          <w:b/>
          <w:color w:val="000000"/>
          <w:sz w:val="26"/>
        </w:rPr>
        <w:t xml:space="preserve">TABLE DES MATIÈRES</w:t>
      </w:r>
      <w:bookmarkEnd w:id="33"/>
    </w:p>
    <w:sectPr>
      <w:pgSz w:w="11906" w:h="16838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/>
      <w:sz w:val="24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2026-07-14T01:55:31Z</dcterms:created>
  <dcterms:modified xsi:type="dcterms:W3CDTF">2026-07-14T01:55:31Z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