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62673" w14:textId="77777777" w:rsidR="005F1862" w:rsidRPr="00E35623" w:rsidRDefault="005F1862" w:rsidP="005F1862">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59264" behindDoc="1" locked="0" layoutInCell="1" allowOverlap="1" wp14:anchorId="1BEF9DEA" wp14:editId="5289E274">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5D3DD707" w14:textId="77777777" w:rsidR="005F1862" w:rsidRPr="00E35623" w:rsidRDefault="005F1862" w:rsidP="005F1862">
      <w:pPr>
        <w:tabs>
          <w:tab w:val="left" w:pos="3918"/>
        </w:tabs>
        <w:spacing w:after="240"/>
        <w:jc w:val="center"/>
        <w:rPr>
          <w:rFonts w:cstheme="minorHAnsi"/>
        </w:rPr>
      </w:pPr>
    </w:p>
    <w:p w14:paraId="286F0BCC" w14:textId="77777777" w:rsidR="005F1862" w:rsidRPr="00E35623" w:rsidRDefault="005F1862" w:rsidP="005F1862">
      <w:pPr>
        <w:tabs>
          <w:tab w:val="left" w:pos="5103"/>
        </w:tabs>
        <w:spacing w:after="240"/>
        <w:rPr>
          <w:rFonts w:cstheme="minorHAnsi"/>
        </w:rPr>
      </w:pPr>
      <w:r w:rsidRPr="00E35623">
        <w:rPr>
          <w:rFonts w:cstheme="minorHAnsi"/>
        </w:rPr>
        <w:tab/>
      </w:r>
    </w:p>
    <w:p w14:paraId="47246C4C" w14:textId="77777777" w:rsidR="005F1862" w:rsidRPr="00E35623" w:rsidRDefault="005F1862" w:rsidP="005F1862">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5B5B7B9F" w14:textId="77777777" w:rsidR="005F1862" w:rsidRPr="00E35623" w:rsidRDefault="005F1862" w:rsidP="005F1862">
      <w:pPr>
        <w:tabs>
          <w:tab w:val="left" w:pos="2344"/>
          <w:tab w:val="left" w:pos="7513"/>
        </w:tabs>
        <w:spacing w:after="240"/>
        <w:jc w:val="center"/>
        <w:rPr>
          <w:b/>
        </w:rPr>
      </w:pPr>
      <w:r w:rsidRPr="00E35623">
        <w:rPr>
          <w:b/>
        </w:rPr>
        <w:t>MINISTERE DE L’ENSEIGNEMENT SUPERIEUR, DE LA RECHERCHE</w:t>
      </w:r>
    </w:p>
    <w:p w14:paraId="5FA25EB2" w14:textId="77777777" w:rsidR="005F1862" w:rsidRPr="00E35623" w:rsidRDefault="005F1862" w:rsidP="005F1862">
      <w:pPr>
        <w:tabs>
          <w:tab w:val="left" w:pos="2344"/>
          <w:tab w:val="left" w:pos="7513"/>
        </w:tabs>
        <w:spacing w:after="240"/>
        <w:jc w:val="center"/>
        <w:rPr>
          <w:b/>
        </w:rPr>
      </w:pPr>
      <w:r w:rsidRPr="00E35623">
        <w:rPr>
          <w:b/>
        </w:rPr>
        <w:t xml:space="preserve">ET DE L’INNOVATION         </w:t>
      </w:r>
    </w:p>
    <w:p w14:paraId="7317CDFE" w14:textId="77777777" w:rsidR="005F1862" w:rsidRPr="00E35623" w:rsidRDefault="005F1862" w:rsidP="005F1862">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734688B9" w14:textId="77777777" w:rsidR="005F1862" w:rsidRPr="00E35623" w:rsidRDefault="005F1862" w:rsidP="005F1862">
      <w:pPr>
        <w:tabs>
          <w:tab w:val="left" w:pos="4019"/>
        </w:tabs>
        <w:spacing w:after="240"/>
        <w:jc w:val="center"/>
        <w:rPr>
          <w:b/>
        </w:rPr>
      </w:pPr>
      <w:r w:rsidRPr="00E35623">
        <w:rPr>
          <w:b/>
        </w:rPr>
        <w:t>DIRECTION GENERALE D</w:t>
      </w:r>
      <w:r>
        <w:rPr>
          <w:b/>
        </w:rPr>
        <w:t>E L’ENSEIGNEMENT SUPERIEUR</w:t>
      </w:r>
    </w:p>
    <w:p w14:paraId="73F8205C" w14:textId="77777777" w:rsidR="005F1862" w:rsidRPr="00296CC7" w:rsidRDefault="005F1862" w:rsidP="005F1862">
      <w:pPr>
        <w:tabs>
          <w:tab w:val="left" w:pos="2580"/>
        </w:tabs>
        <w:spacing w:after="240"/>
        <w:jc w:val="center"/>
        <w:rPr>
          <w:rFonts w:cstheme="minorHAnsi"/>
        </w:rPr>
      </w:pPr>
      <w:r w:rsidRPr="000E463A">
        <w:rPr>
          <w:noProof/>
          <w:sz w:val="28"/>
          <w:szCs w:val="28"/>
          <w:lang w:eastAsia="fr-FR"/>
        </w:rPr>
        <w:drawing>
          <wp:inline distT="0" distB="0" distL="0" distR="0" wp14:anchorId="0EC15F89" wp14:editId="2B7ACF68">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10FE4CB4" w14:textId="77777777" w:rsidR="005F1862" w:rsidRPr="00E35623" w:rsidRDefault="005F1862" w:rsidP="005F1862">
      <w:pPr>
        <w:jc w:val="center"/>
        <w:rPr>
          <w:b/>
          <w:noProof/>
          <w:lang w:eastAsia="fr-FR"/>
        </w:rPr>
      </w:pPr>
      <w:r w:rsidRPr="00E35623">
        <w:rPr>
          <w:b/>
          <w:noProof/>
          <w:lang w:eastAsia="fr-FR"/>
        </w:rPr>
        <w:t>Agrément/Habilitation n°</w:t>
      </w:r>
      <w:r>
        <w:rPr>
          <w:b/>
          <w:noProof/>
          <w:lang w:eastAsia="fr-FR"/>
        </w:rPr>
        <w:t>004253/MEN/DES</w:t>
      </w:r>
    </w:p>
    <w:p w14:paraId="06D162CC" w14:textId="77777777" w:rsidR="005F1862" w:rsidRDefault="005F1862" w:rsidP="005F1862">
      <w:pPr>
        <w:spacing w:after="0"/>
        <w:jc w:val="center"/>
        <w:rPr>
          <w:b/>
          <w:sz w:val="28"/>
          <w:szCs w:val="28"/>
        </w:rPr>
      </w:pPr>
    </w:p>
    <w:p w14:paraId="29C7D193" w14:textId="77777777" w:rsidR="005F1862" w:rsidRPr="00296CC7" w:rsidRDefault="005F1862" w:rsidP="005F1862">
      <w:pPr>
        <w:spacing w:after="0"/>
        <w:jc w:val="center"/>
        <w:rPr>
          <w:b/>
          <w:sz w:val="28"/>
          <w:szCs w:val="28"/>
        </w:rPr>
      </w:pPr>
      <w:r w:rsidRPr="00296CC7">
        <w:rPr>
          <w:b/>
          <w:sz w:val="28"/>
          <w:szCs w:val="28"/>
        </w:rPr>
        <w:t xml:space="preserve">MEMOIRE DE FIN DE </w:t>
      </w:r>
      <w:r>
        <w:rPr>
          <w:b/>
          <w:sz w:val="28"/>
          <w:szCs w:val="28"/>
        </w:rPr>
        <w:t>CYCLE</w:t>
      </w:r>
    </w:p>
    <w:p w14:paraId="71BFC758" w14:textId="77777777" w:rsidR="005F1862" w:rsidRPr="00213C95" w:rsidRDefault="005F1862" w:rsidP="005F1862">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654F7E17" w14:textId="77777777" w:rsidR="005F1862" w:rsidRDefault="005F1862" w:rsidP="005F1862">
      <w:pPr>
        <w:spacing w:after="0"/>
        <w:jc w:val="center"/>
        <w:rPr>
          <w:b/>
          <w:sz w:val="32"/>
          <w:szCs w:val="32"/>
        </w:rPr>
      </w:pPr>
      <w:r>
        <w:rPr>
          <w:b/>
          <w:sz w:val="32"/>
          <w:szCs w:val="32"/>
        </w:rPr>
        <w:t>Paul Daryll BONGUE NDOUNGOU</w:t>
      </w:r>
    </w:p>
    <w:p w14:paraId="35A533C3" w14:textId="77777777" w:rsidR="005F1862" w:rsidRPr="008E47E4" w:rsidRDefault="005F1862" w:rsidP="005F1862">
      <w:pPr>
        <w:spacing w:after="0"/>
        <w:jc w:val="center"/>
        <w:rPr>
          <w:b/>
          <w:sz w:val="32"/>
          <w:szCs w:val="32"/>
        </w:rPr>
      </w:pPr>
    </w:p>
    <w:p w14:paraId="1DBF9FE6" w14:textId="77777777" w:rsidR="005F1862" w:rsidRPr="00355700" w:rsidRDefault="005F1862" w:rsidP="005F1862">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5B660F26" w14:textId="77777777" w:rsidR="005F1862" w:rsidRPr="00D152D8" w:rsidRDefault="005F1862" w:rsidP="005F1862">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7560016A" w14:textId="77777777" w:rsidR="005F1862" w:rsidRPr="00E35623" w:rsidRDefault="005F1862" w:rsidP="005F1862">
      <w:pPr>
        <w:jc w:val="center"/>
        <w:rPr>
          <w:b/>
          <w:sz w:val="28"/>
          <w:szCs w:val="28"/>
        </w:rPr>
      </w:pPr>
      <w:r>
        <w:rPr>
          <w:noProof/>
        </w:rPr>
        <w:pict w14:anchorId="1769A1D2">
          <v:roundrect id="Rectangle à coins arrondis 16" o:spid="_x0000_s1028" style="position:absolute;left:0;text-align:left;margin-left:.85pt;margin-top:25.65pt;width:471pt;height:94.5pt;z-index:251660288;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07F0BB86" w14:textId="77777777" w:rsidR="005F1862" w:rsidRPr="006968D8" w:rsidRDefault="005F1862" w:rsidP="005F1862">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r w:rsidRPr="006968D8">
                    <w:rPr>
                      <w:b/>
                      <w:bCs/>
                      <w:sz w:val="36"/>
                      <w:szCs w:val="36"/>
                    </w:rPr>
                    <w:t>Pédagogiques</w:t>
                  </w:r>
                  <w:proofErr w:type="spellEnd"/>
                  <w:r>
                    <w:rPr>
                      <w:b/>
                      <w:bCs/>
                      <w:sz w:val="36"/>
                      <w:szCs w:val="36"/>
                    </w:rPr>
                    <w:t> :</w:t>
                  </w:r>
                </w:p>
                <w:p w14:paraId="3956A7F2" w14:textId="77777777" w:rsidR="005F1862" w:rsidRPr="006968D8" w:rsidRDefault="005F1862" w:rsidP="005F1862">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4C75C575" w14:textId="77777777" w:rsidR="005F1862" w:rsidRPr="000D572B" w:rsidRDefault="005F1862" w:rsidP="005F1862">
                  <w:pPr>
                    <w:jc w:val="center"/>
                    <w:rPr>
                      <w:b/>
                      <w:sz w:val="36"/>
                      <w:szCs w:val="36"/>
                    </w:rPr>
                  </w:pPr>
                  <w:r w:rsidRPr="000D572B">
                    <w:rPr>
                      <w:b/>
                      <w:sz w:val="36"/>
                      <w:szCs w:val="36"/>
                    </w:rPr>
                    <w:t>……………………………………………………………………</w:t>
                  </w:r>
                </w:p>
                <w:p w14:paraId="5D24EB79" w14:textId="77777777" w:rsidR="005F1862" w:rsidRPr="000D572B" w:rsidRDefault="005F1862" w:rsidP="005F1862">
                  <w:pPr>
                    <w:jc w:val="center"/>
                    <w:rPr>
                      <w:b/>
                      <w:sz w:val="36"/>
                      <w:szCs w:val="36"/>
                    </w:rPr>
                  </w:pPr>
                </w:p>
              </w:txbxContent>
            </v:textbox>
          </v:roundrect>
        </w:pict>
      </w:r>
      <w:r w:rsidRPr="00E35623">
        <w:rPr>
          <w:b/>
          <w:sz w:val="28"/>
          <w:szCs w:val="28"/>
        </w:rPr>
        <w:t>SUJET:</w:t>
      </w:r>
    </w:p>
    <w:p w14:paraId="7F232CD3" w14:textId="77777777" w:rsidR="005F1862" w:rsidRDefault="005F1862" w:rsidP="005F1862">
      <w:pPr>
        <w:jc w:val="center"/>
      </w:pPr>
    </w:p>
    <w:p w14:paraId="037B9B75" w14:textId="77777777" w:rsidR="005F1862" w:rsidRDefault="005F1862" w:rsidP="005F1862"/>
    <w:p w14:paraId="38079446" w14:textId="77777777" w:rsidR="005F1862" w:rsidRPr="00E35623" w:rsidRDefault="005F1862" w:rsidP="005F1862">
      <w:pPr>
        <w:spacing w:after="0"/>
        <w:rPr>
          <w:b/>
        </w:rPr>
      </w:pPr>
    </w:p>
    <w:p w14:paraId="15D000D2" w14:textId="77777777" w:rsidR="005F1862" w:rsidRDefault="005F1862" w:rsidP="005F1862">
      <w:pPr>
        <w:tabs>
          <w:tab w:val="left" w:pos="6631"/>
        </w:tabs>
        <w:spacing w:after="240"/>
        <w:jc w:val="center"/>
        <w:rPr>
          <w:b/>
        </w:rPr>
      </w:pPr>
      <w:r>
        <w:rPr>
          <w:b/>
        </w:rPr>
        <w:t xml:space="preserve"> </w:t>
      </w:r>
    </w:p>
    <w:p w14:paraId="67BC4563" w14:textId="77777777" w:rsidR="005F1862" w:rsidRDefault="005F1862" w:rsidP="005F1862">
      <w:pPr>
        <w:tabs>
          <w:tab w:val="left" w:pos="6631"/>
        </w:tabs>
        <w:spacing w:after="240"/>
        <w:jc w:val="center"/>
        <w:rPr>
          <w:b/>
        </w:rPr>
      </w:pPr>
    </w:p>
    <w:p w14:paraId="3CBEE3A5" w14:textId="7C2B2008" w:rsidR="005F1862" w:rsidRPr="004B3579" w:rsidRDefault="005F1862" w:rsidP="005F1862">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direction de:</w:t>
      </w:r>
    </w:p>
    <w:p w14:paraId="02301460" w14:textId="77777777" w:rsidR="005F1862" w:rsidRDefault="005F1862" w:rsidP="005F1862">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098A5BC7" w14:textId="77777777" w:rsidR="005F1862" w:rsidRPr="00E358A5" w:rsidRDefault="005F1862" w:rsidP="005F1862">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4A71B9C6">
          <v:rect id="Rectangle 3" o:spid="_x0000_s1029" style="position:absolute;left:0;text-align:left;margin-left:163.15pt;margin-top:47.6pt;width:116.25pt;height:2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6C6A7638" w14:textId="77777777" w:rsidR="005F1862" w:rsidRDefault="005F1862" w:rsidP="005F1862">
                  <w:pPr>
                    <w:jc w:val="center"/>
                  </w:pPr>
                  <w:r w:rsidRPr="004D415F">
                    <w:rPr>
                      <w:b/>
                      <w:szCs w:val="32"/>
                    </w:rPr>
                    <w:t>Année 20</w:t>
                  </w:r>
                  <w:r>
                    <w:rPr>
                      <w:b/>
                      <w:szCs w:val="32"/>
                    </w:rPr>
                    <w:t>25</w:t>
                  </w:r>
                  <w:r w:rsidRPr="004D415F">
                    <w:rPr>
                      <w:b/>
                      <w:szCs w:val="32"/>
                    </w:rPr>
                    <w:t>-20</w:t>
                  </w:r>
                  <w:r>
                    <w:rPr>
                      <w:b/>
                      <w:szCs w:val="32"/>
                    </w:rPr>
                    <w:t>26</w:t>
                  </w:r>
                </w:p>
              </w:txbxContent>
            </v:textbox>
          </v:rect>
        </w:pict>
      </w:r>
    </w:p>
    <w:p w14:paraId="7985AAA7" w14:textId="77777777" w:rsidR="00B00DB4" w:rsidRDefault="00000000">
      <w:pPr>
        <w:pageBreakBefore/>
        <w:spacing w:after="240" w:line="276" w:lineRule="auto"/>
        <w:jc w:val="center"/>
      </w:pPr>
      <w:r>
        <w:rPr>
          <w:b/>
          <w:color w:val="000000"/>
          <w:sz w:val="28"/>
        </w:rPr>
        <w:lastRenderedPageBreak/>
        <w:t>AVANT-PROPOS</w:t>
      </w:r>
      <w:bookmarkEnd w:id="0"/>
    </w:p>
    <w:p w14:paraId="13AEEEEF" w14:textId="77777777" w:rsidR="0073280B" w:rsidRDefault="0073280B" w:rsidP="0073280B">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39110371" w14:textId="77777777" w:rsidR="0073280B" w:rsidRDefault="0073280B" w:rsidP="0073280B">
      <w:pPr>
        <w:pStyle w:val="Paragraphedeliste"/>
        <w:numPr>
          <w:ilvl w:val="0"/>
          <w:numId w:val="5"/>
        </w:numPr>
        <w:jc w:val="both"/>
        <w:rPr>
          <w:lang w:val="fr-FR"/>
        </w:rPr>
      </w:pPr>
      <w:r w:rsidRPr="00A948CE">
        <w:rPr>
          <w:lang w:val="fr-FR"/>
        </w:rPr>
        <w:t>BAF (Banque Assurance Finance) ;</w:t>
      </w:r>
    </w:p>
    <w:p w14:paraId="5CBDDDDE" w14:textId="77777777" w:rsidR="0073280B" w:rsidRDefault="0073280B" w:rsidP="0073280B">
      <w:pPr>
        <w:pStyle w:val="Paragraphedeliste"/>
        <w:numPr>
          <w:ilvl w:val="0"/>
          <w:numId w:val="5"/>
        </w:numPr>
        <w:jc w:val="both"/>
        <w:rPr>
          <w:lang w:val="fr-FR"/>
        </w:rPr>
      </w:pPr>
      <w:r w:rsidRPr="00A948CE">
        <w:rPr>
          <w:lang w:val="fr-FR"/>
        </w:rPr>
        <w:t>GSE (Gestion et Stratégie d’Entreprise) ;</w:t>
      </w:r>
    </w:p>
    <w:p w14:paraId="7AF562FD" w14:textId="77777777" w:rsidR="0073280B" w:rsidRDefault="0073280B" w:rsidP="0073280B">
      <w:pPr>
        <w:pStyle w:val="Paragraphedeliste"/>
        <w:numPr>
          <w:ilvl w:val="0"/>
          <w:numId w:val="5"/>
        </w:numPr>
        <w:jc w:val="both"/>
        <w:rPr>
          <w:lang w:val="fr-FR"/>
        </w:rPr>
      </w:pPr>
      <w:r w:rsidRPr="00A948CE">
        <w:rPr>
          <w:lang w:val="fr-FR"/>
        </w:rPr>
        <w:t>GRH (Gestion des Ressources Humaines) ;</w:t>
      </w:r>
    </w:p>
    <w:p w14:paraId="32E37FD8" w14:textId="77777777" w:rsidR="0073280B" w:rsidRDefault="0073280B" w:rsidP="0073280B">
      <w:pPr>
        <w:pStyle w:val="Paragraphedeliste"/>
        <w:numPr>
          <w:ilvl w:val="0"/>
          <w:numId w:val="5"/>
        </w:numPr>
        <w:jc w:val="both"/>
        <w:rPr>
          <w:lang w:val="fr-FR"/>
        </w:rPr>
      </w:pPr>
      <w:r w:rsidRPr="00A948CE">
        <w:rPr>
          <w:lang w:val="fr-FR"/>
        </w:rPr>
        <w:t>IR (Informatique et Réseau) ;</w:t>
      </w:r>
    </w:p>
    <w:p w14:paraId="5CAC45BA" w14:textId="77777777" w:rsidR="0073280B" w:rsidRDefault="0073280B" w:rsidP="0073280B">
      <w:pPr>
        <w:pStyle w:val="Paragraphedeliste"/>
        <w:numPr>
          <w:ilvl w:val="0"/>
          <w:numId w:val="5"/>
        </w:numPr>
        <w:jc w:val="both"/>
        <w:rPr>
          <w:lang w:val="fr-FR"/>
        </w:rPr>
      </w:pPr>
      <w:r w:rsidRPr="00A948CE">
        <w:rPr>
          <w:lang w:val="fr-FR"/>
        </w:rPr>
        <w:t>MJF (Management Juridique et Fiscal) ;</w:t>
      </w:r>
    </w:p>
    <w:p w14:paraId="57FBDC9E" w14:textId="77777777" w:rsidR="0073280B" w:rsidRDefault="0073280B" w:rsidP="0073280B">
      <w:pPr>
        <w:pStyle w:val="Paragraphedeliste"/>
        <w:numPr>
          <w:ilvl w:val="0"/>
          <w:numId w:val="5"/>
        </w:numPr>
        <w:jc w:val="both"/>
        <w:rPr>
          <w:lang w:val="fr-FR"/>
        </w:rPr>
      </w:pPr>
      <w:r w:rsidRPr="00A948CE">
        <w:rPr>
          <w:lang w:val="fr-FR"/>
        </w:rPr>
        <w:t>MMC (Management Markéting et Communication) ;</w:t>
      </w:r>
    </w:p>
    <w:p w14:paraId="744B7063" w14:textId="77777777" w:rsidR="0073280B" w:rsidRDefault="0073280B" w:rsidP="0073280B">
      <w:pPr>
        <w:pStyle w:val="Paragraphedeliste"/>
        <w:numPr>
          <w:ilvl w:val="0"/>
          <w:numId w:val="5"/>
        </w:numPr>
        <w:jc w:val="both"/>
        <w:rPr>
          <w:lang w:val="fr-FR"/>
        </w:rPr>
      </w:pPr>
      <w:r w:rsidRPr="00A948CE">
        <w:rPr>
          <w:lang w:val="fr-FR"/>
        </w:rPr>
        <w:t>MAI (Management des Affaires Internationales) ;</w:t>
      </w:r>
    </w:p>
    <w:p w14:paraId="0D2381C0" w14:textId="77777777" w:rsidR="0073280B" w:rsidRPr="00A948CE" w:rsidRDefault="0073280B" w:rsidP="0073280B">
      <w:pPr>
        <w:pStyle w:val="Paragraphedeliste"/>
        <w:numPr>
          <w:ilvl w:val="0"/>
          <w:numId w:val="5"/>
        </w:numPr>
        <w:jc w:val="both"/>
        <w:rPr>
          <w:lang w:val="fr-FR"/>
        </w:rPr>
      </w:pPr>
      <w:r w:rsidRPr="00A948CE">
        <w:rPr>
          <w:lang w:val="fr-FR"/>
        </w:rPr>
        <w:t>GL (Génie Logistique).</w:t>
      </w:r>
    </w:p>
    <w:p w14:paraId="0B3D0600" w14:textId="77777777" w:rsidR="00B00DB4" w:rsidRDefault="00000000">
      <w:pPr>
        <w:pageBreakBefore/>
        <w:spacing w:after="240" w:line="276" w:lineRule="auto"/>
        <w:jc w:val="center"/>
      </w:pPr>
      <w:r>
        <w:rPr>
          <w:b/>
          <w:color w:val="000000"/>
          <w:sz w:val="28"/>
        </w:rPr>
        <w:t>DÉDICACE</w:t>
      </w:r>
      <w:bookmarkEnd w:id="2"/>
    </w:p>
    <w:p w14:paraId="17DC6504" w14:textId="77777777" w:rsidR="0073280B" w:rsidRDefault="0073280B" w:rsidP="0073280B">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7D1C0B90" w14:textId="77777777" w:rsidR="0073280B" w:rsidRDefault="0073280B" w:rsidP="0073280B">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pour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37F48D99" w14:textId="77777777" w:rsidR="0073280B" w:rsidRPr="001E35F0" w:rsidRDefault="0073280B" w:rsidP="0073280B">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2D7A61EA" w14:textId="77777777" w:rsidR="00B00DB4" w:rsidRDefault="00000000">
      <w:pPr>
        <w:pageBreakBefore/>
        <w:spacing w:after="240" w:line="276" w:lineRule="auto"/>
        <w:jc w:val="center"/>
      </w:pPr>
      <w:r>
        <w:rPr>
          <w:b/>
          <w:color w:val="000000"/>
          <w:sz w:val="28"/>
        </w:rPr>
        <w:t>REMERCIEMENTS</w:t>
      </w:r>
      <w:bookmarkEnd w:id="3"/>
    </w:p>
    <w:p w14:paraId="5D298DF1" w14:textId="77777777" w:rsidR="0073280B" w:rsidRDefault="0073280B" w:rsidP="0073280B">
      <w:pPr>
        <w:pStyle w:val="Corpsdetexte"/>
        <w:spacing w:after="120" w:line="360" w:lineRule="auto"/>
        <w:jc w:val="both"/>
      </w:pPr>
      <w:bookmarkStart w:id="4" w:name="résumé"/>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xml:space="preserve">, Monsieur Bamba Lo Ahmadou (AFI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pour </w:t>
      </w:r>
      <w:proofErr w:type="spellStart"/>
      <w:r>
        <w:rPr>
          <w:color w:val="000000"/>
        </w:rPr>
        <w:t>sa</w:t>
      </w:r>
      <w:proofErr w:type="spellEnd"/>
      <w:r>
        <w:rPr>
          <w:color w:val="000000"/>
        </w:rPr>
        <w:t xml:space="preserve"> </w:t>
      </w:r>
      <w:proofErr w:type="spellStart"/>
      <w:r>
        <w:rPr>
          <w:color w:val="000000"/>
        </w:rPr>
        <w:t>disponibilité</w:t>
      </w:r>
      <w:proofErr w:type="spellEnd"/>
      <w:r>
        <w:rPr>
          <w:color w:val="000000"/>
        </w:rPr>
        <w:t xml:space="preserve">, son </w:t>
      </w:r>
      <w:proofErr w:type="spellStart"/>
      <w:r>
        <w:rPr>
          <w:color w:val="000000"/>
        </w:rPr>
        <w:t>accompagnement</w:t>
      </w:r>
      <w:proofErr w:type="spellEnd"/>
      <w:r>
        <w:rPr>
          <w:color w:val="000000"/>
        </w:rPr>
        <w:t xml:space="preserve"> de </w:t>
      </w:r>
      <w:proofErr w:type="spellStart"/>
      <w:r>
        <w:rPr>
          <w:color w:val="000000"/>
        </w:rPr>
        <w:t>proximité</w:t>
      </w:r>
      <w:proofErr w:type="spellEnd"/>
      <w:r>
        <w:rPr>
          <w:color w:val="000000"/>
        </w:rPr>
        <w:t xml:space="preserve"> et </w:t>
      </w:r>
      <w:proofErr w:type="spellStart"/>
      <w:r>
        <w:rPr>
          <w:color w:val="000000"/>
        </w:rPr>
        <w:t>ses</w:t>
      </w:r>
      <w:proofErr w:type="spellEnd"/>
      <w:r>
        <w:rPr>
          <w:color w:val="000000"/>
        </w:rPr>
        <w:t xml:space="preserve"> orientations précieuses sur les aspects métier et </w:t>
      </w:r>
      <w:proofErr w:type="spellStart"/>
      <w:r>
        <w:rPr>
          <w:color w:val="000000"/>
        </w:rPr>
        <w:t>institutionnels</w:t>
      </w:r>
      <w:proofErr w:type="spellEnd"/>
      <w:r>
        <w:rPr>
          <w:color w:val="000000"/>
        </w:rPr>
        <w:t xml:space="preserve"> du </w:t>
      </w:r>
      <w:proofErr w:type="spellStart"/>
      <w:r>
        <w:rPr>
          <w:color w:val="000000"/>
        </w:rPr>
        <w:t>projet</w:t>
      </w:r>
      <w:proofErr w:type="spellEnd"/>
      <w:r>
        <w:rPr>
          <w:color w:val="000000"/>
        </w:rPr>
        <w:t>.</w:t>
      </w:r>
    </w:p>
    <w:p w14:paraId="1E3747C5" w14:textId="77777777" w:rsidR="0073280B" w:rsidRDefault="0073280B" w:rsidP="0073280B">
      <w:pPr>
        <w:pStyle w:val="Corpsdetexte"/>
        <w:spacing w:after="120" w:line="360" w:lineRule="auto"/>
        <w:jc w:val="both"/>
      </w:pPr>
      <w:r>
        <w:rPr>
          <w:color w:val="000000"/>
        </w:rPr>
        <w:t xml:space="preserve">Ma reconnaissance </w:t>
      </w:r>
      <w:proofErr w:type="spellStart"/>
      <w:r>
        <w:rPr>
          <w:color w:val="000000"/>
        </w:rPr>
        <w:t>s’adresse</w:t>
      </w:r>
      <w:proofErr w:type="spellEnd"/>
      <w:r>
        <w:rPr>
          <w:color w:val="000000"/>
        </w:rPr>
        <w:t xml:space="preserve"> </w:t>
      </w:r>
      <w:proofErr w:type="spellStart"/>
      <w:r>
        <w:rPr>
          <w:color w:val="000000"/>
        </w:rPr>
        <w:t>aussi</w:t>
      </w:r>
      <w:proofErr w:type="spellEnd"/>
      <w:r>
        <w:rPr>
          <w:color w:val="000000"/>
        </w:rPr>
        <w:t xml:space="preserve"> à </w:t>
      </w:r>
      <w:proofErr w:type="spellStart"/>
      <w:r>
        <w:rPr>
          <w:color w:val="000000"/>
        </w:rPr>
        <w:t>l’ensemble</w:t>
      </w:r>
      <w:proofErr w:type="spellEnd"/>
      <w:r>
        <w:rPr>
          <w:color w:val="000000"/>
        </w:rPr>
        <w:t xml:space="preserve"> du corps </w:t>
      </w:r>
      <w:proofErr w:type="spellStart"/>
      <w:r>
        <w:rPr>
          <w:color w:val="000000"/>
        </w:rPr>
        <w:t>enseignant</w:t>
      </w:r>
      <w:proofErr w:type="spellEnd"/>
      <w:r>
        <w:rPr>
          <w:color w:val="000000"/>
        </w:rPr>
        <w:t xml:space="preserve"> et </w:t>
      </w:r>
      <w:proofErr w:type="spellStart"/>
      <w:r>
        <w:rPr>
          <w:color w:val="000000"/>
        </w:rPr>
        <w:t>administratif</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ainsi</w:t>
      </w:r>
      <w:proofErr w:type="spellEnd"/>
      <w:r>
        <w:rPr>
          <w:color w:val="000000"/>
        </w:rPr>
        <w:t xml:space="preserve"> </w:t>
      </w:r>
      <w:proofErr w:type="spellStart"/>
      <w:r>
        <w:rPr>
          <w:color w:val="000000"/>
        </w:rPr>
        <w:t>qu’aux</w:t>
      </w:r>
      <w:proofErr w:type="spellEnd"/>
      <w:r>
        <w:rPr>
          <w:color w:val="000000"/>
        </w:rPr>
        <w:t xml:space="preserve"> </w:t>
      </w:r>
      <w:proofErr w:type="spellStart"/>
      <w:r>
        <w:rPr>
          <w:color w:val="000000"/>
        </w:rPr>
        <w:t>étudiants</w:t>
      </w:r>
      <w:proofErr w:type="spellEnd"/>
      <w:r>
        <w:rPr>
          <w:color w:val="000000"/>
        </w:rPr>
        <w:t xml:space="preserve">, </w:t>
      </w:r>
      <w:proofErr w:type="spellStart"/>
      <w:r>
        <w:rPr>
          <w:color w:val="000000"/>
        </w:rPr>
        <w:t>délégués</w:t>
      </w:r>
      <w:proofErr w:type="spellEnd"/>
      <w:r>
        <w:rPr>
          <w:color w:val="000000"/>
        </w:rPr>
        <w:t xml:space="preserve"> de promotion et </w:t>
      </w:r>
      <w:proofErr w:type="spellStart"/>
      <w:r>
        <w:rPr>
          <w:color w:val="000000"/>
        </w:rPr>
        <w:t>responsables</w:t>
      </w:r>
      <w:proofErr w:type="spellEnd"/>
      <w:r>
        <w:rPr>
          <w:color w:val="000000"/>
        </w:rPr>
        <w:t xml:space="preserve"> </w:t>
      </w:r>
      <w:proofErr w:type="spellStart"/>
      <w:r>
        <w:rPr>
          <w:color w:val="000000"/>
        </w:rPr>
        <w:t>administratifs</w:t>
      </w:r>
      <w:proofErr w:type="spellEnd"/>
      <w:r>
        <w:rPr>
          <w:color w:val="000000"/>
        </w:rPr>
        <w:t xml:space="preserve"> qui </w:t>
      </w:r>
      <w:proofErr w:type="spellStart"/>
      <w:r>
        <w:rPr>
          <w:color w:val="000000"/>
        </w:rPr>
        <w:t>ont</w:t>
      </w:r>
      <w:proofErr w:type="spellEnd"/>
      <w:r>
        <w:rPr>
          <w:color w:val="000000"/>
        </w:rPr>
        <w:t xml:space="preserve"> </w:t>
      </w:r>
      <w:proofErr w:type="spellStart"/>
      <w:r>
        <w:rPr>
          <w:color w:val="000000"/>
        </w:rPr>
        <w:t>accepté</w:t>
      </w:r>
      <w:proofErr w:type="spellEnd"/>
      <w:r>
        <w:rPr>
          <w:color w:val="000000"/>
        </w:rPr>
        <w:t xml:space="preserve"> de </w:t>
      </w:r>
      <w:proofErr w:type="spellStart"/>
      <w:r>
        <w:rPr>
          <w:color w:val="000000"/>
        </w:rPr>
        <w:t>répondre</w:t>
      </w:r>
      <w:proofErr w:type="spellEnd"/>
      <w:r>
        <w:rPr>
          <w:color w:val="000000"/>
        </w:rPr>
        <w:t xml:space="preserve"> au questionnaire et de tester la </w:t>
      </w:r>
      <w:proofErr w:type="spellStart"/>
      <w:r>
        <w:rPr>
          <w:color w:val="000000"/>
        </w:rPr>
        <w:t>plateforme</w:t>
      </w:r>
      <w:proofErr w:type="spellEnd"/>
      <w:r>
        <w:rPr>
          <w:color w:val="000000"/>
        </w:rPr>
        <w:t xml:space="preserve">. </w:t>
      </w:r>
      <w:proofErr w:type="spellStart"/>
      <w:r>
        <w:rPr>
          <w:color w:val="000000"/>
        </w:rPr>
        <w:t>Leurs</w:t>
      </w:r>
      <w:proofErr w:type="spellEnd"/>
      <w:r>
        <w:rPr>
          <w:color w:val="000000"/>
        </w:rPr>
        <w:t xml:space="preserve"> retours </w:t>
      </w:r>
      <w:proofErr w:type="spellStart"/>
      <w:r>
        <w:rPr>
          <w:color w:val="000000"/>
        </w:rPr>
        <w:t>ont</w:t>
      </w:r>
      <w:proofErr w:type="spellEnd"/>
      <w:r>
        <w:rPr>
          <w:color w:val="000000"/>
        </w:rPr>
        <w:t xml:space="preserve"> </w:t>
      </w:r>
      <w:proofErr w:type="spellStart"/>
      <w:r>
        <w:rPr>
          <w:color w:val="000000"/>
        </w:rPr>
        <w:t>directement</w:t>
      </w:r>
      <w:proofErr w:type="spellEnd"/>
      <w:r>
        <w:rPr>
          <w:color w:val="000000"/>
        </w:rPr>
        <w:t xml:space="preserve">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49C915A6" w14:textId="77777777" w:rsidR="0073280B" w:rsidRDefault="0073280B" w:rsidP="0073280B">
      <w:pPr>
        <w:jc w:val="both"/>
      </w:pPr>
      <w:r w:rsidRPr="00F45ABC">
        <w:br/>
        <w:t xml:space="preserve">À ma famille, je dis un immense merci :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2506D47" w14:textId="77777777" w:rsidR="0073280B" w:rsidRDefault="0073280B" w:rsidP="0073280B">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227D0CD2" w14:textId="77777777" w:rsidR="0073280B" w:rsidRDefault="0073280B" w:rsidP="0073280B">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17C9E4B4" w14:textId="77777777" w:rsidR="00B00DB4" w:rsidRDefault="00000000">
      <w:pPr>
        <w:pageBreakBefore/>
        <w:spacing w:after="240" w:line="276" w:lineRule="auto"/>
        <w:jc w:val="center"/>
      </w:pPr>
      <w:r>
        <w:rPr>
          <w:b/>
          <w:color w:val="000000"/>
          <w:sz w:val="28"/>
        </w:rPr>
        <w:t>RÉSUMÉ</w:t>
      </w:r>
      <w:bookmarkEnd w:id="4"/>
    </w:p>
    <w:p w14:paraId="37579D57" w14:textId="77777777" w:rsidR="00B00DB4" w:rsidRDefault="00000000">
      <w:pPr>
        <w:pStyle w:val="FirstParagraph"/>
        <w:spacing w:after="120" w:line="360" w:lineRule="auto"/>
        <w:jc w:val="both"/>
      </w:pPr>
      <w:r>
        <w:rPr>
          <w:color w:val="000000"/>
        </w:rPr>
        <w:t>La diffusion des ressources pédagogiques dans l’enseignement supérieur repose encore fréquemment sur des canaux informels, sources de dispersion, de perte d’information et d’accès inégal au savoir. Ce mémoire porte sur la conception et la réalisation d’AFI-DOCS, une plateforme web et mobile destinée à centraliser, organiser et diffuser de manière structurée les ressources pédagogiques d’AFI — L’Université de l’Entreprise, avec une consultation possible hors connexion sur l’application mobile. La démarche associe une revue conceptuelle et critique, une modélisation UML, un développement itératif selon la méthode Agile Scrum, une enquête par questionnaire auprès de la communauté AFI et une campagne de tests fonctionnels sur la plateforme déployée. Les résultats montrent qu’AFI-DOCS répond aux défaillances identifiées : centralisation pérenne, classification hiérarchique, accès restreint et pertinent par filière et niveau, et disponibilité hors connexion. Des fonctionnalités additionnelles — sécurité, notifications, espaces d’échange, évaluation des enseignants — renforcent cette finalité sans s’y substituer.</w:t>
      </w:r>
    </w:p>
    <w:p w14:paraId="373BE52D" w14:textId="77777777" w:rsidR="00B00DB4" w:rsidRDefault="00000000">
      <w:pPr>
        <w:pStyle w:val="Corpsdetexte"/>
        <w:spacing w:after="120" w:line="360" w:lineRule="auto"/>
        <w:jc w:val="both"/>
      </w:pPr>
      <w:r>
        <w:rPr>
          <w:b/>
          <w:color w:val="000000"/>
        </w:rPr>
        <w:t>Mots-clés :</w:t>
      </w:r>
      <w:r>
        <w:rPr>
          <w:color w:val="000000"/>
        </w:rPr>
        <w:t xml:space="preserve"> diffusion de ressources pédagogiques, plateforme web et mobile, offline-first, Laravel, React Native, enseignement supérieur.</w:t>
      </w:r>
    </w:p>
    <w:p w14:paraId="0FD3CFA2" w14:textId="77777777" w:rsidR="00B00DB4" w:rsidRDefault="00000000">
      <w:pPr>
        <w:pageBreakBefore/>
        <w:spacing w:after="240" w:line="276" w:lineRule="auto"/>
        <w:jc w:val="center"/>
      </w:pPr>
      <w:bookmarkStart w:id="5" w:name="abstract"/>
      <w:r>
        <w:rPr>
          <w:b/>
          <w:color w:val="000000"/>
          <w:sz w:val="28"/>
        </w:rPr>
        <w:t>ABSTRACT</w:t>
      </w:r>
      <w:bookmarkEnd w:id="5"/>
    </w:p>
    <w:p w14:paraId="4BD13CFD" w14:textId="77777777" w:rsidR="00B00DB4" w:rsidRDefault="00000000">
      <w:pPr>
        <w:pStyle w:val="FirstParagraph"/>
        <w:spacing w:after="120" w:line="360" w:lineRule="auto"/>
        <w:jc w:val="both"/>
      </w:pPr>
      <w:r>
        <w:rPr>
          <w:color w:val="000000"/>
        </w:rPr>
        <w:t>The distribution of learning resources in higher education still frequently relies on informal channels, leading to scattered documents, information loss and unequal access to knowledge. This dissertation addresses the design and development of AFI-DOCS, a web and mobile platform intended to centralise, organise and distribute in a structured way the learning resources of AFI — L’Université de l’Entreprise, with offline consultation available on the mobile application. The approach combines a conceptual and critical review, UML modelling, iterative development following the Agile Scrum method, a questionnaire survey of the AFI community and a functional testing campaign on the deployed platform. The results show that AFI-DOCS addresses the identified shortcomings: durable centralisation, hierarchical classification, restricted and relevant access by programme and level, and offline availability. Additional features — security, notifications, discussion spaces, teacher evaluation — reinforce this purpose without replacing it.</w:t>
      </w:r>
    </w:p>
    <w:p w14:paraId="351D8629" w14:textId="77777777" w:rsidR="00B00DB4" w:rsidRDefault="00000000">
      <w:pPr>
        <w:pStyle w:val="Corpsdetexte"/>
        <w:spacing w:after="120" w:line="360" w:lineRule="auto"/>
        <w:jc w:val="both"/>
      </w:pPr>
      <w:r>
        <w:rPr>
          <w:b/>
          <w:color w:val="000000"/>
        </w:rPr>
        <w:t>Keywords:</w:t>
      </w:r>
      <w:r>
        <w:rPr>
          <w:color w:val="000000"/>
        </w:rPr>
        <w:t xml:space="preserve"> learning resources distribution, web and mobile platform, offline-first, Laravel, React Native, higher education.</w:t>
      </w:r>
    </w:p>
    <w:p w14:paraId="48B09AFA" w14:textId="77777777" w:rsidR="00B00DB4" w:rsidRDefault="00000000">
      <w:pPr>
        <w:pageBreakBefore/>
        <w:spacing w:after="240" w:line="276" w:lineRule="auto"/>
        <w:jc w:val="center"/>
      </w:pPr>
      <w:bookmarkStart w:id="6" w:name="X7ee176fb2a7ac3e247252fa1744115e47f03c6b"/>
      <w:r>
        <w:rPr>
          <w:b/>
          <w:color w:val="000000"/>
          <w:sz w:val="28"/>
        </w:rPr>
        <w:t>LISTE DES ABRÉVIATIONS, SIGLES ET ACRONYMES</w:t>
      </w:r>
      <w:bookmarkEnd w:id="6"/>
    </w:p>
    <w:p w14:paraId="3A36389F" w14:textId="77777777" w:rsidR="00B00DB4" w:rsidRDefault="00000000">
      <w:pPr>
        <w:pStyle w:val="Compact"/>
        <w:numPr>
          <w:ilvl w:val="0"/>
          <w:numId w:val="2"/>
        </w:numPr>
        <w:spacing w:after="120" w:line="360" w:lineRule="auto"/>
        <w:jc w:val="both"/>
      </w:pPr>
      <w:r>
        <w:rPr>
          <w:b/>
          <w:color w:val="000000"/>
        </w:rPr>
        <w:t>AFI-L’UE</w:t>
      </w:r>
      <w:r>
        <w:rPr>
          <w:color w:val="000000"/>
        </w:rPr>
        <w:t xml:space="preserve"> : AFI — L’Université de l’Entreprise</w:t>
      </w:r>
    </w:p>
    <w:p w14:paraId="4D26F065" w14:textId="77777777" w:rsidR="00B00DB4" w:rsidRDefault="00000000">
      <w:pPr>
        <w:pStyle w:val="Compact"/>
        <w:numPr>
          <w:ilvl w:val="0"/>
          <w:numId w:val="2"/>
        </w:numPr>
        <w:spacing w:after="120" w:line="360" w:lineRule="auto"/>
        <w:jc w:val="both"/>
      </w:pPr>
      <w:r>
        <w:rPr>
          <w:b/>
          <w:color w:val="000000"/>
        </w:rPr>
        <w:t>API</w:t>
      </w:r>
      <w:r>
        <w:rPr>
          <w:color w:val="000000"/>
        </w:rPr>
        <w:t xml:space="preserve"> : Application Programming Interface</w:t>
      </w:r>
    </w:p>
    <w:p w14:paraId="69E13B37" w14:textId="77777777" w:rsidR="00B00DB4" w:rsidRDefault="00000000">
      <w:pPr>
        <w:pStyle w:val="Compact"/>
        <w:numPr>
          <w:ilvl w:val="0"/>
          <w:numId w:val="2"/>
        </w:numPr>
        <w:spacing w:after="120" w:line="360" w:lineRule="auto"/>
        <w:jc w:val="both"/>
      </w:pPr>
      <w:r>
        <w:rPr>
          <w:b/>
          <w:color w:val="000000"/>
        </w:rPr>
        <w:t>APK</w:t>
      </w:r>
      <w:r>
        <w:rPr>
          <w:color w:val="000000"/>
        </w:rPr>
        <w:t xml:space="preserve"> : Android Package Kit</w:t>
      </w:r>
    </w:p>
    <w:p w14:paraId="00A995BC" w14:textId="77777777" w:rsidR="00B00DB4" w:rsidRDefault="00000000">
      <w:pPr>
        <w:pStyle w:val="Compact"/>
        <w:numPr>
          <w:ilvl w:val="0"/>
          <w:numId w:val="2"/>
        </w:numPr>
        <w:spacing w:after="120" w:line="360" w:lineRule="auto"/>
        <w:jc w:val="both"/>
      </w:pPr>
      <w:r>
        <w:rPr>
          <w:b/>
          <w:color w:val="000000"/>
        </w:rPr>
        <w:t>CSV</w:t>
      </w:r>
      <w:r>
        <w:rPr>
          <w:color w:val="000000"/>
        </w:rPr>
        <w:t xml:space="preserve"> : Comma-Separated Values</w:t>
      </w:r>
    </w:p>
    <w:p w14:paraId="04E1FE3B" w14:textId="77777777" w:rsidR="00B00DB4" w:rsidRDefault="00000000">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6CE2C1FF" w14:textId="77777777" w:rsidR="00B00DB4" w:rsidRDefault="00000000">
      <w:pPr>
        <w:pStyle w:val="Compact"/>
        <w:numPr>
          <w:ilvl w:val="0"/>
          <w:numId w:val="2"/>
        </w:numPr>
        <w:spacing w:after="120" w:line="360" w:lineRule="auto"/>
        <w:jc w:val="both"/>
      </w:pPr>
      <w:r>
        <w:rPr>
          <w:b/>
          <w:color w:val="000000"/>
        </w:rPr>
        <w:t>JSON</w:t>
      </w:r>
      <w:r>
        <w:rPr>
          <w:color w:val="000000"/>
        </w:rPr>
        <w:t xml:space="preserve"> : JavaScript Object Notation</w:t>
      </w:r>
    </w:p>
    <w:p w14:paraId="5239518C" w14:textId="77777777" w:rsidR="00B00DB4" w:rsidRDefault="00000000">
      <w:pPr>
        <w:pStyle w:val="Compact"/>
        <w:numPr>
          <w:ilvl w:val="0"/>
          <w:numId w:val="2"/>
        </w:numPr>
        <w:spacing w:after="120" w:line="360" w:lineRule="auto"/>
        <w:jc w:val="both"/>
      </w:pPr>
      <w:r>
        <w:rPr>
          <w:b/>
          <w:color w:val="000000"/>
        </w:rPr>
        <w:t>LMS</w:t>
      </w:r>
      <w:r>
        <w:rPr>
          <w:color w:val="000000"/>
        </w:rPr>
        <w:t xml:space="preserve"> : Learning Management System</w:t>
      </w:r>
    </w:p>
    <w:p w14:paraId="7BFA56D3" w14:textId="77777777" w:rsidR="00B00DB4" w:rsidRDefault="00000000">
      <w:pPr>
        <w:pStyle w:val="Compact"/>
        <w:numPr>
          <w:ilvl w:val="0"/>
          <w:numId w:val="2"/>
        </w:numPr>
        <w:spacing w:after="120" w:line="360" w:lineRule="auto"/>
        <w:jc w:val="both"/>
      </w:pPr>
      <w:r>
        <w:rPr>
          <w:b/>
          <w:color w:val="000000"/>
        </w:rPr>
        <w:t>OTP</w:t>
      </w:r>
      <w:r>
        <w:rPr>
          <w:color w:val="000000"/>
        </w:rPr>
        <w:t xml:space="preserve"> : One-Time Password</w:t>
      </w:r>
    </w:p>
    <w:p w14:paraId="4DE1DD3B" w14:textId="77777777" w:rsidR="00B00DB4" w:rsidRDefault="00000000">
      <w:pPr>
        <w:pStyle w:val="Compact"/>
        <w:numPr>
          <w:ilvl w:val="0"/>
          <w:numId w:val="2"/>
        </w:numPr>
        <w:spacing w:after="120" w:line="360" w:lineRule="auto"/>
        <w:jc w:val="both"/>
      </w:pPr>
      <w:r>
        <w:rPr>
          <w:b/>
          <w:color w:val="000000"/>
        </w:rPr>
        <w:t>ORM</w:t>
      </w:r>
      <w:r>
        <w:rPr>
          <w:color w:val="000000"/>
        </w:rPr>
        <w:t xml:space="preserve"> : Object-Relational Mapping</w:t>
      </w:r>
    </w:p>
    <w:p w14:paraId="6CF0EE95" w14:textId="77777777" w:rsidR="00B00DB4" w:rsidRDefault="00000000">
      <w:pPr>
        <w:pStyle w:val="Compact"/>
        <w:numPr>
          <w:ilvl w:val="0"/>
          <w:numId w:val="2"/>
        </w:numPr>
        <w:spacing w:after="120" w:line="360" w:lineRule="auto"/>
        <w:jc w:val="both"/>
      </w:pPr>
      <w:r>
        <w:rPr>
          <w:b/>
          <w:color w:val="000000"/>
        </w:rPr>
        <w:t>PDF</w:t>
      </w:r>
      <w:r>
        <w:rPr>
          <w:color w:val="000000"/>
        </w:rPr>
        <w:t xml:space="preserve"> : Portable Document Format</w:t>
      </w:r>
    </w:p>
    <w:p w14:paraId="71FDB546" w14:textId="77777777" w:rsidR="00B00DB4" w:rsidRDefault="00000000">
      <w:pPr>
        <w:pStyle w:val="Compact"/>
        <w:numPr>
          <w:ilvl w:val="0"/>
          <w:numId w:val="2"/>
        </w:numPr>
        <w:spacing w:after="120" w:line="360" w:lineRule="auto"/>
        <w:jc w:val="both"/>
      </w:pPr>
      <w:r>
        <w:rPr>
          <w:b/>
          <w:color w:val="000000"/>
        </w:rPr>
        <w:t>REST</w:t>
      </w:r>
      <w:r>
        <w:rPr>
          <w:color w:val="000000"/>
        </w:rPr>
        <w:t xml:space="preserve"> : Representational State Transfer</w:t>
      </w:r>
    </w:p>
    <w:p w14:paraId="2D20350B" w14:textId="77777777" w:rsidR="00B00DB4" w:rsidRDefault="00000000">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479FAF27" w14:textId="77777777" w:rsidR="00B00DB4" w:rsidRDefault="00000000">
      <w:pPr>
        <w:pStyle w:val="Compact"/>
        <w:numPr>
          <w:ilvl w:val="0"/>
          <w:numId w:val="2"/>
        </w:numPr>
        <w:spacing w:after="120" w:line="360" w:lineRule="auto"/>
        <w:jc w:val="both"/>
      </w:pPr>
      <w:r>
        <w:rPr>
          <w:b/>
          <w:color w:val="000000"/>
        </w:rPr>
        <w:t>SQL</w:t>
      </w:r>
      <w:r>
        <w:rPr>
          <w:color w:val="000000"/>
        </w:rPr>
        <w:t xml:space="preserve"> : Structured Query Language</w:t>
      </w:r>
    </w:p>
    <w:p w14:paraId="540F41EF" w14:textId="77777777" w:rsidR="00B00DB4" w:rsidRDefault="00000000">
      <w:pPr>
        <w:pStyle w:val="Compact"/>
        <w:numPr>
          <w:ilvl w:val="0"/>
          <w:numId w:val="2"/>
        </w:numPr>
        <w:spacing w:after="120" w:line="360" w:lineRule="auto"/>
        <w:jc w:val="both"/>
      </w:pPr>
      <w:r>
        <w:rPr>
          <w:b/>
          <w:color w:val="000000"/>
        </w:rPr>
        <w:t>UML</w:t>
      </w:r>
      <w:r>
        <w:rPr>
          <w:color w:val="000000"/>
        </w:rPr>
        <w:t xml:space="preserve"> : Unified Modeling Language</w:t>
      </w:r>
    </w:p>
    <w:p w14:paraId="686154B3" w14:textId="77777777" w:rsidR="00B00DB4" w:rsidRDefault="00000000">
      <w:pPr>
        <w:pStyle w:val="Compact"/>
        <w:numPr>
          <w:ilvl w:val="0"/>
          <w:numId w:val="2"/>
        </w:numPr>
        <w:spacing w:after="120" w:line="360" w:lineRule="auto"/>
        <w:jc w:val="both"/>
      </w:pPr>
      <w:r>
        <w:rPr>
          <w:b/>
          <w:color w:val="000000"/>
        </w:rPr>
        <w:t>UFR</w:t>
      </w:r>
      <w:r>
        <w:rPr>
          <w:color w:val="000000"/>
        </w:rPr>
        <w:t xml:space="preserve"> : Unité de Formation et de Recherche</w:t>
      </w:r>
    </w:p>
    <w:p w14:paraId="78FB3FEC" w14:textId="77777777" w:rsidR="00B00DB4" w:rsidRDefault="00000000">
      <w:pPr>
        <w:pStyle w:val="Compact"/>
        <w:numPr>
          <w:ilvl w:val="0"/>
          <w:numId w:val="2"/>
        </w:numPr>
        <w:spacing w:after="120" w:line="360" w:lineRule="auto"/>
        <w:jc w:val="both"/>
      </w:pPr>
      <w:r>
        <w:rPr>
          <w:b/>
          <w:color w:val="000000"/>
        </w:rPr>
        <w:t>VPS</w:t>
      </w:r>
      <w:r>
        <w:rPr>
          <w:color w:val="000000"/>
        </w:rPr>
        <w:t xml:space="preserve"> : Virtual Private Server</w:t>
      </w:r>
    </w:p>
    <w:p w14:paraId="59D04C53" w14:textId="77777777" w:rsidR="00B00DB4" w:rsidRDefault="00000000">
      <w:pPr>
        <w:pStyle w:val="Compact"/>
        <w:numPr>
          <w:ilvl w:val="0"/>
          <w:numId w:val="2"/>
        </w:numPr>
        <w:spacing w:after="120" w:line="360" w:lineRule="auto"/>
        <w:jc w:val="both"/>
      </w:pPr>
      <w:r>
        <w:rPr>
          <w:b/>
          <w:color w:val="000000"/>
        </w:rPr>
        <w:t>ZPD</w:t>
      </w:r>
      <w:r>
        <w:rPr>
          <w:color w:val="000000"/>
        </w:rPr>
        <w:t xml:space="preserve"> : Zone Proximale de Développement</w:t>
      </w:r>
    </w:p>
    <w:p w14:paraId="270CF547" w14:textId="77777777" w:rsidR="00B00DB4" w:rsidRDefault="00000000">
      <w:pPr>
        <w:pageBreakBefore/>
        <w:spacing w:after="240" w:line="276" w:lineRule="auto"/>
        <w:jc w:val="center"/>
      </w:pPr>
      <w:bookmarkStart w:id="7" w:name="liste-des-figures"/>
      <w:r>
        <w:rPr>
          <w:b/>
          <w:color w:val="000000"/>
          <w:sz w:val="28"/>
        </w:rPr>
        <w:t>LISTE DES FIGURES</w:t>
      </w:r>
      <w:bookmarkEnd w:id="7"/>
    </w:p>
    <w:p w14:paraId="372A7890" w14:textId="77777777" w:rsidR="00B00DB4" w:rsidRDefault="00000000">
      <w:pPr>
        <w:pStyle w:val="Compact"/>
        <w:numPr>
          <w:ilvl w:val="0"/>
          <w:numId w:val="3"/>
        </w:numPr>
        <w:spacing w:after="120" w:line="360" w:lineRule="auto"/>
        <w:jc w:val="both"/>
      </w:pPr>
      <w:r>
        <w:rPr>
          <w:color w:val="000000"/>
        </w:rPr>
        <w:t>Figure 1.1 — Architecture technique générale de la plateforme AFI-DOCS</w:t>
      </w:r>
    </w:p>
    <w:p w14:paraId="736008FF" w14:textId="77777777" w:rsidR="00B00DB4" w:rsidRDefault="00000000">
      <w:pPr>
        <w:pStyle w:val="Compact"/>
        <w:numPr>
          <w:ilvl w:val="0"/>
          <w:numId w:val="3"/>
        </w:numPr>
        <w:spacing w:after="120" w:line="360" w:lineRule="auto"/>
        <w:jc w:val="both"/>
      </w:pPr>
      <w:r>
        <w:rPr>
          <w:color w:val="000000"/>
        </w:rPr>
        <w:t>Figure 3.1 — Diagramme de classes UML de la plateforme AFI-DOCS</w:t>
      </w:r>
    </w:p>
    <w:p w14:paraId="464612ED" w14:textId="77777777" w:rsidR="00B00DB4" w:rsidRDefault="00000000">
      <w:pPr>
        <w:pStyle w:val="Compact"/>
        <w:numPr>
          <w:ilvl w:val="0"/>
          <w:numId w:val="3"/>
        </w:numPr>
        <w:spacing w:after="120" w:line="360" w:lineRule="auto"/>
        <w:jc w:val="both"/>
      </w:pPr>
      <w:r>
        <w:rPr>
          <w:color w:val="000000"/>
        </w:rPr>
        <w:t>Figure 3.2 — Schéma relationnel de la base de données</w:t>
      </w:r>
    </w:p>
    <w:p w14:paraId="0950E458" w14:textId="77777777" w:rsidR="00B00DB4" w:rsidRDefault="00000000">
      <w:pPr>
        <w:pStyle w:val="Compact"/>
        <w:numPr>
          <w:ilvl w:val="0"/>
          <w:numId w:val="3"/>
        </w:numPr>
        <w:spacing w:after="120" w:line="360" w:lineRule="auto"/>
        <w:jc w:val="both"/>
      </w:pPr>
      <w:r>
        <w:rPr>
          <w:color w:val="000000"/>
        </w:rPr>
        <w:t>Figure 3.3 — Diagramme de composants de l’architecture</w:t>
      </w:r>
    </w:p>
    <w:p w14:paraId="7F54BA10" w14:textId="77777777" w:rsidR="00B00DB4" w:rsidRDefault="00000000">
      <w:pPr>
        <w:pStyle w:val="Compact"/>
        <w:numPr>
          <w:ilvl w:val="0"/>
          <w:numId w:val="3"/>
        </w:numPr>
        <w:spacing w:after="120" w:line="360" w:lineRule="auto"/>
        <w:jc w:val="both"/>
      </w:pPr>
      <w:r>
        <w:rPr>
          <w:color w:val="000000"/>
        </w:rPr>
        <w:t>Figure 3.4 — Diagramme de cas d’utilisation UML</w:t>
      </w:r>
    </w:p>
    <w:p w14:paraId="7072FD8F" w14:textId="77777777" w:rsidR="00B00DB4" w:rsidRDefault="00000000">
      <w:pPr>
        <w:pStyle w:val="Compact"/>
        <w:numPr>
          <w:ilvl w:val="0"/>
          <w:numId w:val="3"/>
        </w:numPr>
        <w:spacing w:after="120" w:line="360" w:lineRule="auto"/>
        <w:jc w:val="both"/>
      </w:pPr>
      <w:r>
        <w:rPr>
          <w:color w:val="000000"/>
        </w:rPr>
        <w:t>Figure 3.5 — Diagrammes de séquence des scénarios clés</w:t>
      </w:r>
    </w:p>
    <w:p w14:paraId="067639A2" w14:textId="77777777" w:rsidR="00B00DB4" w:rsidRDefault="00000000">
      <w:pPr>
        <w:pStyle w:val="Compact"/>
        <w:numPr>
          <w:ilvl w:val="0"/>
          <w:numId w:val="3"/>
        </w:numPr>
        <w:spacing w:after="120" w:line="360" w:lineRule="auto"/>
        <w:jc w:val="both"/>
      </w:pPr>
      <w:r>
        <w:rPr>
          <w:color w:val="000000"/>
        </w:rPr>
        <w:t>Figure 3.6 — Maquettes du prototype d’interface</w:t>
      </w:r>
    </w:p>
    <w:p w14:paraId="008DB7E0" w14:textId="77777777" w:rsidR="00B00DB4" w:rsidRDefault="00000000">
      <w:pPr>
        <w:pStyle w:val="Compact"/>
        <w:numPr>
          <w:ilvl w:val="0"/>
          <w:numId w:val="3"/>
        </w:numPr>
        <w:spacing w:after="120" w:line="360" w:lineRule="auto"/>
        <w:jc w:val="both"/>
      </w:pPr>
      <w:r>
        <w:rPr>
          <w:color w:val="000000"/>
        </w:rPr>
        <w:t>Figure 3.7 — Résultats du questionnaire utilisateurs</w:t>
      </w:r>
    </w:p>
    <w:p w14:paraId="57D3AC71" w14:textId="77777777" w:rsidR="00B00DB4" w:rsidRDefault="00000000">
      <w:pPr>
        <w:pStyle w:val="Compact"/>
        <w:numPr>
          <w:ilvl w:val="0"/>
          <w:numId w:val="3"/>
        </w:numPr>
        <w:spacing w:after="120" w:line="360" w:lineRule="auto"/>
        <w:jc w:val="both"/>
      </w:pPr>
      <w:r>
        <w:rPr>
          <w:color w:val="000000"/>
        </w:rPr>
        <w:t>Figure 4.1 — Tableau de bord de l’Administrateur</w:t>
      </w:r>
    </w:p>
    <w:p w14:paraId="6E8B615C" w14:textId="77777777" w:rsidR="00B00DB4" w:rsidRDefault="00000000">
      <w:pPr>
        <w:pStyle w:val="Compact"/>
        <w:numPr>
          <w:ilvl w:val="0"/>
          <w:numId w:val="3"/>
        </w:numPr>
        <w:spacing w:after="120" w:line="360" w:lineRule="auto"/>
        <w:jc w:val="both"/>
      </w:pPr>
      <w:r>
        <w:rPr>
          <w:color w:val="000000"/>
        </w:rPr>
        <w:t>Figure 4.2 — Publication d’une ressource par le Délégué</w:t>
      </w:r>
    </w:p>
    <w:p w14:paraId="74230AD1" w14:textId="77777777" w:rsidR="00B00DB4" w:rsidRDefault="00000000">
      <w:pPr>
        <w:pStyle w:val="Compact"/>
        <w:numPr>
          <w:ilvl w:val="0"/>
          <w:numId w:val="3"/>
        </w:numPr>
        <w:spacing w:after="120" w:line="360" w:lineRule="auto"/>
        <w:jc w:val="both"/>
      </w:pPr>
      <w:r>
        <w:rPr>
          <w:color w:val="000000"/>
        </w:rPr>
        <w:t>Figure 4.3 — Interface de consultation de l’Étudiant</w:t>
      </w:r>
    </w:p>
    <w:p w14:paraId="7F62F2A0" w14:textId="77777777" w:rsidR="00B00DB4" w:rsidRDefault="00000000">
      <w:pPr>
        <w:pStyle w:val="Compact"/>
        <w:numPr>
          <w:ilvl w:val="0"/>
          <w:numId w:val="3"/>
        </w:numPr>
        <w:spacing w:after="120" w:line="360" w:lineRule="auto"/>
        <w:jc w:val="both"/>
      </w:pPr>
      <w:r>
        <w:rPr>
          <w:color w:val="000000"/>
        </w:rPr>
        <w:t>Figure 4.4 — Application mobile et flux de consultation hors connexion</w:t>
      </w:r>
    </w:p>
    <w:p w14:paraId="1202EA53" w14:textId="77777777" w:rsidR="00B00DB4" w:rsidRDefault="00000000">
      <w:pPr>
        <w:pageBreakBefore/>
        <w:spacing w:after="240" w:line="276" w:lineRule="auto"/>
        <w:jc w:val="center"/>
      </w:pPr>
      <w:bookmarkStart w:id="8" w:name="liste-des-tableaux"/>
      <w:r>
        <w:rPr>
          <w:b/>
          <w:color w:val="000000"/>
          <w:sz w:val="28"/>
        </w:rPr>
        <w:t>LISTE DES TABLEAUX</w:t>
      </w:r>
      <w:bookmarkEnd w:id="8"/>
    </w:p>
    <w:p w14:paraId="14E431EB" w14:textId="77777777" w:rsidR="00B00DB4" w:rsidRDefault="00000000">
      <w:pPr>
        <w:pStyle w:val="Compact"/>
        <w:numPr>
          <w:ilvl w:val="0"/>
          <w:numId w:val="4"/>
        </w:numPr>
        <w:spacing w:after="120" w:line="360" w:lineRule="auto"/>
        <w:jc w:val="both"/>
      </w:pPr>
      <w:r>
        <w:rPr>
          <w:color w:val="000000"/>
        </w:rPr>
        <w:t>Tableau 3.1 — Matrice des droits par rôle</w:t>
      </w:r>
    </w:p>
    <w:p w14:paraId="115BCDF4" w14:textId="77777777" w:rsidR="00B00DB4" w:rsidRDefault="00000000">
      <w:pPr>
        <w:pStyle w:val="Compact"/>
        <w:numPr>
          <w:ilvl w:val="0"/>
          <w:numId w:val="4"/>
        </w:numPr>
        <w:spacing w:after="120" w:line="360" w:lineRule="auto"/>
        <w:jc w:val="both"/>
      </w:pPr>
      <w:r>
        <w:rPr>
          <w:color w:val="000000"/>
        </w:rPr>
        <w:t>Tableau 3.2 — Organisation du développement en sprints (Scrum)</w:t>
      </w:r>
    </w:p>
    <w:p w14:paraId="09F8CB5B" w14:textId="77777777" w:rsidR="00B00DB4" w:rsidRDefault="00000000">
      <w:pPr>
        <w:pStyle w:val="Compact"/>
        <w:numPr>
          <w:ilvl w:val="0"/>
          <w:numId w:val="4"/>
        </w:numPr>
        <w:spacing w:after="120" w:line="360" w:lineRule="auto"/>
        <w:jc w:val="both"/>
      </w:pPr>
      <w:r>
        <w:rPr>
          <w:color w:val="000000"/>
        </w:rPr>
        <w:t>Tableau 5.1 — Scénarios de tests fonctionnels de la plateforme AFI-DOCS</w:t>
      </w:r>
    </w:p>
    <w:p w14:paraId="289E2100" w14:textId="77777777" w:rsidR="00B00DB4" w:rsidRDefault="00000000">
      <w:pPr>
        <w:pageBreakBefore/>
        <w:spacing w:after="240" w:line="276" w:lineRule="auto"/>
        <w:jc w:val="center"/>
      </w:pPr>
      <w:bookmarkStart w:id="9" w:name="sommaire"/>
      <w:r>
        <w:rPr>
          <w:b/>
          <w:color w:val="000000"/>
          <w:sz w:val="28"/>
        </w:rPr>
        <w:t>SOMMAIRE</w:t>
      </w:r>
      <w:bookmarkEnd w:id="9"/>
    </w:p>
    <w:p w14:paraId="5564C6A7" w14:textId="77777777" w:rsidR="00B00DB4" w:rsidRDefault="00000000">
      <w:pPr>
        <w:pStyle w:val="FirstParagraph"/>
        <w:spacing w:after="120" w:line="360" w:lineRule="auto"/>
      </w:pPr>
      <w:fldSimple w:instr=" TOC \o &quot;1-3&quot; \h \z \u ">
        <w:r>
          <w:t>[Ouvrez dans Word, clic droit sur ce texte → « Mettre à jour les champs » pour générer le sommaire avec la pagination.]</w:t>
        </w:r>
      </w:fldSimple>
    </w:p>
    <w:p w14:paraId="1625E3B7" w14:textId="77777777" w:rsidR="00B00DB4" w:rsidRDefault="00B00DB4">
      <w:pPr>
        <w:sectPr w:rsidR="00B00DB4" w:rsidSect="005F1862">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cols w:space="720"/>
          <w:titlePg/>
        </w:sectPr>
      </w:pPr>
    </w:p>
    <w:p w14:paraId="469D9E4D" w14:textId="77777777" w:rsidR="00B00DB4" w:rsidRDefault="00000000">
      <w:pPr>
        <w:pStyle w:val="Titre1"/>
        <w:pageBreakBefore/>
        <w:spacing w:after="240" w:line="276" w:lineRule="auto"/>
        <w:jc w:val="center"/>
      </w:pPr>
      <w:bookmarkStart w:id="10" w:name="introduction-générale"/>
      <w:r>
        <w:rPr>
          <w:rFonts w:ascii="Times New Roman" w:hAnsi="Times New Roman"/>
          <w:color w:val="000000"/>
          <w:sz w:val="28"/>
        </w:rPr>
        <w:t>Introduction générale</w:t>
      </w:r>
      <w:bookmarkEnd w:id="10"/>
    </w:p>
    <w:p w14:paraId="27CEBA01" w14:textId="77777777" w:rsidR="00B00DB4" w:rsidRDefault="00000000">
      <w:pPr>
        <w:pStyle w:val="FirstParagraph"/>
        <w:spacing w:after="120" w:line="360" w:lineRule="auto"/>
        <w:jc w:val="both"/>
      </w:pPr>
      <w:r>
        <w:rPr>
          <w:color w:val="000000"/>
        </w:rPr>
        <w:t>La transformation numérique de l’enseignement supérieur s’est imposée, au cours de la dernière décennie, comme une évolution structurante des pratiques académiques. La crise sanitaire de 2020 en a été l’accélérateur : en contraignant les établissements à basculer en urgence vers des modalités d’enseignement à distance, elle a révélé aussi bien le potentiel des outils numériques pour la diffusion du savoir que la fragilité des dispositifs sur lesquels reposait, jusque-là, la circulation des ressources pédagogiques. Selon l’UNESCO (2023), cette période a mis en évidence l’urgence de doter les communautés éducatives d’environnements numériques fiables, organisés et accessibles au plus grand nombre.</w:t>
      </w:r>
    </w:p>
    <w:p w14:paraId="40C27D86" w14:textId="77777777" w:rsidR="00B00DB4" w:rsidRDefault="00000000">
      <w:pPr>
        <w:pStyle w:val="Corpsdetexte"/>
        <w:spacing w:after="120" w:line="360" w:lineRule="auto"/>
        <w:jc w:val="both"/>
      </w:pPr>
      <w:r>
        <w:rPr>
          <w:color w:val="000000"/>
        </w:rPr>
        <w:t>Dans les établissements d’enseignement supérieur d’Afrique subsaharienne, cette exigence se heurte à une réalité concrète : la diffusion des supports de cours repose encore massivement sur des canaux informels. Les groupes de messagerie instantanée, en particulier WhatsApp, les échanges directs de fichiers et les courriers électroniques constituent le mode dominant de partage des documents pédagogiques. Ces pratiques, si elles offrent une certaine souplesse, entraînent une dispersion des ressources, une perte fréquente des documents, une absence de classement durable et un accès inégal selon l’équipement et la connectivité des étudiants.</w:t>
      </w:r>
    </w:p>
    <w:p w14:paraId="00564A43" w14:textId="77777777" w:rsidR="00B00DB4" w:rsidRDefault="00000000">
      <w:pPr>
        <w:pStyle w:val="Corpsdetexte"/>
        <w:spacing w:after="120" w:line="360" w:lineRule="auto"/>
        <w:jc w:val="both"/>
      </w:pPr>
      <w:r>
        <w:rPr>
          <w:color w:val="000000"/>
        </w:rPr>
        <w:t>AFI — L’Université de l’Entreprise (AFI-L’UE), établissement privé d’enseignement supérieur situé à Dakar, n’échappe pas à ce constat. Accueillant des étudiants de la Licence au Master dans une douzaine de filières professionnalisantes, l’institution ne dispose pas, à ce jour, d’un dispositif centralisé permettant de collecter, d’organiser et de diffuser de manière fiable les ressources pédagogiques. C’est à ce problème précis que le présent mémoire entend répondre, à travers la conception et la réalisation d’</w:t>
      </w:r>
      <w:r>
        <w:rPr>
          <w:b/>
          <w:color w:val="000000"/>
        </w:rPr>
        <w:t>AFI-DOCS</w:t>
      </w:r>
      <w:r>
        <w:rPr>
          <w:color w:val="000000"/>
        </w:rPr>
        <w:t xml:space="preserve">, une plateforme web et mobile destinée à </w:t>
      </w:r>
      <w:r>
        <w:rPr>
          <w:b/>
          <w:color w:val="000000"/>
        </w:rPr>
        <w:t>centraliser, organiser et diffuser</w:t>
      </w:r>
      <w:r>
        <w:rPr>
          <w:color w:val="000000"/>
        </w:rPr>
        <w:t xml:space="preserve"> les ressources pédagogiques de l’établissement, avec la possibilité d’une </w:t>
      </w:r>
      <w:r>
        <w:rPr>
          <w:b/>
          <w:color w:val="000000"/>
        </w:rPr>
        <w:t>consultation hors connexion</w:t>
      </w:r>
      <w:r>
        <w:rPr>
          <w:color w:val="000000"/>
        </w:rPr>
        <w:t xml:space="preserve"> sur l’application mobile.</w:t>
      </w:r>
    </w:p>
    <w:p w14:paraId="096B91E2" w14:textId="77777777" w:rsidR="00B00DB4" w:rsidRDefault="00000000">
      <w:pPr>
        <w:pStyle w:val="Corpsdetexte"/>
        <w:spacing w:after="120" w:line="360" w:lineRule="auto"/>
        <w:jc w:val="both"/>
      </w:pPr>
      <w:r>
        <w:rPr>
          <w:b/>
          <w:color w:val="000000"/>
        </w:rPr>
        <w:t>Contexte de l’étude.</w:t>
      </w:r>
      <w:r>
        <w:rPr>
          <w:color w:val="000000"/>
        </w:rPr>
        <w:t xml:space="preserve"> Le projet s’inscrit dans un double mouvement : d’une part, la généralisation des usages numériques dans l’enseignement supérieur ; d’autre part, la persistance de contraintes matérielles — coût et instabilité de la connexion, hétérogénéité des équipements — qui limitent l’accès effectif aux ressources. Concevoir une plateforme adaptée à ce contexte suppose donc de conjuguer centralisation, structuration et disponibilité, y compris en l’absence de réseau.</w:t>
      </w:r>
    </w:p>
    <w:p w14:paraId="7EC83EA6" w14:textId="77777777" w:rsidR="00B00DB4" w:rsidRDefault="00000000">
      <w:pPr>
        <w:pStyle w:val="Corpsdetexte"/>
        <w:spacing w:after="120" w:line="360" w:lineRule="auto"/>
        <w:jc w:val="both"/>
      </w:pPr>
      <w:r>
        <w:rPr>
          <w:b/>
          <w:color w:val="000000"/>
        </w:rPr>
        <w:t>Problématique.</w:t>
      </w:r>
      <w:r>
        <w:rPr>
          <w:color w:val="000000"/>
        </w:rPr>
        <w:t xml:space="preserve"> Les pratiques actuelles de partage à l’AFI révèlent quatre défaillances récurrentes : la volatilité de l’information, le désordre organisationnel, l’exclusion numérique des étudiants les moins bien connectés et l’absence de traçabilité durable des contenus. Ces limites compromettent la qualité et l’équité de l’accès au savoir. Se pose alors la question de la mise en place d’un dispositif capable d’y remédier de façon simple, pérenne et adaptée aux réalités de l’établissement.</w:t>
      </w:r>
    </w:p>
    <w:p w14:paraId="631873AF" w14:textId="77777777" w:rsidR="00B00DB4" w:rsidRDefault="00000000">
      <w:pPr>
        <w:pStyle w:val="Corpsdetexte"/>
        <w:spacing w:after="120" w:line="360" w:lineRule="auto"/>
        <w:jc w:val="both"/>
      </w:pPr>
      <w:r>
        <w:rPr>
          <w:b/>
          <w:color w:val="000000"/>
        </w:rPr>
        <w:t>Question de recherche.</w:t>
      </w:r>
      <w:r>
        <w:rPr>
          <w:color w:val="000000"/>
        </w:rPr>
        <w:t xml:space="preserve"> La question centrale de ce travail peut être formulée ainsi : </w:t>
      </w:r>
      <w:r>
        <w:rPr>
          <w:i/>
          <w:color w:val="000000"/>
        </w:rPr>
        <w:t>comment la conception et la réalisation d’une plateforme web et mobile, centralisée et accessible hors connexion, permettent-elles d’optimiser l’accès, la pérennité et le partage structuré des ressources pédagogiques au sein d’AFI-L’UE ?</w:t>
      </w:r>
      <w:r>
        <w:rPr>
          <w:color w:val="000000"/>
        </w:rPr>
        <w:t xml:space="preserve"> Cette interrogation se décline en trois questions spécifiques : quelles sont les défaillances du système actuel et les besoins des acteurs ? quelle architecture technique permet d’y répondre tout en garantissant sécurité, performance et accessibilité, y compris en situation de connectivité limitée ? dans quelle mesure la plateforme développée améliore-t-elle concrètement l’accès aux ressources et leur diffusion ?</w:t>
      </w:r>
    </w:p>
    <w:p w14:paraId="3C1AE833" w14:textId="77777777" w:rsidR="00B00DB4" w:rsidRDefault="00000000">
      <w:pPr>
        <w:pStyle w:val="Corpsdetexte"/>
        <w:spacing w:after="120" w:line="360" w:lineRule="auto"/>
        <w:jc w:val="both"/>
      </w:pPr>
      <w:r>
        <w:rPr>
          <w:b/>
          <w:color w:val="000000"/>
        </w:rPr>
        <w:t>Objectif général.</w:t>
      </w:r>
      <w:r>
        <w:rPr>
          <w:color w:val="000000"/>
        </w:rPr>
        <w:t xml:space="preserve"> L’objectif général de ce mémoire est de concevoir, de développer et de déployer une plateforme web et mobile, centralisée et structurée, permettant le stockage sécurisé, la classification hiérarchique et la diffusion des ressources pédagogiques d’AFI-L’UE, chaque étudiant accédant aux ressources de sa filière et de son niveau, y compris hors connexion.</w:t>
      </w:r>
    </w:p>
    <w:p w14:paraId="6F4ACE62" w14:textId="77777777" w:rsidR="00B00DB4" w:rsidRDefault="00000000">
      <w:pPr>
        <w:pStyle w:val="Corpsdetexte"/>
        <w:spacing w:after="120" w:line="360" w:lineRule="auto"/>
        <w:jc w:val="both"/>
      </w:pPr>
      <w:r>
        <w:rPr>
          <w:b/>
          <w:color w:val="000000"/>
        </w:rPr>
        <w:t>Objectifs spécifiques.</w:t>
      </w:r>
      <w:r>
        <w:rPr>
          <w:color w:val="000000"/>
        </w:rPr>
        <w:t xml:space="preserve"> Cet objectif se décompose en trois objectifs opérationnels : (i) analyser les défaillances du dispositif actuel et recueillir les besoins fonctionnels et non fonctionnels des trois acteurs — Administrateur, Délégué de promotion et Étudiant ; (ii) concevoir l’architecture technique et les interfaces de la plateforme en s’appuyant sur la méthode Agile Scrum, la modélisation UML et le prototypage ; (iii) développer, déployer, tester et évaluer la solution au regard de critères de performance, d’ergonomie, de sécurité et d’accessibilité, dont le fonctionnement hors connexion.</w:t>
      </w:r>
    </w:p>
    <w:p w14:paraId="23DC67FC" w14:textId="77777777" w:rsidR="00B00DB4" w:rsidRDefault="00000000">
      <w:pPr>
        <w:pStyle w:val="Corpsdetexte"/>
        <w:spacing w:after="120" w:line="360" w:lineRule="auto"/>
        <w:jc w:val="both"/>
      </w:pPr>
      <w:r>
        <w:rPr>
          <w:b/>
          <w:color w:val="000000"/>
        </w:rPr>
        <w:t>Hypothèses de travail.</w:t>
      </w:r>
      <w:r>
        <w:rPr>
          <w:color w:val="000000"/>
        </w:rPr>
        <w:t xml:space="preserve"> Pour orienter la conception et l’évaluation, quatre hypothèses sont formulées : </w:t>
      </w:r>
      <w:r>
        <w:rPr>
          <w:b/>
          <w:color w:val="000000"/>
        </w:rPr>
        <w:t>H1</w:t>
      </w:r>
      <w:r>
        <w:rPr>
          <w:color w:val="000000"/>
        </w:rPr>
        <w:t xml:space="preserve"> — la centralisation et la classification hiérarchique des ressources améliorent la facilité et la rapidité d’accès aux supports de cours ; </w:t>
      </w:r>
      <w:r>
        <w:rPr>
          <w:b/>
          <w:color w:val="000000"/>
        </w:rPr>
        <w:t>H2</w:t>
      </w:r>
      <w:r>
        <w:rPr>
          <w:color w:val="000000"/>
        </w:rPr>
        <w:t xml:space="preserve"> — la publication directe par le Délégué de promotion, sans validation administrative intermédiaire, favorise une mise à jour régulière et fréquente des ressources ; </w:t>
      </w:r>
      <w:r>
        <w:rPr>
          <w:b/>
          <w:color w:val="000000"/>
        </w:rPr>
        <w:t>H3</w:t>
      </w:r>
      <w:r>
        <w:rPr>
          <w:color w:val="000000"/>
        </w:rPr>
        <w:t xml:space="preserve"> — la disponibilité des ressources hors connexion améliore l’accès pour les étudiants confrontés à une connectivité limitée ; </w:t>
      </w:r>
      <w:r>
        <w:rPr>
          <w:b/>
          <w:color w:val="000000"/>
        </w:rPr>
        <w:t>H4</w:t>
      </w:r>
      <w:r>
        <w:rPr>
          <w:color w:val="000000"/>
        </w:rPr>
        <w:t xml:space="preserve"> — les fonctionnalités d’échange et de notification renforcent la circulation de l’information et la collaboration au sein de la promotion.</w:t>
      </w:r>
    </w:p>
    <w:p w14:paraId="598DF50E" w14:textId="77777777" w:rsidR="00B00DB4" w:rsidRDefault="00000000">
      <w:pPr>
        <w:pStyle w:val="Corpsdetexte"/>
        <w:spacing w:after="120" w:line="360" w:lineRule="auto"/>
        <w:jc w:val="both"/>
      </w:pPr>
      <w:r>
        <w:rPr>
          <w:b/>
          <w:color w:val="000000"/>
        </w:rPr>
        <w:t>Intérêt du sujet.</w:t>
      </w:r>
      <w:r>
        <w:rPr>
          <w:color w:val="000000"/>
        </w:rPr>
        <w:t xml:space="preserve"> Sur le plan pratique, le projet fournit à AFI-L’UE un outil opérationnel, immédiatement déployable, répondant à un besoin réel et documenté. Sur le plan scientifique, il contribue à la réflexion sur l’adaptation des dispositifs numériques éducatifs aux contextes à ressources et à connectivité limitées, en proposant un cadre de conception sobre, centré sur un besoin clairement circonscrit et reproductible dans des établissements comparables.</w:t>
      </w:r>
    </w:p>
    <w:p w14:paraId="35FEF101" w14:textId="77777777" w:rsidR="00B00DB4" w:rsidRDefault="00000000">
      <w:pPr>
        <w:pStyle w:val="Corpsdetexte"/>
        <w:spacing w:after="120" w:line="360" w:lineRule="auto"/>
        <w:jc w:val="both"/>
      </w:pPr>
      <w:r>
        <w:rPr>
          <w:b/>
          <w:color w:val="000000"/>
        </w:rPr>
        <w:t>Délimitation de l’étude.</w:t>
      </w:r>
      <w:r>
        <w:rPr>
          <w:color w:val="000000"/>
        </w:rPr>
        <w:t xml:space="preserve"> Le travail se concentre sur la diffusion centralisée et structurée des ressources pédagogiques au sein d’AFI-L’UE. Les fonctionnalités additionnelles — sécurité renforcée, notifications, espaces d’échange, évaluation des enseignants, import de cohortes — sont traitées comme des mécanismes de soutien à cette finalité et non comme l’objet central de la recherche. Le mémoire ne vise pas à reproduire un système de gestion de l’apprentissage complet ni à couvrir la dimension de conception pédagogique des contenus eux-mêmes.</w:t>
      </w:r>
    </w:p>
    <w:p w14:paraId="107081D1" w14:textId="77777777" w:rsidR="00B00DB4" w:rsidRDefault="00000000">
      <w:pPr>
        <w:pStyle w:val="Corpsdetexte"/>
        <w:spacing w:after="120" w:line="360" w:lineRule="auto"/>
        <w:jc w:val="both"/>
      </w:pPr>
      <w:r>
        <w:rPr>
          <w:b/>
          <w:color w:val="000000"/>
        </w:rPr>
        <w:t>Structure du mémoire.</w:t>
      </w:r>
      <w:r>
        <w:rPr>
          <w:color w:val="000000"/>
        </w:rPr>
        <w:t xml:space="preserve"> Ce travail s’articule autour de deux parties et de cinq chapitres. La première partie, consacrée au cadre théorique et contextuel, comprend le cadre théorique (chapitre I) et le contexte de l’étude (chapitre II). La seconde partie, consacrée au cadre méthodologique et analytique, présente la méthodologie de conception et de réalisation (chapitre III), la démonstration de l’application (chapitre IV) et l’analyse des résultats assortie de recommandations (chapitre V). Une conclusion générale clôt le travail en rappelant les principaux résultats, les limites et les perspectives.</w:t>
      </w:r>
    </w:p>
    <w:p w14:paraId="4730E938" w14:textId="77777777" w:rsidR="00B00DB4" w:rsidRDefault="00000000">
      <w:pPr>
        <w:pStyle w:val="Titre1"/>
        <w:pageBreakBefore/>
        <w:spacing w:after="240" w:line="276" w:lineRule="auto"/>
        <w:jc w:val="center"/>
      </w:pPr>
      <w:bookmarkStart w:id="11" w:name="X1151e4ffa465e27f7435a2c692eafbb6850724d"/>
      <w:r>
        <w:rPr>
          <w:rFonts w:ascii="Times New Roman" w:hAnsi="Times New Roman"/>
          <w:color w:val="000000"/>
          <w:sz w:val="28"/>
        </w:rPr>
        <w:t>PREMIÈRE PARTIE — CADRE THÉORIQUE, LÉGISLATIF ET RÉGLEMENTAIRE</w:t>
      </w:r>
      <w:bookmarkEnd w:id="11"/>
    </w:p>
    <w:p w14:paraId="3A6FEF52" w14:textId="77777777" w:rsidR="00B00DB4" w:rsidRDefault="00000000">
      <w:pPr>
        <w:pStyle w:val="Titre1"/>
        <w:pageBreakBefore/>
        <w:spacing w:after="240" w:line="276" w:lineRule="auto"/>
        <w:jc w:val="center"/>
      </w:pPr>
      <w:bookmarkStart w:id="12" w:name="chapitre-i-cadre-théorique"/>
      <w:r>
        <w:rPr>
          <w:rFonts w:ascii="Times New Roman" w:hAnsi="Times New Roman"/>
          <w:color w:val="000000"/>
          <w:sz w:val="28"/>
        </w:rPr>
        <w:t>CHAPITRE I — CADRE THÉORIQUE</w:t>
      </w:r>
      <w:bookmarkEnd w:id="12"/>
    </w:p>
    <w:p w14:paraId="733CFECB" w14:textId="77777777" w:rsidR="00B00DB4" w:rsidRDefault="00000000">
      <w:pPr>
        <w:pStyle w:val="Titre3"/>
        <w:spacing w:before="120" w:after="60" w:line="276" w:lineRule="auto"/>
      </w:pPr>
      <w:bookmarkStart w:id="13" w:name="introduction-du-chapitre"/>
      <w:r>
        <w:rPr>
          <w:rFonts w:ascii="Times New Roman" w:hAnsi="Times New Roman"/>
          <w:color w:val="000000"/>
        </w:rPr>
        <w:t>Introduction du chapitre</w:t>
      </w:r>
      <w:bookmarkEnd w:id="13"/>
    </w:p>
    <w:p w14:paraId="0607A211" w14:textId="77777777" w:rsidR="00B00DB4" w:rsidRDefault="00000000">
      <w:pPr>
        <w:pStyle w:val="FirstParagraph"/>
        <w:spacing w:after="120" w:line="360" w:lineRule="auto"/>
        <w:jc w:val="both"/>
      </w:pPr>
      <w:r>
        <w:rPr>
          <w:color w:val="000000"/>
        </w:rPr>
        <w:t>La conception d’une plateforme numérique de diffusion des ressources pédagogiques ne peut se réduire à un exercice technique. Elle suppose de s’appuyer sur un ensemble de concepts et de travaux permettant d’en comprendre les enjeux, d’en justifier les choix et d’en apprécier la portée. Ce premier chapitre pose ce cadre théorique. Il présente d’abord, dans une revue conceptuelle, les notions structurantes que sont les systèmes de gestion de l’apprentissage, les plateformes collaboratives numériques, les architectures logicielles modernes et l’approche « offline-first ». Il mobilise ensuite, dans une revue critique, quatre apports théoriques — le socioconstructivisme, le design centré utilisateur, l’architecture REST et le paradoxe de sur-fonctionnalité — qui éclairent directement les décisions de conception d’AFI-DOCS. L’ensemble vise à montrer en quoi ces concepts soutiennent la réalisation d’une plateforme centralisée, sobre et adaptée aux besoins de l’établissement.</w:t>
      </w:r>
    </w:p>
    <w:p w14:paraId="6DE12470" w14:textId="77777777" w:rsidR="00B00DB4" w:rsidRDefault="00000000">
      <w:pPr>
        <w:pStyle w:val="Titre2"/>
        <w:spacing w:before="160" w:after="80" w:line="276" w:lineRule="auto"/>
      </w:pPr>
      <w:bookmarkStart w:id="14" w:name="section-1-revue-conceptuelle"/>
      <w:r>
        <w:rPr>
          <w:rFonts w:ascii="Times New Roman" w:hAnsi="Times New Roman"/>
          <w:color w:val="000000"/>
          <w:sz w:val="26"/>
        </w:rPr>
        <w:t>Section 1 — Revue conceptuelle</w:t>
      </w:r>
      <w:bookmarkEnd w:id="14"/>
    </w:p>
    <w:p w14:paraId="713FDAB7" w14:textId="77777777" w:rsidR="00B00DB4" w:rsidRDefault="00000000">
      <w:pPr>
        <w:pStyle w:val="Titre3"/>
        <w:spacing w:before="120" w:after="60" w:line="276" w:lineRule="auto"/>
      </w:pPr>
      <w:bookmarkStart w:id="15" w:name="X84a334aa9f770dab6812c94b7547406c15f5d2b"/>
      <w:r>
        <w:rPr>
          <w:rFonts w:ascii="Times New Roman" w:hAnsi="Times New Roman"/>
          <w:color w:val="000000"/>
        </w:rPr>
        <w:t>1.1 Les systèmes de gestion de l’apprentissage (LMS)</w:t>
      </w:r>
      <w:bookmarkEnd w:id="15"/>
    </w:p>
    <w:p w14:paraId="39B68C67" w14:textId="77777777" w:rsidR="00B00DB4" w:rsidRDefault="00000000">
      <w:pPr>
        <w:pStyle w:val="FirstParagraph"/>
        <w:spacing w:after="120" w:line="360" w:lineRule="auto"/>
        <w:jc w:val="both"/>
      </w:pPr>
      <w:r>
        <w:rPr>
          <w:color w:val="000000"/>
        </w:rPr>
        <w:t xml:space="preserve">Un système de gestion de l’apprentissage, ou </w:t>
      </w:r>
      <w:r>
        <w:rPr>
          <w:i/>
          <w:color w:val="000000"/>
        </w:rPr>
        <w:t>Learning Management System</w:t>
      </w:r>
      <w:r>
        <w:rPr>
          <w:color w:val="000000"/>
        </w:rPr>
        <w:t xml:space="preserve"> (LMS), désigne une application destinée à administrer, documenter et diffuser des contenus de formation, tout en assurant le suivi des apprenants. Des plateformes telles que Moodle ou Chamilo en constituent des exemples répandus dans l’enseignement supérieur. Un LMS intègre généralement la gestion des cours et des inscriptions, le dépôt et l’organisation de ressources, des activités d’évaluation, des outils de communication et un suivi de la progression. Depover et Marchand (2002) rappellent que l’efficacité de tels dispositifs tient moins à la richesse de leurs fonctionnalités qu’à la cohérence de l’organisation des contenus qu’ils proposent.</w:t>
      </w:r>
    </w:p>
    <w:p w14:paraId="2B3510E1" w14:textId="77777777" w:rsidR="00B00DB4" w:rsidRDefault="00000000">
      <w:pPr>
        <w:pStyle w:val="Corpsdetexte"/>
        <w:spacing w:after="120" w:line="360" w:lineRule="auto"/>
        <w:jc w:val="both"/>
      </w:pPr>
      <w:r>
        <w:rPr>
          <w:color w:val="000000"/>
        </w:rPr>
        <w:t>Ces plateformes présentent toutefois une complexité qui n’est pas toujours adaptée à tous les besoins. Mtebe et Raisamo (2014), analysant l’adoption des LMS libres en Afrique de l’Est, soulignent que la lourdeur fonctionnelle et les contraintes d’infrastructure freinent fréquemment leur appropriation effective. Le besoin exprimé à AFI-L’UE ne relève pas de la mise en place d’un environnement d’apprentissage complet, mais d’une réponse ciblée à un problème précis : la centralisation et la diffusion structurée des ressources pédagogiques. AFI-DOCS ne vise donc pas à reproduire l’exhaustivité d’un LMS, mais à en retenir la seule dimension pertinente — l’organisation et la mise à disposition fiable des documents — en écartant les fonctionnalités qui n’apportent pas de valeur au regard de cet objectif.</w:t>
      </w:r>
    </w:p>
    <w:p w14:paraId="2DD549D4" w14:textId="77777777" w:rsidR="00B00DB4" w:rsidRDefault="00000000">
      <w:pPr>
        <w:pStyle w:val="Titre3"/>
        <w:spacing w:before="120" w:after="60" w:line="276" w:lineRule="auto"/>
      </w:pPr>
      <w:bookmarkStart w:id="16" w:name="X5c5159ec334927effb5f5312907587b1c11a5ef"/>
      <w:r>
        <w:rPr>
          <w:rFonts w:ascii="Times New Roman" w:hAnsi="Times New Roman"/>
          <w:color w:val="000000"/>
        </w:rPr>
        <w:t>1.2 Les plateformes collaboratives numériques</w:t>
      </w:r>
      <w:bookmarkEnd w:id="16"/>
    </w:p>
    <w:p w14:paraId="6A7E056E" w14:textId="77777777" w:rsidR="00B00DB4" w:rsidRDefault="00000000">
      <w:pPr>
        <w:pStyle w:val="FirstParagraph"/>
        <w:spacing w:after="120" w:line="360" w:lineRule="auto"/>
        <w:jc w:val="both"/>
      </w:pPr>
      <w:r>
        <w:rPr>
          <w:color w:val="000000"/>
        </w:rPr>
        <w:t>Une plateforme collaborative numérique est un espace en ligne permettant à plusieurs utilisateurs d’interagir, de partager et de co-construire des ressources. À la différence d’un LMS strictement descendant, elle reconnaît la pluralité des sources de savoir et organise leurs interactions. Wenger (1998), à travers la notion de communauté de pratique, a montré que la valeur d’un tel espace réside davantage dans la qualité des échanges qu’il suscite que dans le volume de contenus qu’il héberge.</w:t>
      </w:r>
    </w:p>
    <w:p w14:paraId="7FA34EBC" w14:textId="77777777" w:rsidR="00B00DB4" w:rsidRDefault="00000000">
      <w:pPr>
        <w:pStyle w:val="Corpsdetexte"/>
        <w:spacing w:after="120" w:line="360" w:lineRule="auto"/>
        <w:jc w:val="both"/>
      </w:pPr>
      <w:r>
        <w:rPr>
          <w:color w:val="000000"/>
        </w:rPr>
        <w:t>Les outils grand public de messagerie instantanée relèvent, de façon dégradée, de cette logique collaborative : ils facilitent des échanges rapides mais ne sont pas conçus pour la gestion durable des ressources. Il en résulte une dispersion des documents dans le flux des conversations, une perte de traçabilité et une difficulté d’accès équitable, un fichier partagé se trouvant rapidement enfoui sous de nouveaux messages. Ce constat justifie le recours à une plateforme centralisée, dotée d’un classement stable et d’un accès organisé, où la dimension collaborative — commentaires, échanges de classe, annonces — vient soutenir la diffusion des ressources sans se substituer à elle.</w:t>
      </w:r>
    </w:p>
    <w:p w14:paraId="37107337" w14:textId="77777777" w:rsidR="00B00DB4" w:rsidRDefault="00000000">
      <w:pPr>
        <w:pStyle w:val="Titre3"/>
        <w:spacing w:before="120" w:after="60" w:line="276" w:lineRule="auto"/>
      </w:pPr>
      <w:bookmarkStart w:id="17" w:name="X84a7087e988ae82c339ab8f7efb8068d1dbf1dc"/>
      <w:r>
        <w:rPr>
          <w:rFonts w:ascii="Times New Roman" w:hAnsi="Times New Roman"/>
          <w:color w:val="000000"/>
        </w:rPr>
        <w:t>1.3 Les architectures logicielles modernes (REST, API)</w:t>
      </w:r>
      <w:bookmarkEnd w:id="17"/>
    </w:p>
    <w:p w14:paraId="0D20D4A2" w14:textId="77777777" w:rsidR="00B00DB4" w:rsidRDefault="00000000">
      <w:pPr>
        <w:pStyle w:val="FirstParagraph"/>
        <w:spacing w:after="120" w:line="360" w:lineRule="auto"/>
        <w:jc w:val="both"/>
      </w:pPr>
      <w:r>
        <w:rPr>
          <w:color w:val="000000"/>
        </w:rPr>
        <w:t>La conception d’une application web et mobile repose sur des choix d’architecture logicielle déterminants pour ses qualités de performance, de maintenabilité et d’évolutivité. Le style d’architecture REST (</w:t>
      </w:r>
      <w:r>
        <w:rPr>
          <w:i/>
          <w:color w:val="000000"/>
        </w:rPr>
        <w:t>Representational State Transfer</w:t>
      </w:r>
      <w:r>
        <w:rPr>
          <w:color w:val="000000"/>
        </w:rPr>
        <w:t>), formalisé par Fielding (2000), définit un ensemble de contraintes applicables aux services web : interface uniforme, séparation client-serveur, absence d’état, mise en cache et système en couches. Une interface de programmation applicative (API) conforme à ces principes expose des ressources manipulables au moyen des méthodes du protocole HTTP, garantissant une communication cohérente et interopérable entre les composants d’un système.</w:t>
      </w:r>
    </w:p>
    <w:p w14:paraId="3F8A018D" w14:textId="77777777" w:rsidR="00B00DB4" w:rsidRDefault="00000000">
      <w:pPr>
        <w:pStyle w:val="Corpsdetexte"/>
        <w:spacing w:after="120" w:line="360" w:lineRule="auto"/>
        <w:jc w:val="both"/>
      </w:pPr>
      <w:r>
        <w:rPr>
          <w:color w:val="000000"/>
        </w:rPr>
        <w:t>Cette approche est particulièrement adaptée à un dispositif comportant plusieurs interfaces. Dans AFI-DOCS, un backend développé avec le cadriciel Laravel 11 expose une API REST unique, consommée à la fois par le front web réalisé en React et par l’application mobile développée en React Native/Expo. Une même logique métier et un même point d’accès aux données servent ainsi les deux canaux, ce qui assure la cohérence des ressources diffusées et facilite la maintenance. La figure suivante présente cette organisation d’ensemble.</w:t>
      </w:r>
    </w:p>
    <w:p w14:paraId="2C6A48A1" w14:textId="77777777" w:rsidR="00B00DB4" w:rsidRDefault="00000000">
      <w:pPr>
        <w:pStyle w:val="Normalcentr"/>
        <w:spacing w:after="120" w:line="360" w:lineRule="auto"/>
        <w:jc w:val="both"/>
      </w:pPr>
      <w:r>
        <w:rPr>
          <w:b/>
          <w:color w:val="000000"/>
        </w:rPr>
        <w:t>[Figure 1.1 — Architecture générale d’AFI-DOCS : front web (React/Vite) et application mobile (React Native/Expo) communiquant avec l’API REST Laravel 11 (Sanctum), la base de données MySQL 8 et le stockage local SQLite pour le mode hors connexion.]</w:t>
      </w:r>
    </w:p>
    <w:p w14:paraId="04710A21" w14:textId="77777777" w:rsidR="00B00DB4" w:rsidRDefault="00000000">
      <w:pPr>
        <w:pStyle w:val="FirstParagraph"/>
        <w:spacing w:after="120" w:line="360" w:lineRule="auto"/>
        <w:jc w:val="both"/>
      </w:pPr>
      <w:r>
        <w:rPr>
          <w:i/>
          <w:color w:val="000000"/>
        </w:rPr>
        <w:t>Figure 1.1 : Architecture technique générale de la plateforme AFI-DOCS. Source : auteur, 2026.</w:t>
      </w:r>
    </w:p>
    <w:p w14:paraId="7F9E4BF5" w14:textId="77777777" w:rsidR="00B00DB4" w:rsidRDefault="00000000">
      <w:pPr>
        <w:pStyle w:val="Titre3"/>
        <w:spacing w:before="120" w:after="60" w:line="276" w:lineRule="auto"/>
      </w:pPr>
      <w:bookmarkStart w:id="18" w:name="lapproche-offline-first"/>
      <w:r>
        <w:rPr>
          <w:rFonts w:ascii="Times New Roman" w:hAnsi="Times New Roman"/>
          <w:color w:val="000000"/>
        </w:rPr>
        <w:t>1.4 L’approche « offline-first »</w:t>
      </w:r>
      <w:bookmarkEnd w:id="18"/>
    </w:p>
    <w:p w14:paraId="76D4EA24" w14:textId="77777777" w:rsidR="00B00DB4" w:rsidRDefault="00000000">
      <w:pPr>
        <w:pStyle w:val="FirstParagraph"/>
        <w:spacing w:after="120" w:line="360" w:lineRule="auto"/>
        <w:jc w:val="both"/>
      </w:pPr>
      <w:r>
        <w:rPr>
          <w:color w:val="000000"/>
        </w:rPr>
        <w:t>L’approche « offline-first » (ou « local-first ») désigne un paradigme de conception dans lequel l’application est pensée pour fonctionner d’abord sans connexion, la disponibilité du réseau étant traitée comme une fonctionnalité optionnelle et non comme une condition de fonctionnement (Kleppmann et al., 2019). Les données sont stockées localement sur l’appareil de l’utilisateur, qui consulte ses contenus de manière quasi instantanée, même hors réseau ; la synchronisation avec le serveur s’effectue en arrière-plan dès que la connexion est rétablie. Sur le plan architectural, ce modèle repose sur trois piliers : un stockage local persistant, un mécanisme de synchronisation et une stratégie de résolution des conflits (MDN Web Docs, 2024).</w:t>
      </w:r>
    </w:p>
    <w:p w14:paraId="612755E5" w14:textId="77777777" w:rsidR="00B00DB4" w:rsidRDefault="00000000">
      <w:pPr>
        <w:pStyle w:val="Corpsdetexte"/>
        <w:spacing w:after="120" w:line="360" w:lineRule="auto"/>
        <w:jc w:val="both"/>
      </w:pPr>
      <w:r>
        <w:rPr>
          <w:color w:val="000000"/>
        </w:rPr>
        <w:t>Cette approche revêt une pertinence particulière dans les contextes de connectivité limitée. En Afrique subsaharienne, la pénétration de l’internet mobile demeurait minoritaire à la fin de 2023, et une part importante de la population couverte par un réseau ne l’utilise pas, principalement en raison du coût des terminaux et des forfaits de données (GSMA, 2024). Faire dépendre l’accès aux ressources d’une connexion permanente reviendrait alors à reproduire l’exclusion numérique que le projet cherche à combattre. C’est pourquoi AFI-DOCS adopte une logique offline-first sur son application mobile : les ressources téléchargées sont conservées dans une base locale SQLite et demeurent consultables sans connexion, la synchronisation s’opérant au retour du réseau. Le fonctionnement hors ligne y constitue un choix de conception structurant, directement articulé à l’objectif d’équité d’accès.</w:t>
      </w:r>
    </w:p>
    <w:p w14:paraId="3D1724E8" w14:textId="77777777" w:rsidR="00B00DB4" w:rsidRDefault="00000000">
      <w:pPr>
        <w:pStyle w:val="Titre2"/>
        <w:spacing w:before="160" w:after="80" w:line="276" w:lineRule="auto"/>
      </w:pPr>
      <w:bookmarkStart w:id="19" w:name="X034d5bee4e0c4bcc072d754667102bb0c6eae6d"/>
      <w:r>
        <w:rPr>
          <w:rFonts w:ascii="Times New Roman" w:hAnsi="Times New Roman"/>
          <w:color w:val="000000"/>
          <w:sz w:val="26"/>
        </w:rPr>
        <w:t>Section 2 — Revue critique de la littérature</w:t>
      </w:r>
      <w:bookmarkEnd w:id="19"/>
    </w:p>
    <w:p w14:paraId="3BEFB5A4" w14:textId="77777777" w:rsidR="00B00DB4" w:rsidRDefault="00000000">
      <w:pPr>
        <w:pStyle w:val="Titre3"/>
        <w:spacing w:before="120" w:after="60" w:line="276" w:lineRule="auto"/>
      </w:pPr>
      <w:bookmarkStart w:id="20" w:name="le-socioconstructivisme-vygotsky-1978"/>
      <w:r>
        <w:rPr>
          <w:rFonts w:ascii="Times New Roman" w:hAnsi="Times New Roman"/>
          <w:color w:val="000000"/>
        </w:rPr>
        <w:t>2.1 Le socioconstructivisme — Vygotsky (1978)</w:t>
      </w:r>
      <w:bookmarkEnd w:id="20"/>
    </w:p>
    <w:p w14:paraId="76183ADA" w14:textId="77777777" w:rsidR="00B00DB4" w:rsidRDefault="00000000">
      <w:pPr>
        <w:pStyle w:val="FirstParagraph"/>
        <w:spacing w:after="120" w:line="360" w:lineRule="auto"/>
        <w:jc w:val="both"/>
      </w:pPr>
      <w:r>
        <w:rPr>
          <w:color w:val="000000"/>
        </w:rPr>
        <w:t>La théorie socioconstructiviste de Vygotsky (1978) postule que l’apprentissage se construit à travers les interactions sociales et la médiation par des outils partagés. Sa notion de zone proximale de développement (ZPD) désigne l’écart entre ce que l’apprenant peut accomplir seul et ce qu’il peut réaliser avec l’aide d’un pair plus compétent ou d’un instrument médiateur. Dans cette perspective, l’outil n’est pas un simple support : il participe à la construction du savoir.</w:t>
      </w:r>
    </w:p>
    <w:p w14:paraId="1A96BB14" w14:textId="77777777" w:rsidR="00B00DB4" w:rsidRDefault="00000000">
      <w:pPr>
        <w:pStyle w:val="Corpsdetexte"/>
        <w:spacing w:after="120" w:line="360" w:lineRule="auto"/>
        <w:jc w:val="both"/>
      </w:pPr>
      <w:r>
        <w:rPr>
          <w:color w:val="000000"/>
        </w:rPr>
        <w:t>AFI-DOCS matérialise cette approche de deux manières. D’une part, la plateforme agit comme un instrument médiateur qui structure, classe et rend accessible le savoir, transformant l’accès aux ressources en une expérience organisée. D’autre part, les espaces d’échange associés aux ressources — commentaires, discussion de classe, annonces — offrent un cadre aux interactions entre pairs, un étudiant avancé pouvant enrichir une ressource par des explications ou des mises en contexte. La disponibilité hors connexion prolonge cette logique en garantissant que les contraintes matérielles ne restreignent pas les conditions d’accès à ces médiations.</w:t>
      </w:r>
    </w:p>
    <w:p w14:paraId="2393A7BD" w14:textId="77777777" w:rsidR="00B00DB4" w:rsidRDefault="00000000">
      <w:pPr>
        <w:pStyle w:val="Titre3"/>
        <w:spacing w:before="120" w:after="60" w:line="276" w:lineRule="auto"/>
      </w:pPr>
      <w:bookmarkStart w:id="21" w:name="le-design-centré-utilisateur-norman-2013"/>
      <w:r>
        <w:rPr>
          <w:rFonts w:ascii="Times New Roman" w:hAnsi="Times New Roman"/>
          <w:color w:val="000000"/>
        </w:rPr>
        <w:t>2.2 Le design centré utilisateur — Norman (2013)</w:t>
      </w:r>
      <w:bookmarkEnd w:id="21"/>
    </w:p>
    <w:p w14:paraId="7296BD59" w14:textId="77777777" w:rsidR="00B00DB4" w:rsidRDefault="00000000">
      <w:pPr>
        <w:pStyle w:val="FirstParagraph"/>
        <w:spacing w:after="120" w:line="360" w:lineRule="auto"/>
        <w:jc w:val="both"/>
      </w:pPr>
      <w:r>
        <w:rPr>
          <w:color w:val="000000"/>
        </w:rPr>
        <w:t xml:space="preserve">Norman (2013), dans </w:t>
      </w:r>
      <w:r>
        <w:rPr>
          <w:i/>
          <w:color w:val="000000"/>
        </w:rPr>
        <w:t>The Design of Everyday Things</w:t>
      </w:r>
      <w:r>
        <w:rPr>
          <w:color w:val="000000"/>
        </w:rPr>
        <w:t>, établit les principes du design centré utilisateur. Sa thèse est que la qualité d’un système ne se mesure pas à ses caractéristiques techniques intrinsèques, mais à la facilité avec laquelle ses utilisateurs peuvent l’employer sans formation préalable. Les principes d’affordance, de visibilité, de retour d’information et de cohérence guident la conception d’interfaces intuitives.</w:t>
      </w:r>
    </w:p>
    <w:p w14:paraId="1BEAE84F" w14:textId="77777777" w:rsidR="00B00DB4" w:rsidRDefault="00000000">
      <w:pPr>
        <w:pStyle w:val="Corpsdetexte"/>
        <w:spacing w:after="120" w:line="360" w:lineRule="auto"/>
        <w:jc w:val="both"/>
      </w:pPr>
      <w:r>
        <w:rPr>
          <w:color w:val="000000"/>
        </w:rPr>
        <w:t>Ces principes orientent directement la conception d’AFI-DOCS. L’organisation hiérarchique des ressources — filière, niveau, matière, semestre, année académique — fournit un modèle mental clair et prévisible. La restriction de l’accès aux seules ressources pertinentes pour chaque étudiant réduit la charge informationnelle et facilite le repérage. Enfin, la différenciation des espaces selon les trois rôles et la sobriété des interfaces visent une prise en main immédiate, sans apprentissage préalable, conformément à l’exigence d’utilisabilité formulée par Norman.</w:t>
      </w:r>
    </w:p>
    <w:p w14:paraId="1DDEE49C" w14:textId="77777777" w:rsidR="00B00DB4" w:rsidRDefault="00000000">
      <w:pPr>
        <w:pStyle w:val="Titre3"/>
        <w:spacing w:before="120" w:after="60" w:line="276" w:lineRule="auto"/>
      </w:pPr>
      <w:bookmarkStart w:id="22" w:name="X1b8f3eee6f5bb20ebe7d7682b0e9e16d8852c17"/>
      <w:r>
        <w:rPr>
          <w:rFonts w:ascii="Times New Roman" w:hAnsi="Times New Roman"/>
          <w:color w:val="000000"/>
        </w:rPr>
        <w:t>2.3 Architecture REST et monolithe structuré — Fielding (2000) et Newman (2015)</w:t>
      </w:r>
      <w:bookmarkEnd w:id="22"/>
    </w:p>
    <w:p w14:paraId="0AF4FA35" w14:textId="77777777" w:rsidR="00B00DB4" w:rsidRDefault="00000000">
      <w:pPr>
        <w:pStyle w:val="FirstParagraph"/>
        <w:spacing w:after="120" w:line="360" w:lineRule="auto"/>
        <w:jc w:val="both"/>
      </w:pPr>
      <w:r>
        <w:rPr>
          <w:color w:val="000000"/>
        </w:rPr>
        <w:t>La formalisation de REST par Fielding (2000) fournit le socle conceptuel de la communication entre les interfaces d’AFI-DOCS et son serveur. À ce choix s’ajoute une décision architecturale relative à l’organisation du backend. Newman (2015), en analysant les architectures distribuées, met en balance les microservices et le monolithe : si les premiers offrent une scalabilité et une indépendance des équipes appréciables à grande échelle, ils introduisent une complexité opérationnelle considérable.</w:t>
      </w:r>
    </w:p>
    <w:p w14:paraId="732F8C4E" w14:textId="77777777" w:rsidR="00B00DB4" w:rsidRDefault="00000000">
      <w:pPr>
        <w:pStyle w:val="Corpsdetexte"/>
        <w:spacing w:after="120" w:line="360" w:lineRule="auto"/>
        <w:jc w:val="both"/>
      </w:pPr>
      <w:r>
        <w:rPr>
          <w:color w:val="000000"/>
        </w:rPr>
        <w:t xml:space="preserve">Pour un projet mené par un développeur unique dans un cadre académique, le choix d’un </w:t>
      </w:r>
      <w:r>
        <w:rPr>
          <w:b/>
          <w:color w:val="000000"/>
        </w:rPr>
        <w:t>monolithe structuré</w:t>
      </w:r>
      <w:r>
        <w:rPr>
          <w:color w:val="000000"/>
        </w:rPr>
        <w:t xml:space="preserve"> — un backend Laravel unique, clairement organisé et exposant une API REST — constitue le compromis le plus pertinent. Il procure une cohérence transactionnelle native, une courbe d’apprentissage réduite et une maintenance simplifiée, tout en conservant la modularité nécessaire pour servir les interfaces web et mobile. Ce choix illustre une conception mesurée, ajustée aux contraintes réelles du projet plutôt qu’à un idéal architectural abstrait.</w:t>
      </w:r>
    </w:p>
    <w:p w14:paraId="0226905D" w14:textId="77777777" w:rsidR="00B00DB4" w:rsidRDefault="00000000">
      <w:pPr>
        <w:pStyle w:val="Titre3"/>
        <w:spacing w:before="120" w:after="60" w:line="276" w:lineRule="auto"/>
      </w:pPr>
      <w:bookmarkStart w:id="23" w:name="Xd9cc442f159437057a312dc5151a300d37f61c3"/>
      <w:r>
        <w:rPr>
          <w:rFonts w:ascii="Times New Roman" w:hAnsi="Times New Roman"/>
          <w:color w:val="000000"/>
        </w:rPr>
        <w:t>2.4 Le paradoxe de sur-fonctionnalité — Naveh et al. (2010)</w:t>
      </w:r>
      <w:bookmarkEnd w:id="23"/>
    </w:p>
    <w:p w14:paraId="1C7CF55D" w14:textId="77777777" w:rsidR="00B00DB4" w:rsidRDefault="00000000">
      <w:pPr>
        <w:pStyle w:val="FirstParagraph"/>
        <w:spacing w:after="120" w:line="360" w:lineRule="auto"/>
        <w:jc w:val="both"/>
      </w:pPr>
      <w:r>
        <w:rPr>
          <w:color w:val="000000"/>
        </w:rPr>
        <w:t>Naveh, Tubin et Pliskin (2010) mettent en évidence un paradoxe fréquent des systèmes d’information académiques : l’accumulation de fonctionnalités, loin d’accroître la satisfaction des utilisateurs, peut la dégrader en complexifiant l’usage et en dispersant l’attention. Un système trop riche devient difficile à appréhender et suscite un rejet.</w:t>
      </w:r>
    </w:p>
    <w:p w14:paraId="00DD9F66" w14:textId="77777777" w:rsidR="00B00DB4" w:rsidRDefault="00000000">
      <w:pPr>
        <w:pStyle w:val="Corpsdetexte"/>
        <w:spacing w:after="120" w:line="360" w:lineRule="auto"/>
        <w:jc w:val="both"/>
      </w:pPr>
      <w:r>
        <w:rPr>
          <w:color w:val="000000"/>
        </w:rPr>
        <w:t>Cette mise en garde constitue un principe directeur pour AFI-DOCS. La plateforme est conçue autour d’un objectif clairement circonscrit — la diffusion centralisée et structurée des ressources pédagogiques — et chaque fonctionnalité additionnelle est évaluée à l’aune de sa contribution à cette finalité. La sécurité, les notifications, les espaces d’échange ou l’évaluation des enseignants ne sont intégrés que dans la mesure où ils renforcent l’usage principal, sans le surcharger. Cette sobriété assumée est un gage d’adoption.</w:t>
      </w:r>
    </w:p>
    <w:p w14:paraId="5138AF6C" w14:textId="77777777" w:rsidR="00B00DB4" w:rsidRDefault="00000000">
      <w:pPr>
        <w:pStyle w:val="Titre3"/>
        <w:spacing w:before="120" w:after="60" w:line="276" w:lineRule="auto"/>
      </w:pPr>
      <w:bookmarkStart w:id="24" w:name="conclusion-du-chapitre"/>
      <w:r>
        <w:rPr>
          <w:rFonts w:ascii="Times New Roman" w:hAnsi="Times New Roman"/>
          <w:color w:val="000000"/>
        </w:rPr>
        <w:t>Conclusion du chapitre</w:t>
      </w:r>
      <w:bookmarkEnd w:id="24"/>
    </w:p>
    <w:p w14:paraId="06AE91E3" w14:textId="77777777" w:rsidR="00B00DB4" w:rsidRDefault="00000000">
      <w:pPr>
        <w:pStyle w:val="FirstParagraph"/>
        <w:spacing w:after="120" w:line="360" w:lineRule="auto"/>
        <w:jc w:val="both"/>
      </w:pPr>
      <w:r>
        <w:rPr>
          <w:color w:val="000000"/>
        </w:rPr>
        <w:t>Ce chapitre a posé les fondements théoriques du projet. La revue conceptuelle a clarifié les notions de LMS, de plateforme collaborative, d’architecture REST et d’approche offline-first, en montrant que le besoin d’AFI-L’UE appelle une solution ciblée plutôt qu’un environnement d’apprentissage exhaustif. La revue critique a mobilisé le socioconstructivisme de Vygotsky, le design centré utilisateur de Norman, les architectures de Fielding et Newman et la mise en garde de Naveh et al. contre la sur-fonctionnalité. Ces apports convergent vers un même impératif : concevoir une plateforme centralisée, sobre, ergonomique et adaptée à son contexte. Le chapitre suivant ancre cette réflexion dans la réalité du terrain, en examinant le contexte général de la numérisation de l’enseignement supérieur africain, puis le contexte spécifique d’AFI-L’UE.</w:t>
      </w:r>
    </w:p>
    <w:p w14:paraId="721F73A0" w14:textId="77777777" w:rsidR="00B00DB4" w:rsidRDefault="00000000">
      <w:pPr>
        <w:pStyle w:val="Titre1"/>
        <w:pageBreakBefore/>
        <w:spacing w:after="240" w:line="276" w:lineRule="auto"/>
        <w:jc w:val="center"/>
      </w:pPr>
      <w:bookmarkStart w:id="25" w:name="chapitre-ii-contexte-de-létude"/>
      <w:r>
        <w:rPr>
          <w:rFonts w:ascii="Times New Roman" w:hAnsi="Times New Roman"/>
          <w:color w:val="000000"/>
          <w:sz w:val="28"/>
        </w:rPr>
        <w:t>CHAPITRE II — CONTEXTE DE L’ÉTUDE</w:t>
      </w:r>
      <w:bookmarkEnd w:id="25"/>
    </w:p>
    <w:p w14:paraId="3BA3A9E0" w14:textId="77777777" w:rsidR="00B00DB4" w:rsidRDefault="00000000">
      <w:pPr>
        <w:pStyle w:val="Titre3"/>
        <w:spacing w:before="120" w:after="60" w:line="276" w:lineRule="auto"/>
      </w:pPr>
      <w:bookmarkStart w:id="26" w:name="introduction-du-chapitre-1"/>
      <w:r>
        <w:rPr>
          <w:rFonts w:ascii="Times New Roman" w:hAnsi="Times New Roman"/>
          <w:color w:val="000000"/>
        </w:rPr>
        <w:t>Introduction du chapitre</w:t>
      </w:r>
      <w:bookmarkEnd w:id="26"/>
    </w:p>
    <w:p w14:paraId="10B8CDD2" w14:textId="77777777" w:rsidR="00B00DB4" w:rsidRDefault="00000000">
      <w:pPr>
        <w:pStyle w:val="FirstParagraph"/>
        <w:spacing w:after="120" w:line="360" w:lineRule="auto"/>
        <w:jc w:val="both"/>
      </w:pPr>
      <w:r>
        <w:rPr>
          <w:color w:val="000000"/>
        </w:rPr>
        <w:t>Après avoir établi le cadre théorique du projet, il convient d’ancrer la réflexion dans la réalité observable. Comprendre les besoins qui ont conduit au développement d’AFI-DOCS suppose en effet d’examiner le contexte dans lequel s’inscrit l’établissement. Ce chapitre procède en deux temps. Il présente d’abord le contexte général : l’évolution de la numérisation de l’enseignement supérieur en Afrique et les enjeux pédagogiques qui l’accompagnent. Il expose ensuite le contexte spécifique d’AFI-L’UE : la présentation de l’institution, les pratiques actuelles de partage des ressources et, enfin, les défaillances identifiées et les besoins exprimés par les acteurs. Ce diagnostic contextuel fonde la pertinence de la solution proposée.</w:t>
      </w:r>
    </w:p>
    <w:p w14:paraId="1CBCA3CB" w14:textId="77777777" w:rsidR="00B00DB4" w:rsidRDefault="00000000">
      <w:pPr>
        <w:pStyle w:val="Titre2"/>
        <w:spacing w:before="160" w:after="80" w:line="276" w:lineRule="auto"/>
      </w:pPr>
      <w:bookmarkStart w:id="27" w:name="section-1-contexte-général"/>
      <w:r>
        <w:rPr>
          <w:rFonts w:ascii="Times New Roman" w:hAnsi="Times New Roman"/>
          <w:color w:val="000000"/>
          <w:sz w:val="26"/>
        </w:rPr>
        <w:t>Section 1 — Contexte général</w:t>
      </w:r>
      <w:bookmarkEnd w:id="27"/>
    </w:p>
    <w:p w14:paraId="0BE4668F" w14:textId="77777777" w:rsidR="00B00DB4" w:rsidRDefault="00000000">
      <w:pPr>
        <w:pStyle w:val="Titre3"/>
        <w:spacing w:before="120" w:after="60" w:line="276" w:lineRule="auto"/>
      </w:pPr>
      <w:bookmarkStart w:id="28" w:name="Xe8149e7720c8aaecd35b763bb02305a2f84b339"/>
      <w:r>
        <w:rPr>
          <w:rFonts w:ascii="Times New Roman" w:hAnsi="Times New Roman"/>
          <w:color w:val="000000"/>
        </w:rPr>
        <w:t>1.1 La numérisation de l’enseignement supérieur en Afrique</w:t>
      </w:r>
      <w:bookmarkEnd w:id="28"/>
    </w:p>
    <w:p w14:paraId="543F3E2F" w14:textId="77777777" w:rsidR="00B00DB4" w:rsidRDefault="00000000">
      <w:pPr>
        <w:pStyle w:val="FirstParagraph"/>
        <w:spacing w:after="120" w:line="360" w:lineRule="auto"/>
        <w:jc w:val="both"/>
      </w:pPr>
      <w:r>
        <w:rPr>
          <w:color w:val="000000"/>
        </w:rPr>
        <w:t>La numérisation de l’enseignement supérieur africain connaît une progression rapide, portée par la diffusion des équipements mobiles et par la prise de conscience, accentuée par la crise sanitaire, du rôle des outils numériques dans la continuité pédagogique. L’UNESCO (2023) souligne que le numérique éducatif offre des opportunités réelles d’élargissement de l’accès au savoir, à condition qu’il soit déployé dans des conditions techniques et organisationnelles adaptées aux réalités locales.</w:t>
      </w:r>
    </w:p>
    <w:p w14:paraId="194180CC" w14:textId="77777777" w:rsidR="00B00DB4" w:rsidRDefault="00000000">
      <w:pPr>
        <w:pStyle w:val="Corpsdetexte"/>
        <w:spacing w:after="120" w:line="360" w:lineRule="auto"/>
        <w:jc w:val="both"/>
      </w:pPr>
      <w:r>
        <w:rPr>
          <w:color w:val="000000"/>
        </w:rPr>
        <w:t>Ces opportunités demeurent cependant conditionnées par des contraintes structurelles. La GSMA (2024) rappelle que, malgré une couverture réseau étendue, l’usage effectif de l’internet mobile en Afrique subsaharienne reste limité par le coût des terminaux et des données, ce qui creuse un écart d’usage entre populations connectées et non connectées. À cette contrainte de connectivité s’ajoute une difficulté organisationnelle : la multiplication des contenus numériques, lorsqu’elle n’est pas accompagnée d’une structuration rigoureuse, produit non pas un meilleur accès au savoir mais une nouvelle forme de désordre. La question n’est donc pas seulement de numériser, mais de numériser de manière organisée et accessible.</w:t>
      </w:r>
    </w:p>
    <w:p w14:paraId="00F6BEEC" w14:textId="77777777" w:rsidR="00B00DB4" w:rsidRDefault="00000000">
      <w:pPr>
        <w:pStyle w:val="Titre3"/>
        <w:spacing w:before="120" w:after="60" w:line="276" w:lineRule="auto"/>
      </w:pPr>
      <w:bookmarkStart w:id="29" w:name="les-enjeux-pédagogiques-du-numérique"/>
      <w:r>
        <w:rPr>
          <w:rFonts w:ascii="Times New Roman" w:hAnsi="Times New Roman"/>
          <w:color w:val="000000"/>
        </w:rPr>
        <w:t>1.2 Les enjeux pédagogiques du numérique</w:t>
      </w:r>
      <w:bookmarkEnd w:id="29"/>
    </w:p>
    <w:p w14:paraId="150708AD" w14:textId="77777777" w:rsidR="00B00DB4" w:rsidRDefault="00000000">
      <w:pPr>
        <w:pStyle w:val="FirstParagraph"/>
        <w:spacing w:after="120" w:line="360" w:lineRule="auto"/>
        <w:jc w:val="both"/>
      </w:pPr>
      <w:r>
        <w:rPr>
          <w:color w:val="000000"/>
        </w:rPr>
        <w:t>Au-delà de ses aspects techniques, la numérisation soulève des enjeux proprement pédagogiques. Le premier est celui de l’</w:t>
      </w:r>
      <w:r>
        <w:rPr>
          <w:b/>
          <w:color w:val="000000"/>
        </w:rPr>
        <w:t>accessibilité</w:t>
      </w:r>
      <w:r>
        <w:rPr>
          <w:color w:val="000000"/>
        </w:rPr>
        <w:t xml:space="preserve"> : la valeur d’une ressource tient à la possibilité effective, pour l’étudiant, d’y accéder au moment où il en a besoin. Le deuxième est celui de l’</w:t>
      </w:r>
      <w:r>
        <w:rPr>
          <w:b/>
          <w:color w:val="000000"/>
        </w:rPr>
        <w:t>équité</w:t>
      </w:r>
      <w:r>
        <w:rPr>
          <w:color w:val="000000"/>
        </w:rPr>
        <w:t xml:space="preserve"> : un dispositif qui avantage les étudiants les mieux équipés ou les mieux connectés reproduit, voire amplifie, les inégalités qu’il prétend réduire. Le troisième est celui de la </w:t>
      </w:r>
      <w:r>
        <w:rPr>
          <w:b/>
          <w:color w:val="000000"/>
        </w:rPr>
        <w:t>continuité pédagogique</w:t>
      </w:r>
      <w:r>
        <w:rPr>
          <w:color w:val="000000"/>
        </w:rPr>
        <w:t xml:space="preserve"> : la disponibilité durable des supports, indépendamment des aléas de connexion ou de changement d’appareil, conditionne la régularité du travail étudiant.</w:t>
      </w:r>
    </w:p>
    <w:p w14:paraId="49E49D61" w14:textId="77777777" w:rsidR="00B00DB4" w:rsidRDefault="00000000">
      <w:pPr>
        <w:pStyle w:val="Corpsdetexte"/>
        <w:spacing w:after="120" w:line="360" w:lineRule="auto"/>
        <w:jc w:val="both"/>
      </w:pPr>
      <w:r>
        <w:rPr>
          <w:color w:val="000000"/>
        </w:rPr>
        <w:t>Ces enjeux convergent vers une exigence commune : garantir un accès durable, équitable et organisé aux ressources pédagogiques. C’est précisément cette exigence qui justifie la conception d’une plateforme permettant aux étudiants de retrouver leurs supports de façon fiable, y compris hors connexion, et de manière adaptée à leur parcours. AFI-DOCS s’inscrit dans cette perspective en faisant de la structuration et de la disponibilité des ressources sa finalité première.</w:t>
      </w:r>
    </w:p>
    <w:p w14:paraId="627670FC" w14:textId="77777777" w:rsidR="00B00DB4" w:rsidRDefault="00000000">
      <w:pPr>
        <w:pStyle w:val="Titre2"/>
        <w:spacing w:before="160" w:after="80" w:line="276" w:lineRule="auto"/>
      </w:pPr>
      <w:bookmarkStart w:id="30" w:name="section-2-contexte-spécifique-à-lafi"/>
      <w:r>
        <w:rPr>
          <w:rFonts w:ascii="Times New Roman" w:hAnsi="Times New Roman"/>
          <w:color w:val="000000"/>
          <w:sz w:val="26"/>
        </w:rPr>
        <w:t>Section 2 — Contexte spécifique à l’AFI</w:t>
      </w:r>
      <w:bookmarkEnd w:id="30"/>
    </w:p>
    <w:p w14:paraId="74D95480" w14:textId="77777777" w:rsidR="00B00DB4" w:rsidRDefault="00000000">
      <w:pPr>
        <w:pStyle w:val="Titre3"/>
        <w:spacing w:before="120" w:after="60" w:line="276" w:lineRule="auto"/>
      </w:pPr>
      <w:bookmarkStart w:id="31" w:name="présentation-de-lafi"/>
      <w:r>
        <w:rPr>
          <w:rFonts w:ascii="Times New Roman" w:hAnsi="Times New Roman"/>
          <w:color w:val="000000"/>
        </w:rPr>
        <w:t>2.1 Présentation de l’AFI</w:t>
      </w:r>
      <w:bookmarkEnd w:id="31"/>
    </w:p>
    <w:p w14:paraId="508BB45A" w14:textId="77777777" w:rsidR="00B00DB4" w:rsidRDefault="00000000">
      <w:pPr>
        <w:pStyle w:val="FirstParagraph"/>
        <w:spacing w:after="120" w:line="360" w:lineRule="auto"/>
        <w:jc w:val="both"/>
      </w:pPr>
      <w:r>
        <w:rPr>
          <w:color w:val="000000"/>
        </w:rPr>
        <w:t>AFI — L’Université de l’Entreprise (AFI-L’UE) est un établissement privé d’enseignement supérieur implanté à Dakar, au Sénégal. Fidèle à sa dénomination, l’institution revendique une orientation professionnalisante forte, articulant les enseignements académiques aux besoins du monde de l’entreprise. Elle accueille des étudiants du cycle Licence au cycle Master, organisés selon le système Licence-Master-Doctorat.</w:t>
      </w:r>
    </w:p>
    <w:p w14:paraId="1A92B24B" w14:textId="77777777" w:rsidR="00B00DB4" w:rsidRDefault="00000000">
      <w:pPr>
        <w:pStyle w:val="Corpsdetexte"/>
        <w:spacing w:after="120" w:line="360" w:lineRule="auto"/>
        <w:jc w:val="both"/>
      </w:pPr>
      <w:r>
        <w:rPr>
          <w:color w:val="000000"/>
        </w:rPr>
        <w:t>L’offre de formation couvre une douzaine de filières relevant de domaines variés, parmi lesquelles le Management et l’Administration des Institutions, la Banque-Assurance-Finance, la Gestion et les Sciences de l’Entreprise, le Transport et la Logistique, le Marketing et la Communication, le Management de la Qualité, de l’Hygiène, de la Sécurité et de l’Environnement, la Gestion des Ressources Humaines, le Développement Web et Mobile ou Digital, le Génie Logiciel, les Systèmes et Réseaux de Télécommunications, le Management Juridique et Fiscal, et les Langues Étrangères Appliquées. Cette diversité disciplinaire, conjuguée à la croissance des effectifs, accentue le besoin d’un dispositif capable d’organiser la diffusion des ressources par filière et par niveau. Le contexte propre à l’établissement — pluralité des formations, orientation professionnelle et public varié dans ses équipements — justifie ainsi la mise en place d’une plateforme de gestion et de diffusion structurée des ressources pédagogiques.</w:t>
      </w:r>
    </w:p>
    <w:p w14:paraId="08CEB9AC" w14:textId="77777777" w:rsidR="00B00DB4" w:rsidRDefault="00000000">
      <w:pPr>
        <w:pStyle w:val="Titre3"/>
        <w:spacing w:before="120" w:after="60" w:line="276" w:lineRule="auto"/>
      </w:pPr>
      <w:bookmarkStart w:id="32" w:name="pratiques-actuelles-de-partage"/>
      <w:r>
        <w:rPr>
          <w:rFonts w:ascii="Times New Roman" w:hAnsi="Times New Roman"/>
          <w:color w:val="000000"/>
        </w:rPr>
        <w:t>2.2 Pratiques actuelles de partage</w:t>
      </w:r>
      <w:bookmarkEnd w:id="32"/>
    </w:p>
    <w:p w14:paraId="7DB5A777" w14:textId="77777777" w:rsidR="00B00DB4" w:rsidRDefault="00000000">
      <w:pPr>
        <w:pStyle w:val="FirstParagraph"/>
        <w:spacing w:after="120" w:line="360" w:lineRule="auto"/>
        <w:jc w:val="both"/>
      </w:pPr>
      <w:r>
        <w:rPr>
          <w:color w:val="000000"/>
        </w:rPr>
        <w:t>En l’absence d’un dispositif institutionnel dédié, le partage des ressources pédagogiques à l’AFI repose sur des canaux informels. Le principal est constitué par les groupes WhatsApp de promotion, au sein desquels enseignants, délégués et étudiants diffusent cours, supports de travaux dirigés, annales et documents divers. À ce canal s’ajoutent l’envoi par courrier électronique et les échanges directs de fichiers entre étudiants, par exemple lors des séances en présentiel.</w:t>
      </w:r>
    </w:p>
    <w:p w14:paraId="3CE671F9" w14:textId="77777777" w:rsidR="00B00DB4" w:rsidRDefault="00000000">
      <w:pPr>
        <w:pStyle w:val="Corpsdetexte"/>
        <w:spacing w:after="120" w:line="360" w:lineRule="auto"/>
        <w:jc w:val="both"/>
      </w:pPr>
      <w:r>
        <w:rPr>
          <w:color w:val="000000"/>
        </w:rPr>
        <w:t>Ces pratiques présentent une souplesse indéniable et une prise en main immédiate, ce qui explique leur adoption spontanée. Elles souffrent cependant de limites structurelles. Les documents partagés se noient dans le flux des conversations et deviennent rapidement difficiles à retrouver ; l’absence de tout classement par filière, niveau ou matière transforme la recherche d’un support en une tâche laborieuse ; le changement de téléphone ou la saturation de la mémoire entraînent la perte définitive de contenus ; enfin, l’accès dépend étroitement de l’appartenance à tel ou tel groupe et de la qualité de la connexion, ce qui introduit une inégalité de fait entre étudiants. Ces canaux, conçus pour la conversation et non pour la gestion documentaire, atteignent ici leurs limites.</w:t>
      </w:r>
    </w:p>
    <w:p w14:paraId="6FAF2D1A" w14:textId="77777777" w:rsidR="00B00DB4" w:rsidRDefault="00000000">
      <w:pPr>
        <w:pStyle w:val="Titre3"/>
        <w:spacing w:before="120" w:after="60" w:line="276" w:lineRule="auto"/>
      </w:pPr>
      <w:bookmarkStart w:id="33" w:name="X3a2792eb8f8b42c0980f890ba982a61bb92e2fa"/>
      <w:r>
        <w:rPr>
          <w:rFonts w:ascii="Times New Roman" w:hAnsi="Times New Roman"/>
          <w:color w:val="000000"/>
        </w:rPr>
        <w:t>2.3 Défaillances identifiées et besoins exprimés</w:t>
      </w:r>
      <w:bookmarkEnd w:id="33"/>
    </w:p>
    <w:p w14:paraId="2E6241DF" w14:textId="77777777" w:rsidR="00B00DB4" w:rsidRDefault="00000000">
      <w:pPr>
        <w:pStyle w:val="FirstParagraph"/>
        <w:spacing w:after="120" w:line="360" w:lineRule="auto"/>
        <w:jc w:val="both"/>
      </w:pPr>
      <w:r>
        <w:rPr>
          <w:color w:val="000000"/>
        </w:rPr>
        <w:t xml:space="preserve">L’analyse des pratiques actuelles, corroborée par l’enquête menée auprès de la communauté AFI (présentée au chapitre III), fait ressortir quatre défaillances majeures. La première est la </w:t>
      </w:r>
      <w:r>
        <w:rPr>
          <w:b/>
          <w:color w:val="000000"/>
        </w:rPr>
        <w:t>volatilité de l’information</w:t>
      </w:r>
      <w:r>
        <w:rPr>
          <w:color w:val="000000"/>
        </w:rPr>
        <w:t xml:space="preserve"> : les ressources n’ont pas de lieu de stockage stable et se perdent. La deuxième est le </w:t>
      </w:r>
      <w:r>
        <w:rPr>
          <w:b/>
          <w:color w:val="000000"/>
        </w:rPr>
        <w:t>désordre organisationnel</w:t>
      </w:r>
      <w:r>
        <w:rPr>
          <w:color w:val="000000"/>
        </w:rPr>
        <w:t xml:space="preserve"> : l’absence de classification cohérente rend l’accès aléatoire. La troisième est l’</w:t>
      </w:r>
      <w:r>
        <w:rPr>
          <w:b/>
          <w:color w:val="000000"/>
        </w:rPr>
        <w:t>exclusion numérique</w:t>
      </w:r>
      <w:r>
        <w:rPr>
          <w:color w:val="000000"/>
        </w:rPr>
        <w:t xml:space="preserve"> : les étudiants les moins bien équipés ou connectés sont mécaniquement désavantagés. La quatrième est l’</w:t>
      </w:r>
      <w:r>
        <w:rPr>
          <w:b/>
          <w:color w:val="000000"/>
        </w:rPr>
        <w:t>absence de traçabilité et de collaboration structurée</w:t>
      </w:r>
      <w:r>
        <w:rPr>
          <w:color w:val="000000"/>
        </w:rPr>
        <w:t xml:space="preserve"> : les échanges informels ne permettent ni de conserver une base pérenne, ni de valoriser durablement les contributions.</w:t>
      </w:r>
    </w:p>
    <w:p w14:paraId="0A85D292" w14:textId="77777777" w:rsidR="00B00DB4" w:rsidRDefault="00000000">
      <w:pPr>
        <w:pStyle w:val="Corpsdetexte"/>
        <w:spacing w:after="120" w:line="360" w:lineRule="auto"/>
        <w:jc w:val="both"/>
      </w:pPr>
      <w:r>
        <w:rPr>
          <w:color w:val="000000"/>
        </w:rPr>
        <w:t xml:space="preserve">À ces défaillances répondent des besoins clairement exprimés. Les acteurs attendent d’abord une </w:t>
      </w:r>
      <w:r>
        <w:rPr>
          <w:b/>
          <w:color w:val="000000"/>
        </w:rPr>
        <w:t>centralisation</w:t>
      </w:r>
      <w:r>
        <w:rPr>
          <w:color w:val="000000"/>
        </w:rPr>
        <w:t xml:space="preserve"> des ressources dans un espace unique et fiable, ainsi qu’une </w:t>
      </w:r>
      <w:r>
        <w:rPr>
          <w:b/>
          <w:color w:val="000000"/>
        </w:rPr>
        <w:t>organisation hiérarchique</w:t>
      </w:r>
      <w:r>
        <w:rPr>
          <w:color w:val="000000"/>
        </w:rPr>
        <w:t xml:space="preserve"> par filière, niveau, matière, semestre et année. Ils souhaitent un </w:t>
      </w:r>
      <w:r>
        <w:rPr>
          <w:b/>
          <w:color w:val="000000"/>
        </w:rPr>
        <w:t>accès restreint et pertinent</w:t>
      </w:r>
      <w:r>
        <w:rPr>
          <w:color w:val="000000"/>
        </w:rPr>
        <w:t xml:space="preserve">, chaque étudiant ne consultant que les ressources de sa filière et de son niveau. Ils expriment le besoin d’une </w:t>
      </w:r>
      <w:r>
        <w:rPr>
          <w:b/>
          <w:color w:val="000000"/>
        </w:rPr>
        <w:t>disponibilité hors connexion</w:t>
      </w:r>
      <w:r>
        <w:rPr>
          <w:color w:val="000000"/>
        </w:rPr>
        <w:t xml:space="preserve"> afin d’affranchir l’accès des contraintes de réseau, ainsi que d’un </w:t>
      </w:r>
      <w:r>
        <w:rPr>
          <w:b/>
          <w:color w:val="000000"/>
        </w:rPr>
        <w:t>suivi des publications</w:t>
      </w:r>
      <w:r>
        <w:rPr>
          <w:color w:val="000000"/>
        </w:rPr>
        <w:t xml:space="preserve"> par des notifications. Ces besoins définissent précisément le cahier des charges auquel AFI-DOCS entend répondre.</w:t>
      </w:r>
    </w:p>
    <w:p w14:paraId="4AEBD440" w14:textId="77777777" w:rsidR="00B00DB4" w:rsidRDefault="00000000">
      <w:pPr>
        <w:pStyle w:val="Titre3"/>
        <w:spacing w:before="120" w:after="60" w:line="276" w:lineRule="auto"/>
      </w:pPr>
      <w:bookmarkStart w:id="34" w:name="conclusion-du-chapitre-1"/>
      <w:r>
        <w:rPr>
          <w:rFonts w:ascii="Times New Roman" w:hAnsi="Times New Roman"/>
          <w:color w:val="000000"/>
        </w:rPr>
        <w:t>Conclusion du chapitre</w:t>
      </w:r>
      <w:bookmarkEnd w:id="34"/>
    </w:p>
    <w:p w14:paraId="543A7157" w14:textId="77777777" w:rsidR="00B00DB4" w:rsidRDefault="00000000">
      <w:pPr>
        <w:pStyle w:val="FirstParagraph"/>
        <w:spacing w:after="120" w:line="360" w:lineRule="auto"/>
        <w:jc w:val="both"/>
      </w:pPr>
      <w:r>
        <w:rPr>
          <w:color w:val="000000"/>
        </w:rPr>
        <w:t>Ce chapitre a montré que le contexte, tant général que spécifique, justifie pleinement la conception d’AFI-DOCS. La numérisation de l’enseignement supérieur africain ouvre des opportunités réelles mais reste bridée par des contraintes de connectivité et d’organisation. À AFI-L’UE, l’absence de dispositif centralisé se traduit par des pratiques informelles porteuses de quatre défaillances — volatilité, désordre, exclusion numérique et manque de traçabilité — auxquelles répondent des besoins précis de centralisation, de structuration, d’accès restreint, de disponibilité hors connexion et de suivi. La solution proposée trouve ainsi son fondement dans un diagnostic documenté. Le chapitre suivant expose la méthodologie mise en œuvre pour concevoir, développer et déployer cette solution.</w:t>
      </w:r>
    </w:p>
    <w:p w14:paraId="611B0B7E" w14:textId="77777777" w:rsidR="00B00DB4" w:rsidRDefault="00000000">
      <w:pPr>
        <w:pStyle w:val="Titre1"/>
        <w:pageBreakBefore/>
        <w:spacing w:after="240" w:line="276" w:lineRule="auto"/>
        <w:jc w:val="center"/>
      </w:pPr>
      <w:bookmarkStart w:id="35" w:name="X24e8a1d0e46787213ef80e1c522a11ca9c85921"/>
      <w:r>
        <w:rPr>
          <w:rFonts w:ascii="Times New Roman" w:hAnsi="Times New Roman"/>
          <w:color w:val="000000"/>
          <w:sz w:val="28"/>
        </w:rPr>
        <w:t>DEUXIÈME PARTIE — CADRE MÉTHODOLOGIQUE ET ANALYTIQUE</w:t>
      </w:r>
      <w:bookmarkEnd w:id="35"/>
    </w:p>
    <w:p w14:paraId="6594C866" w14:textId="77777777" w:rsidR="00B00DB4" w:rsidRDefault="00000000">
      <w:pPr>
        <w:pStyle w:val="Titre1"/>
        <w:pageBreakBefore/>
        <w:spacing w:after="240" w:line="276" w:lineRule="auto"/>
        <w:jc w:val="center"/>
      </w:pPr>
      <w:bookmarkStart w:id="36" w:name="chapitre-iii-cadre-méthodologique"/>
      <w:r>
        <w:rPr>
          <w:rFonts w:ascii="Times New Roman" w:hAnsi="Times New Roman"/>
          <w:color w:val="000000"/>
          <w:sz w:val="28"/>
        </w:rPr>
        <w:t>CHAPITRE III — CADRE MÉTHODOLOGIQUE</w:t>
      </w:r>
      <w:bookmarkEnd w:id="36"/>
    </w:p>
    <w:p w14:paraId="17D8D2EA" w14:textId="77777777" w:rsidR="00B00DB4" w:rsidRDefault="00000000">
      <w:pPr>
        <w:pStyle w:val="Titre3"/>
        <w:spacing w:before="120" w:after="60" w:line="276" w:lineRule="auto"/>
      </w:pPr>
      <w:bookmarkStart w:id="37" w:name="introduction-du-chapitre-2"/>
      <w:r>
        <w:rPr>
          <w:rFonts w:ascii="Times New Roman" w:hAnsi="Times New Roman"/>
          <w:color w:val="000000"/>
        </w:rPr>
        <w:t>Introduction du chapitre</w:t>
      </w:r>
      <w:bookmarkEnd w:id="37"/>
    </w:p>
    <w:p w14:paraId="74201706" w14:textId="77777777" w:rsidR="00B00DB4" w:rsidRDefault="00000000">
      <w:pPr>
        <w:pStyle w:val="FirstParagraph"/>
        <w:spacing w:after="120" w:line="360" w:lineRule="auto"/>
        <w:jc w:val="both"/>
      </w:pPr>
      <w:r>
        <w:rPr>
          <w:color w:val="000000"/>
        </w:rPr>
        <w:t>Ce chapitre expose la démarche adoptée pour concevoir, développer et déployer AFI-DOCS. Il présente d’abord la modélisation du système au moyen des diagrammes de la notation UML, puis le schéma de la base de données et l’architecture des composants, avant de préciser les acteurs et leurs droits. Il décrit ensuite la démarche de collecte des besoins par questionnaire, la méthode de développement Agile Scrum retenue et l’environnement technique de développement et de déploiement. L’objectif est de rendre explicites et justifiés les choix de conception qui ont présidé à la réalisation de la plateforme.</w:t>
      </w:r>
    </w:p>
    <w:p w14:paraId="0E202DFB" w14:textId="77777777" w:rsidR="00B00DB4" w:rsidRDefault="00000000">
      <w:pPr>
        <w:pStyle w:val="Titre2"/>
        <w:spacing w:before="160" w:after="80" w:line="276" w:lineRule="auto"/>
      </w:pPr>
      <w:bookmarkStart w:id="38" w:name="section-1-modélisation-et-implémentation"/>
      <w:r>
        <w:rPr>
          <w:rFonts w:ascii="Times New Roman" w:hAnsi="Times New Roman"/>
          <w:color w:val="000000"/>
          <w:sz w:val="26"/>
        </w:rPr>
        <w:t>Section 1 — Modélisation et implémentation</w:t>
      </w:r>
      <w:bookmarkEnd w:id="38"/>
    </w:p>
    <w:p w14:paraId="03909FC6" w14:textId="77777777" w:rsidR="00B00DB4" w:rsidRDefault="00000000">
      <w:pPr>
        <w:pStyle w:val="Titre3"/>
        <w:spacing w:before="120" w:after="60" w:line="276" w:lineRule="auto"/>
      </w:pPr>
      <w:bookmarkStart w:id="39" w:name="diagramme-de-classes"/>
      <w:r>
        <w:rPr>
          <w:rFonts w:ascii="Times New Roman" w:hAnsi="Times New Roman"/>
          <w:color w:val="000000"/>
        </w:rPr>
        <w:t>1.1 Diagramme de classes</w:t>
      </w:r>
      <w:bookmarkEnd w:id="39"/>
    </w:p>
    <w:p w14:paraId="5E4E1B23" w14:textId="77777777" w:rsidR="00B00DB4" w:rsidRDefault="00000000">
      <w:pPr>
        <w:pStyle w:val="FirstParagraph"/>
        <w:spacing w:after="120" w:line="360" w:lineRule="auto"/>
        <w:jc w:val="both"/>
      </w:pPr>
      <w:r>
        <w:rPr>
          <w:color w:val="000000"/>
        </w:rPr>
        <w:t xml:space="preserve">La structure des données d’AFI-DOCS s’organise autour de quelques entités centrales. La classe </w:t>
      </w:r>
      <w:r>
        <w:rPr>
          <w:b/>
          <w:color w:val="000000"/>
        </w:rPr>
        <w:t>Utilisateur</w:t>
      </w:r>
      <w:r>
        <w:rPr>
          <w:color w:val="000000"/>
        </w:rPr>
        <w:t xml:space="preserve"> représente les trois types d’acteurs, différenciés par un attribut de rôle ; elle est rattachée à une </w:t>
      </w:r>
      <w:r>
        <w:rPr>
          <w:b/>
          <w:color w:val="000000"/>
        </w:rPr>
        <w:t>Filière</w:t>
      </w:r>
      <w:r>
        <w:rPr>
          <w:color w:val="000000"/>
        </w:rPr>
        <w:t xml:space="preserve"> et à un </w:t>
      </w:r>
      <w:r>
        <w:rPr>
          <w:b/>
          <w:color w:val="000000"/>
        </w:rPr>
        <w:t>Niveau</w:t>
      </w:r>
      <w:r>
        <w:rPr>
          <w:color w:val="000000"/>
        </w:rPr>
        <w:t xml:space="preserve">. La hiérarchie pédagogique associe la </w:t>
      </w:r>
      <w:r>
        <w:rPr>
          <w:b/>
          <w:color w:val="000000"/>
        </w:rPr>
        <w:t>Filière</w:t>
      </w:r>
      <w:r>
        <w:rPr>
          <w:color w:val="000000"/>
        </w:rPr>
        <w:t xml:space="preserve">, le </w:t>
      </w:r>
      <w:r>
        <w:rPr>
          <w:b/>
          <w:color w:val="000000"/>
        </w:rPr>
        <w:t>Niveau</w:t>
      </w:r>
      <w:r>
        <w:rPr>
          <w:color w:val="000000"/>
        </w:rPr>
        <w:t xml:space="preserve">, la </w:t>
      </w:r>
      <w:r>
        <w:rPr>
          <w:b/>
          <w:color w:val="000000"/>
        </w:rPr>
        <w:t>Matière</w:t>
      </w:r>
      <w:r>
        <w:rPr>
          <w:color w:val="000000"/>
        </w:rPr>
        <w:t xml:space="preserve">, le </w:t>
      </w:r>
      <w:r>
        <w:rPr>
          <w:b/>
          <w:color w:val="000000"/>
        </w:rPr>
        <w:t>Semestre</w:t>
      </w:r>
      <w:r>
        <w:rPr>
          <w:color w:val="000000"/>
        </w:rPr>
        <w:t xml:space="preserve"> et l’</w:t>
      </w:r>
      <w:r>
        <w:rPr>
          <w:b/>
          <w:color w:val="000000"/>
        </w:rPr>
        <w:t>Année académique</w:t>
      </w:r>
      <w:r>
        <w:rPr>
          <w:color w:val="000000"/>
        </w:rPr>
        <w:t xml:space="preserve">, la </w:t>
      </w:r>
      <w:r>
        <w:rPr>
          <w:b/>
          <w:color w:val="000000"/>
        </w:rPr>
        <w:t>Ressource</w:t>
      </w:r>
      <w:r>
        <w:rPr>
          <w:color w:val="000000"/>
        </w:rPr>
        <w:t xml:space="preserve"> étant rattachée à une matière et donc, transitivement, à un niveau et à une filière. Autour de ce noyau gravitent les entités de support : </w:t>
      </w:r>
      <w:r>
        <w:rPr>
          <w:b/>
          <w:color w:val="000000"/>
        </w:rPr>
        <w:t>Commentaire</w:t>
      </w:r>
      <w:r>
        <w:rPr>
          <w:color w:val="000000"/>
        </w:rPr>
        <w:t xml:space="preserve">, </w:t>
      </w:r>
      <w:r>
        <w:rPr>
          <w:b/>
          <w:color w:val="000000"/>
        </w:rPr>
        <w:t>Annonce</w:t>
      </w:r>
      <w:r>
        <w:rPr>
          <w:color w:val="000000"/>
        </w:rPr>
        <w:t xml:space="preserve">, </w:t>
      </w:r>
      <w:r>
        <w:rPr>
          <w:b/>
          <w:color w:val="000000"/>
        </w:rPr>
        <w:t>Message de classe</w:t>
      </w:r>
      <w:r>
        <w:rPr>
          <w:color w:val="000000"/>
        </w:rPr>
        <w:t xml:space="preserve">, </w:t>
      </w:r>
      <w:r>
        <w:rPr>
          <w:b/>
          <w:color w:val="000000"/>
        </w:rPr>
        <w:t>Notification</w:t>
      </w:r>
      <w:r>
        <w:rPr>
          <w:color w:val="000000"/>
        </w:rPr>
        <w:t xml:space="preserve"> et </w:t>
      </w:r>
      <w:r>
        <w:rPr>
          <w:b/>
          <w:color w:val="000000"/>
        </w:rPr>
        <w:t>Évaluation</w:t>
      </w:r>
      <w:r>
        <w:rPr>
          <w:color w:val="000000"/>
        </w:rPr>
        <w:t>. Ces classes sont implémentées sous forme de modèles Eloquent dans Laravel, les relations entre entités étant traduites par les associations de l’ORM (appartenance, possession multiple, association pivot). Cette modélisation garantit l’organisation hiérarchique des ressources, condition de leur diffusion structurée.</w:t>
      </w:r>
    </w:p>
    <w:p w14:paraId="7573EDFF" w14:textId="77777777" w:rsidR="00B00DB4" w:rsidRDefault="00000000">
      <w:pPr>
        <w:pStyle w:val="Normalcentr"/>
        <w:spacing w:after="120" w:line="360" w:lineRule="auto"/>
        <w:jc w:val="both"/>
      </w:pPr>
      <w:r>
        <w:rPr>
          <w:b/>
          <w:color w:val="000000"/>
        </w:rPr>
        <w:t>[Figure 3.1 — Diagramme de classes UML de la plateforme AFI-DOCS, représentant les entités principales (Utilisateur, Filière, Niveau, Matière, Ressource…) et leurs relations, à réaliser avec StarUML, Lucidchart ou Draw.io.]</w:t>
      </w:r>
    </w:p>
    <w:p w14:paraId="7B7E3922" w14:textId="77777777" w:rsidR="00B00DB4" w:rsidRDefault="00000000">
      <w:pPr>
        <w:pStyle w:val="FirstParagraph"/>
        <w:spacing w:after="120" w:line="360" w:lineRule="auto"/>
        <w:jc w:val="both"/>
      </w:pPr>
      <w:r>
        <w:rPr>
          <w:i/>
          <w:color w:val="000000"/>
        </w:rPr>
        <w:t>Figure 3.1 : Diagramme de classes UML de la plateforme AFI-DOCS. Source : auteur, 2026.</w:t>
      </w:r>
    </w:p>
    <w:p w14:paraId="3462C3F7" w14:textId="77777777" w:rsidR="00B00DB4" w:rsidRDefault="00000000">
      <w:pPr>
        <w:pStyle w:val="Titre3"/>
        <w:spacing w:before="120" w:after="60" w:line="276" w:lineRule="auto"/>
      </w:pPr>
      <w:bookmarkStart w:id="40" w:name="schéma-de-la-base-de-données"/>
      <w:r>
        <w:rPr>
          <w:rFonts w:ascii="Times New Roman" w:hAnsi="Times New Roman"/>
          <w:color w:val="000000"/>
        </w:rPr>
        <w:t>1.2 Schéma de la base de données</w:t>
      </w:r>
      <w:bookmarkEnd w:id="40"/>
    </w:p>
    <w:p w14:paraId="4C04A2E3" w14:textId="77777777" w:rsidR="00B00DB4" w:rsidRDefault="00000000">
      <w:pPr>
        <w:pStyle w:val="FirstParagraph"/>
        <w:spacing w:after="120" w:line="360" w:lineRule="auto"/>
        <w:jc w:val="both"/>
      </w:pPr>
      <w:r>
        <w:rPr>
          <w:color w:val="000000"/>
        </w:rPr>
        <w:t>Le modèle logique est implémenté dans une base de données relationnelle MySQL 8. Chaque entité correspond à une table dotée d’une clé primaire, les relations étant matérialisées par des clés étrangères. La table des ressources référence ainsi la matière à laquelle elle appartient, laquelle référence à son tour le niveau et la filière ; les comptes utilisateurs portent également une référence à leur filière et à leur niveau. Cette structure normalisée assure l’intégrité référentielle et permet, au moyen de requêtes filtrées, de restituer à chaque étudiant les seules ressources relevant de son périmètre, selon sa filière et son niveau. Elle constitue le socle technique de l’organisation hiérarchique et de la gestion des accès.</w:t>
      </w:r>
    </w:p>
    <w:p w14:paraId="68E9B53B" w14:textId="77777777" w:rsidR="00B00DB4" w:rsidRDefault="00000000">
      <w:pPr>
        <w:pStyle w:val="Normalcentr"/>
        <w:spacing w:after="120" w:line="360" w:lineRule="auto"/>
        <w:jc w:val="both"/>
      </w:pPr>
      <w:r>
        <w:rPr>
          <w:b/>
          <w:color w:val="000000"/>
        </w:rPr>
        <w:t>[Figure 3.2 — Schéma relationnel de la base de données MySQL d’AFI-DOCS (tables, clés primaires et étrangères, relations), produit avec un outil de modélisation.]</w:t>
      </w:r>
    </w:p>
    <w:p w14:paraId="68DA7F4F" w14:textId="77777777" w:rsidR="00B00DB4" w:rsidRDefault="00000000">
      <w:pPr>
        <w:pStyle w:val="FirstParagraph"/>
        <w:spacing w:after="120" w:line="360" w:lineRule="auto"/>
        <w:jc w:val="both"/>
      </w:pPr>
      <w:r>
        <w:rPr>
          <w:i/>
          <w:color w:val="000000"/>
        </w:rPr>
        <w:t>Figure 3.2 : Schéma relationnel de la base de données. Source : auteur, 2026.</w:t>
      </w:r>
    </w:p>
    <w:p w14:paraId="2152E29A" w14:textId="77777777" w:rsidR="00B00DB4" w:rsidRDefault="00000000">
      <w:pPr>
        <w:pStyle w:val="Titre3"/>
        <w:spacing w:before="120" w:after="60" w:line="276" w:lineRule="auto"/>
      </w:pPr>
      <w:bookmarkStart w:id="41" w:name="diagramme-de-composants"/>
      <w:r>
        <w:rPr>
          <w:rFonts w:ascii="Times New Roman" w:hAnsi="Times New Roman"/>
          <w:color w:val="000000"/>
        </w:rPr>
        <w:t>1.3 Diagramme de composants</w:t>
      </w:r>
      <w:bookmarkEnd w:id="41"/>
    </w:p>
    <w:p w14:paraId="03CBECD0" w14:textId="77777777" w:rsidR="00B00DB4" w:rsidRDefault="00000000">
      <w:pPr>
        <w:pStyle w:val="FirstParagraph"/>
        <w:spacing w:after="120" w:line="360" w:lineRule="auto"/>
        <w:jc w:val="both"/>
      </w:pPr>
      <w:r>
        <w:rPr>
          <w:color w:val="000000"/>
        </w:rPr>
        <w:t xml:space="preserve">L’architecture d’AFI-DOCS se compose de quatre grands composants : le </w:t>
      </w:r>
      <w:r>
        <w:rPr>
          <w:b/>
          <w:color w:val="000000"/>
        </w:rPr>
        <w:t>backend Laravel 11</w:t>
      </w:r>
      <w:r>
        <w:rPr>
          <w:color w:val="000000"/>
        </w:rPr>
        <w:t xml:space="preserve">, qui concentre la logique métier et expose une API REST ; la </w:t>
      </w:r>
      <w:r>
        <w:rPr>
          <w:b/>
          <w:color w:val="000000"/>
        </w:rPr>
        <w:t>base de données MySQL</w:t>
      </w:r>
      <w:r>
        <w:rPr>
          <w:color w:val="000000"/>
        </w:rPr>
        <w:t xml:space="preserve">, sollicitée par le backend ; le </w:t>
      </w:r>
      <w:r>
        <w:rPr>
          <w:b/>
          <w:color w:val="000000"/>
        </w:rPr>
        <w:t>front web React</w:t>
      </w:r>
      <w:r>
        <w:rPr>
          <w:color w:val="000000"/>
        </w:rPr>
        <w:t>, destiné à la consultation et à l’administration depuis un navigateur ; et l’</w:t>
      </w:r>
      <w:r>
        <w:rPr>
          <w:b/>
          <w:color w:val="000000"/>
        </w:rPr>
        <w:t>application mobile React Native/Expo</w:t>
      </w:r>
      <w:r>
        <w:rPr>
          <w:color w:val="000000"/>
        </w:rPr>
        <w:t>, dotée d’une base locale SQLite pour le fonctionnement hors connexion. La communication entre ces composants transite par l’API REST : les interfaces web et mobile émettent des requêtes HTTP authentifiées, auxquelles le backend répond au format JSON. Ce découplage permet à une même API de servir les deux canaux, garantissant la cohérence des données et la maintenabilité de l’ensemble.</w:t>
      </w:r>
    </w:p>
    <w:p w14:paraId="4148AA40" w14:textId="77777777" w:rsidR="00B00DB4" w:rsidRDefault="00000000">
      <w:pPr>
        <w:pStyle w:val="Normalcentr"/>
        <w:spacing w:after="120" w:line="360" w:lineRule="auto"/>
        <w:jc w:val="both"/>
      </w:pPr>
      <w:r>
        <w:rPr>
          <w:b/>
          <w:color w:val="000000"/>
        </w:rPr>
        <w:t>[Figure 3.3 — Diagramme de composants d’AFI-DOCS montrant les interactions entre le backend Laravel, la base MySQL, le front web React et l’application mobile React Native/Expo via l’API REST.]</w:t>
      </w:r>
    </w:p>
    <w:p w14:paraId="1BB8260E" w14:textId="77777777" w:rsidR="00B00DB4" w:rsidRDefault="00000000">
      <w:pPr>
        <w:pStyle w:val="FirstParagraph"/>
        <w:spacing w:after="120" w:line="360" w:lineRule="auto"/>
        <w:jc w:val="both"/>
      </w:pPr>
      <w:r>
        <w:rPr>
          <w:i/>
          <w:color w:val="000000"/>
        </w:rPr>
        <w:t>Figure 3.3 : Diagramme de composants de l’architecture. Source : auteur, 2026.</w:t>
      </w:r>
    </w:p>
    <w:p w14:paraId="0298A189" w14:textId="77777777" w:rsidR="00B00DB4" w:rsidRDefault="00000000">
      <w:pPr>
        <w:pStyle w:val="Titre3"/>
        <w:spacing w:before="120" w:after="60" w:line="276" w:lineRule="auto"/>
      </w:pPr>
      <w:bookmarkStart w:id="42" w:name="diagramme-de-cas-dutilisation"/>
      <w:r>
        <w:rPr>
          <w:rFonts w:ascii="Times New Roman" w:hAnsi="Times New Roman"/>
          <w:color w:val="000000"/>
        </w:rPr>
        <w:t>1.4 Diagramme de cas d’utilisation</w:t>
      </w:r>
      <w:bookmarkEnd w:id="42"/>
    </w:p>
    <w:p w14:paraId="3479ABF5" w14:textId="77777777" w:rsidR="00B00DB4" w:rsidRDefault="00000000">
      <w:pPr>
        <w:pStyle w:val="FirstParagraph"/>
        <w:spacing w:after="120" w:line="360" w:lineRule="auto"/>
        <w:jc w:val="both"/>
      </w:pPr>
      <w:r>
        <w:rPr>
          <w:color w:val="000000"/>
        </w:rPr>
        <w:t>Le diagramme de cas d’utilisation formalise les interactions entre les acteurs et le système. Trois rôles principaux sont distingués. L’</w:t>
      </w:r>
      <w:r>
        <w:rPr>
          <w:b/>
          <w:color w:val="000000"/>
        </w:rPr>
        <w:t>Administrateur</w:t>
      </w:r>
      <w:r>
        <w:rPr>
          <w:color w:val="000000"/>
        </w:rPr>
        <w:t xml:space="preserve"> gère la plateforme : administration des comptes, import de cohortes, gestion des filières, niveaux, matières et années, supervision des contenus et consultation des rapports. Le </w:t>
      </w:r>
      <w:r>
        <w:rPr>
          <w:b/>
          <w:color w:val="000000"/>
        </w:rPr>
        <w:t>Délégué de promotion</w:t>
      </w:r>
      <w:r>
        <w:rPr>
          <w:color w:val="000000"/>
        </w:rPr>
        <w:t xml:space="preserve"> publie directement les ressources de sa classe, anime les espaces d’échange et diffuse les annonces. L’</w:t>
      </w:r>
      <w:r>
        <w:rPr>
          <w:b/>
          <w:color w:val="000000"/>
        </w:rPr>
        <w:t>Étudiant</w:t>
      </w:r>
      <w:r>
        <w:rPr>
          <w:color w:val="000000"/>
        </w:rPr>
        <w:t xml:space="preserve"> consulte les ressources de son périmètre, les télécharge pour un usage hors connexion, commente, échange et évalue ses enseignants. Un ensemble de cas communs — s’authentifier, recevoir des notifications — est partagé par tous. On notera l’absence délibérée d’un cas « valider une ressource » : ce choix traduit le principe de publication directe, la sécurité étant assurée non par une validation préalable mais par le contrôle des droits côté serveur.</w:t>
      </w:r>
    </w:p>
    <w:p w14:paraId="3AC6AFC5" w14:textId="77777777" w:rsidR="00B00DB4" w:rsidRDefault="00000000">
      <w:pPr>
        <w:pStyle w:val="Normalcentr"/>
        <w:spacing w:after="120" w:line="360" w:lineRule="auto"/>
        <w:jc w:val="both"/>
      </w:pPr>
      <w:r>
        <w:rPr>
          <w:b/>
          <w:color w:val="000000"/>
        </w:rPr>
        <w:t>[Figure 3.4 — Diagramme de cas d’utilisation UML d’AFI-DOCS (acteurs Administrateur, Délégué, Étudiant et leurs cas d’utilisation).]</w:t>
      </w:r>
    </w:p>
    <w:p w14:paraId="7351FA45" w14:textId="77777777" w:rsidR="00B00DB4" w:rsidRDefault="00000000">
      <w:pPr>
        <w:pStyle w:val="FirstParagraph"/>
        <w:spacing w:after="120" w:line="360" w:lineRule="auto"/>
        <w:jc w:val="both"/>
      </w:pPr>
      <w:r>
        <w:rPr>
          <w:i/>
          <w:color w:val="000000"/>
        </w:rPr>
        <w:t>Figure 3.4 : Diagramme de cas d’utilisation UML. Source : auteur, 2026.</w:t>
      </w:r>
    </w:p>
    <w:p w14:paraId="2AFB23E0" w14:textId="77777777" w:rsidR="00B00DB4" w:rsidRDefault="00000000">
      <w:pPr>
        <w:pStyle w:val="Titre3"/>
        <w:spacing w:before="120" w:after="60" w:line="276" w:lineRule="auto"/>
      </w:pPr>
      <w:bookmarkStart w:id="43" w:name="diagramme-de-classes-détaillé"/>
      <w:r>
        <w:rPr>
          <w:rFonts w:ascii="Times New Roman" w:hAnsi="Times New Roman"/>
          <w:color w:val="000000"/>
        </w:rPr>
        <w:t>1.5 Diagramme de classes détaillé</w:t>
      </w:r>
      <w:bookmarkEnd w:id="43"/>
    </w:p>
    <w:p w14:paraId="7F9C171F" w14:textId="77777777" w:rsidR="00B00DB4" w:rsidRDefault="00000000">
      <w:pPr>
        <w:pStyle w:val="FirstParagraph"/>
        <w:spacing w:after="120" w:line="360" w:lineRule="auto"/>
        <w:jc w:val="both"/>
      </w:pPr>
      <w:r>
        <w:rPr>
          <w:color w:val="000000"/>
        </w:rPr>
        <w:t xml:space="preserve">Le diagramme de classes détaillé précise les attributs et les cardinalités des entités les plus sollicitées par la diffusion des ressources. La classe </w:t>
      </w:r>
      <w:r>
        <w:rPr>
          <w:b/>
          <w:color w:val="000000"/>
        </w:rPr>
        <w:t>Ressource</w:t>
      </w:r>
      <w:r>
        <w:rPr>
          <w:color w:val="000000"/>
        </w:rPr>
        <w:t xml:space="preserve"> porte notamment un titre, une description, un type de fichier, un chemin de stockage, une taille, ainsi que les références vers la matière et l’auteur ; elle est délibérément dépourvue d’un attribut de statut de validation, ce qui matérialise le choix de publication directe. La classe </w:t>
      </w:r>
      <w:r>
        <w:rPr>
          <w:b/>
          <w:color w:val="000000"/>
        </w:rPr>
        <w:t>Utilisateur</w:t>
      </w:r>
      <w:r>
        <w:rPr>
          <w:color w:val="000000"/>
        </w:rPr>
        <w:t xml:space="preserve"> porte les références de filière et de niveau qui fondent la restriction d’accès. Les relations expriment qu’une filière comprend plusieurs niveaux, un niveau plusieurs matières, une matière plusieurs ressources, et qu’un utilisateur est rattaché à une filière et à un niveau. Ce niveau de détail met en évidence les classes strictement nécessaires à la gestion des ressources et à la restriction d’accès par filière et par niveau.</w:t>
      </w:r>
    </w:p>
    <w:p w14:paraId="222FFCCB" w14:textId="77777777" w:rsidR="00B00DB4" w:rsidRDefault="00000000">
      <w:pPr>
        <w:pStyle w:val="Titre3"/>
        <w:spacing w:before="120" w:after="60" w:line="276" w:lineRule="auto"/>
      </w:pPr>
      <w:bookmarkStart w:id="44" w:name="diagrammes-de-séquence"/>
      <w:r>
        <w:rPr>
          <w:rFonts w:ascii="Times New Roman" w:hAnsi="Times New Roman"/>
          <w:color w:val="000000"/>
        </w:rPr>
        <w:t>1.6 Diagrammes de séquence</w:t>
      </w:r>
      <w:bookmarkEnd w:id="44"/>
    </w:p>
    <w:p w14:paraId="2601CD64" w14:textId="77777777" w:rsidR="00B00DB4" w:rsidRDefault="00000000">
      <w:pPr>
        <w:pStyle w:val="FirstParagraph"/>
        <w:spacing w:after="120" w:line="360" w:lineRule="auto"/>
        <w:jc w:val="both"/>
      </w:pPr>
      <w:r>
        <w:rPr>
          <w:color w:val="000000"/>
        </w:rPr>
        <w:t>Trois scénarios structurants sont modélisés sous forme de diagrammes de séquence. Le premier, l’</w:t>
      </w:r>
      <w:r>
        <w:rPr>
          <w:b/>
          <w:color w:val="000000"/>
        </w:rPr>
        <w:t>authentification</w:t>
      </w:r>
      <w:r>
        <w:rPr>
          <w:color w:val="000000"/>
        </w:rPr>
        <w:t xml:space="preserve">, décrit la saisie des identifiants, leur vérification par le backend, l’étape éventuelle de double authentification par code envoyé par courriel, puis la délivrance d’un jeton d’accès et la redirection vers l’espace correspondant au rôle. Le deuxième, la </w:t>
      </w:r>
      <w:r>
        <w:rPr>
          <w:b/>
          <w:color w:val="000000"/>
        </w:rPr>
        <w:t>publication directe</w:t>
      </w:r>
      <w:r>
        <w:rPr>
          <w:color w:val="000000"/>
        </w:rPr>
        <w:t xml:space="preserve"> par le délégué, montre l’envoi du fichier et des métadonnées, la vérification des droits sur la filière côté serveur et l’enregistrement immédiat de la ressource, sans étape de validation. Le troisième, la </w:t>
      </w:r>
      <w:r>
        <w:rPr>
          <w:b/>
          <w:color w:val="000000"/>
        </w:rPr>
        <w:t>consultation restreinte</w:t>
      </w:r>
      <w:r>
        <w:rPr>
          <w:color w:val="000000"/>
        </w:rPr>
        <w:t xml:space="preserve"> par l’étudiant, illustre l’envoi d’une requête de consultation et l’application automatique, par le serveur, d’un filtre limitant les résultats à la filière et au niveau de l’étudiant. Chaque scénario détaille les interactions entre l’utilisateur, l’interface, l’API REST et la base de données.</w:t>
      </w:r>
    </w:p>
    <w:p w14:paraId="2E314068" w14:textId="77777777" w:rsidR="00B00DB4" w:rsidRDefault="00000000">
      <w:pPr>
        <w:pStyle w:val="Normalcentr"/>
        <w:spacing w:after="120" w:line="360" w:lineRule="auto"/>
        <w:jc w:val="both"/>
      </w:pPr>
      <w:r>
        <w:rPr>
          <w:b/>
          <w:color w:val="000000"/>
        </w:rPr>
        <w:t>[Figure 3.5 — Diagrammes de séquence UML des trois scénarios : authentification, publication directe par le délégué, et consultation restreinte par l’étudiant.]</w:t>
      </w:r>
    </w:p>
    <w:p w14:paraId="3280AFC5" w14:textId="77777777" w:rsidR="00B00DB4" w:rsidRDefault="00000000">
      <w:pPr>
        <w:pStyle w:val="FirstParagraph"/>
        <w:spacing w:after="120" w:line="360" w:lineRule="auto"/>
        <w:jc w:val="both"/>
      </w:pPr>
      <w:r>
        <w:rPr>
          <w:i/>
          <w:color w:val="000000"/>
        </w:rPr>
        <w:t>Figure 3.5 : Diagrammes de séquence des scénarios clés. Source : auteur, 2026.</w:t>
      </w:r>
    </w:p>
    <w:p w14:paraId="0DE3F82E" w14:textId="77777777" w:rsidR="00B00DB4" w:rsidRDefault="00000000">
      <w:pPr>
        <w:pStyle w:val="Titre3"/>
        <w:spacing w:before="120" w:after="60" w:line="276" w:lineRule="auto"/>
      </w:pPr>
      <w:bookmarkStart w:id="45" w:name="maquettes-et-prototype-dinterface"/>
      <w:r>
        <w:rPr>
          <w:rFonts w:ascii="Times New Roman" w:hAnsi="Times New Roman"/>
          <w:color w:val="000000"/>
        </w:rPr>
        <w:t>1.7 Maquettes et prototype d’interface</w:t>
      </w:r>
      <w:bookmarkEnd w:id="45"/>
    </w:p>
    <w:p w14:paraId="7DB4A77E" w14:textId="77777777" w:rsidR="00B00DB4" w:rsidRDefault="00000000">
      <w:pPr>
        <w:pStyle w:val="FirstParagraph"/>
        <w:spacing w:after="120" w:line="360" w:lineRule="auto"/>
        <w:jc w:val="both"/>
      </w:pPr>
      <w:r>
        <w:rPr>
          <w:color w:val="000000"/>
        </w:rPr>
        <w:t>La conception des interfaces a fait l’objet d’un travail de maquettage préalable au développement. Les maquettes définissent les principes de navigation, l’organisation des menus et l’ergonomie générale, tant pour le web que pour le mobile. L’accent a été mis sur la simplicité : un accès rapide aux ressources depuis un tableau de bord, une navigation par filtres cohérents avec la hiérarchie des ressources, et une différenciation visuelle claire des espaces selon les rôles. Ces choix traduisent les principes de design centré utilisateur exposés au chapitre I et visent une prise en main sans apprentissage préalable.</w:t>
      </w:r>
    </w:p>
    <w:p w14:paraId="168A821D" w14:textId="77777777" w:rsidR="00B00DB4" w:rsidRDefault="00000000">
      <w:pPr>
        <w:pStyle w:val="Normalcentr"/>
        <w:spacing w:after="120" w:line="360" w:lineRule="auto"/>
        <w:jc w:val="both"/>
      </w:pPr>
      <w:r>
        <w:rPr>
          <w:b/>
          <w:color w:val="000000"/>
        </w:rPr>
        <w:t>[Figure 3.6 — Maquettes et prototype des interfaces web et mobile d’AFI-DOCS, réalisés avec Figma.]</w:t>
      </w:r>
    </w:p>
    <w:p w14:paraId="5AAE5765" w14:textId="77777777" w:rsidR="00B00DB4" w:rsidRDefault="00000000">
      <w:pPr>
        <w:pStyle w:val="FirstParagraph"/>
        <w:spacing w:after="120" w:line="360" w:lineRule="auto"/>
        <w:jc w:val="both"/>
      </w:pPr>
      <w:r>
        <w:rPr>
          <w:i/>
          <w:color w:val="000000"/>
        </w:rPr>
        <w:t>Figure 3.6 : Maquettes du prototype d’interface. Source : auteur, 2026.</w:t>
      </w:r>
    </w:p>
    <w:p w14:paraId="6D5B94C1" w14:textId="77777777" w:rsidR="00B00DB4" w:rsidRDefault="00000000">
      <w:pPr>
        <w:pStyle w:val="Titre3"/>
        <w:spacing w:before="120" w:after="60" w:line="276" w:lineRule="auto"/>
      </w:pPr>
      <w:bookmarkStart w:id="46" w:name="acteurs-et-matrice-des-droits"/>
      <w:r>
        <w:rPr>
          <w:rFonts w:ascii="Times New Roman" w:hAnsi="Times New Roman"/>
          <w:color w:val="000000"/>
        </w:rPr>
        <w:t>1.8 Acteurs et matrice des droits</w:t>
      </w:r>
      <w:bookmarkEnd w:id="46"/>
    </w:p>
    <w:p w14:paraId="6D66B2DC" w14:textId="77777777" w:rsidR="00B00DB4" w:rsidRDefault="00000000">
      <w:pPr>
        <w:pStyle w:val="FirstParagraph"/>
        <w:spacing w:after="120" w:line="360" w:lineRule="auto"/>
        <w:jc w:val="both"/>
      </w:pPr>
      <w:r>
        <w:rPr>
          <w:color w:val="000000"/>
        </w:rPr>
        <w:t>La sécurité fonctionnelle d’AFI-DOCS repose sur une attribution précise des droits selon le rôle. La matrice ci-dessous synthétise, pour chaque acteur, les autorisations principales. Ces droits sont vérifiés côté serveur, indépendamment de l’interface, ce qui garantit qu’aucun acteur ne peut effectuer d’action hors de son périmètre.</w:t>
      </w:r>
    </w:p>
    <w:tbl>
      <w:tblPr>
        <w:tblStyle w:val="Table"/>
        <w:tblW w:w="5000" w:type="pct"/>
        <w:tblLook w:val="07E0" w:firstRow="1" w:lastRow="1" w:firstColumn="1" w:lastColumn="1" w:noHBand="1" w:noVBand="1"/>
      </w:tblPr>
      <w:tblGrid>
        <w:gridCol w:w="3853"/>
        <w:gridCol w:w="1551"/>
        <w:gridCol w:w="1942"/>
        <w:gridCol w:w="1942"/>
      </w:tblGrid>
      <w:tr w:rsidR="00B00DB4" w14:paraId="1E78B663" w14:textId="77777777">
        <w:tc>
          <w:tcPr>
            <w:tcW w:w="0" w:type="auto"/>
            <w:tcBorders>
              <w:bottom w:val="single" w:sz="0" w:space="0" w:color="auto"/>
            </w:tcBorders>
            <w:vAlign w:val="bottom"/>
          </w:tcPr>
          <w:p w14:paraId="17E8A0C7" w14:textId="77777777" w:rsidR="00B00DB4" w:rsidRDefault="00000000">
            <w:pPr>
              <w:pStyle w:val="Compact"/>
            </w:pPr>
            <w:r>
              <w:rPr>
                <w:color w:val="000000"/>
                <w:sz w:val="18"/>
              </w:rPr>
              <w:t>Fonctionnalité</w:t>
            </w:r>
          </w:p>
        </w:tc>
        <w:tc>
          <w:tcPr>
            <w:tcW w:w="0" w:type="auto"/>
            <w:tcBorders>
              <w:bottom w:val="single" w:sz="0" w:space="0" w:color="auto"/>
            </w:tcBorders>
            <w:vAlign w:val="bottom"/>
          </w:tcPr>
          <w:p w14:paraId="526CB9B3" w14:textId="77777777" w:rsidR="00B00DB4" w:rsidRDefault="00000000">
            <w:pPr>
              <w:pStyle w:val="Compact"/>
              <w:jc w:val="center"/>
            </w:pPr>
            <w:r>
              <w:rPr>
                <w:color w:val="000000"/>
                <w:sz w:val="18"/>
              </w:rPr>
              <w:t>Administrateur</w:t>
            </w:r>
          </w:p>
        </w:tc>
        <w:tc>
          <w:tcPr>
            <w:tcW w:w="0" w:type="auto"/>
            <w:tcBorders>
              <w:bottom w:val="single" w:sz="0" w:space="0" w:color="auto"/>
            </w:tcBorders>
            <w:vAlign w:val="bottom"/>
          </w:tcPr>
          <w:p w14:paraId="301CE5D7" w14:textId="77777777" w:rsidR="00B00DB4" w:rsidRDefault="00000000">
            <w:pPr>
              <w:pStyle w:val="Compact"/>
              <w:jc w:val="center"/>
            </w:pPr>
            <w:r>
              <w:rPr>
                <w:color w:val="000000"/>
                <w:sz w:val="18"/>
              </w:rPr>
              <w:t>Délégué</w:t>
            </w:r>
          </w:p>
        </w:tc>
        <w:tc>
          <w:tcPr>
            <w:tcW w:w="0" w:type="auto"/>
            <w:tcBorders>
              <w:bottom w:val="single" w:sz="0" w:space="0" w:color="auto"/>
            </w:tcBorders>
            <w:vAlign w:val="bottom"/>
          </w:tcPr>
          <w:p w14:paraId="5FAA2C77" w14:textId="77777777" w:rsidR="00B00DB4" w:rsidRDefault="00000000">
            <w:pPr>
              <w:pStyle w:val="Compact"/>
              <w:jc w:val="center"/>
            </w:pPr>
            <w:r>
              <w:rPr>
                <w:color w:val="000000"/>
                <w:sz w:val="18"/>
              </w:rPr>
              <w:t>Étudiant</w:t>
            </w:r>
          </w:p>
        </w:tc>
      </w:tr>
      <w:tr w:rsidR="00B00DB4" w14:paraId="3D4103B1" w14:textId="77777777">
        <w:tc>
          <w:tcPr>
            <w:tcW w:w="0" w:type="auto"/>
          </w:tcPr>
          <w:p w14:paraId="17F9AFAF" w14:textId="77777777" w:rsidR="00B00DB4" w:rsidRDefault="00000000">
            <w:pPr>
              <w:pStyle w:val="Compact"/>
            </w:pPr>
            <w:r>
              <w:rPr>
                <w:color w:val="000000"/>
                <w:sz w:val="18"/>
              </w:rPr>
              <w:t>Gérer les filières, niveaux et matières</w:t>
            </w:r>
          </w:p>
        </w:tc>
        <w:tc>
          <w:tcPr>
            <w:tcW w:w="0" w:type="auto"/>
          </w:tcPr>
          <w:p w14:paraId="60D59D7F" w14:textId="77777777" w:rsidR="00B00DB4" w:rsidRDefault="00000000">
            <w:pPr>
              <w:pStyle w:val="Compact"/>
              <w:jc w:val="center"/>
            </w:pPr>
            <w:r>
              <w:rPr>
                <w:color w:val="000000"/>
                <w:sz w:val="18"/>
              </w:rPr>
              <w:t>Oui</w:t>
            </w:r>
          </w:p>
        </w:tc>
        <w:tc>
          <w:tcPr>
            <w:tcW w:w="0" w:type="auto"/>
          </w:tcPr>
          <w:p w14:paraId="7E07F191" w14:textId="77777777" w:rsidR="00B00DB4" w:rsidRDefault="00000000">
            <w:pPr>
              <w:pStyle w:val="Compact"/>
              <w:jc w:val="center"/>
            </w:pPr>
            <w:r>
              <w:rPr>
                <w:color w:val="000000"/>
                <w:sz w:val="18"/>
              </w:rPr>
              <w:t>Non</w:t>
            </w:r>
          </w:p>
        </w:tc>
        <w:tc>
          <w:tcPr>
            <w:tcW w:w="0" w:type="auto"/>
          </w:tcPr>
          <w:p w14:paraId="11CB3F1D" w14:textId="77777777" w:rsidR="00B00DB4" w:rsidRDefault="00000000">
            <w:pPr>
              <w:pStyle w:val="Compact"/>
              <w:jc w:val="center"/>
            </w:pPr>
            <w:r>
              <w:rPr>
                <w:color w:val="000000"/>
                <w:sz w:val="18"/>
              </w:rPr>
              <w:t>Non</w:t>
            </w:r>
          </w:p>
        </w:tc>
      </w:tr>
      <w:tr w:rsidR="00B00DB4" w14:paraId="0ABC0969" w14:textId="77777777">
        <w:tc>
          <w:tcPr>
            <w:tcW w:w="0" w:type="auto"/>
          </w:tcPr>
          <w:p w14:paraId="02377412" w14:textId="77777777" w:rsidR="00B00DB4" w:rsidRDefault="00000000">
            <w:pPr>
              <w:pStyle w:val="Compact"/>
            </w:pPr>
            <w:r>
              <w:rPr>
                <w:color w:val="000000"/>
                <w:sz w:val="18"/>
              </w:rPr>
              <w:t>Gérer les comptes et importer une cohorte</w:t>
            </w:r>
          </w:p>
        </w:tc>
        <w:tc>
          <w:tcPr>
            <w:tcW w:w="0" w:type="auto"/>
          </w:tcPr>
          <w:p w14:paraId="246C970E" w14:textId="77777777" w:rsidR="00B00DB4" w:rsidRDefault="00000000">
            <w:pPr>
              <w:pStyle w:val="Compact"/>
              <w:jc w:val="center"/>
            </w:pPr>
            <w:r>
              <w:rPr>
                <w:color w:val="000000"/>
                <w:sz w:val="18"/>
              </w:rPr>
              <w:t>Oui</w:t>
            </w:r>
          </w:p>
        </w:tc>
        <w:tc>
          <w:tcPr>
            <w:tcW w:w="0" w:type="auto"/>
          </w:tcPr>
          <w:p w14:paraId="74EBB69F" w14:textId="77777777" w:rsidR="00B00DB4" w:rsidRDefault="00000000">
            <w:pPr>
              <w:pStyle w:val="Compact"/>
              <w:jc w:val="center"/>
            </w:pPr>
            <w:r>
              <w:rPr>
                <w:color w:val="000000"/>
                <w:sz w:val="18"/>
              </w:rPr>
              <w:t>Non</w:t>
            </w:r>
          </w:p>
        </w:tc>
        <w:tc>
          <w:tcPr>
            <w:tcW w:w="0" w:type="auto"/>
          </w:tcPr>
          <w:p w14:paraId="11C9EDFF" w14:textId="77777777" w:rsidR="00B00DB4" w:rsidRDefault="00000000">
            <w:pPr>
              <w:pStyle w:val="Compact"/>
              <w:jc w:val="center"/>
            </w:pPr>
            <w:r>
              <w:rPr>
                <w:color w:val="000000"/>
                <w:sz w:val="18"/>
              </w:rPr>
              <w:t>Non</w:t>
            </w:r>
          </w:p>
        </w:tc>
      </w:tr>
      <w:tr w:rsidR="00B00DB4" w14:paraId="1BF81712" w14:textId="77777777">
        <w:tc>
          <w:tcPr>
            <w:tcW w:w="0" w:type="auto"/>
          </w:tcPr>
          <w:p w14:paraId="6AC1B657" w14:textId="77777777" w:rsidR="00B00DB4" w:rsidRDefault="00000000">
            <w:pPr>
              <w:pStyle w:val="Compact"/>
            </w:pPr>
            <w:r>
              <w:rPr>
                <w:color w:val="000000"/>
                <w:sz w:val="18"/>
              </w:rPr>
              <w:t>Publier une ressource</w:t>
            </w:r>
          </w:p>
        </w:tc>
        <w:tc>
          <w:tcPr>
            <w:tcW w:w="0" w:type="auto"/>
          </w:tcPr>
          <w:p w14:paraId="247D2676" w14:textId="77777777" w:rsidR="00B00DB4" w:rsidRDefault="00000000">
            <w:pPr>
              <w:pStyle w:val="Compact"/>
              <w:jc w:val="center"/>
            </w:pPr>
            <w:r>
              <w:rPr>
                <w:color w:val="000000"/>
                <w:sz w:val="18"/>
              </w:rPr>
              <w:t>Oui</w:t>
            </w:r>
          </w:p>
        </w:tc>
        <w:tc>
          <w:tcPr>
            <w:tcW w:w="0" w:type="auto"/>
          </w:tcPr>
          <w:p w14:paraId="70394432" w14:textId="77777777" w:rsidR="00B00DB4" w:rsidRDefault="00000000">
            <w:pPr>
              <w:pStyle w:val="Compact"/>
              <w:jc w:val="center"/>
            </w:pPr>
            <w:r>
              <w:rPr>
                <w:color w:val="000000"/>
                <w:sz w:val="18"/>
              </w:rPr>
              <w:t>Oui (sa classe)</w:t>
            </w:r>
          </w:p>
        </w:tc>
        <w:tc>
          <w:tcPr>
            <w:tcW w:w="0" w:type="auto"/>
          </w:tcPr>
          <w:p w14:paraId="5FFA2F5E" w14:textId="77777777" w:rsidR="00B00DB4" w:rsidRDefault="00000000">
            <w:pPr>
              <w:pStyle w:val="Compact"/>
              <w:jc w:val="center"/>
            </w:pPr>
            <w:r>
              <w:rPr>
                <w:color w:val="000000"/>
                <w:sz w:val="18"/>
              </w:rPr>
              <w:t>Non</w:t>
            </w:r>
          </w:p>
        </w:tc>
      </w:tr>
      <w:tr w:rsidR="00B00DB4" w14:paraId="742CA727" w14:textId="77777777">
        <w:tc>
          <w:tcPr>
            <w:tcW w:w="0" w:type="auto"/>
          </w:tcPr>
          <w:p w14:paraId="1799D2ED" w14:textId="77777777" w:rsidR="00B00DB4" w:rsidRDefault="00000000">
            <w:pPr>
              <w:pStyle w:val="Compact"/>
            </w:pPr>
            <w:r>
              <w:rPr>
                <w:color w:val="000000"/>
                <w:sz w:val="18"/>
              </w:rPr>
              <w:t>Consulter les ressources</w:t>
            </w:r>
          </w:p>
        </w:tc>
        <w:tc>
          <w:tcPr>
            <w:tcW w:w="0" w:type="auto"/>
          </w:tcPr>
          <w:p w14:paraId="033D8938" w14:textId="77777777" w:rsidR="00B00DB4" w:rsidRDefault="00000000">
            <w:pPr>
              <w:pStyle w:val="Compact"/>
              <w:jc w:val="center"/>
            </w:pPr>
            <w:r>
              <w:rPr>
                <w:color w:val="000000"/>
                <w:sz w:val="18"/>
              </w:rPr>
              <w:t>Oui (toutes)</w:t>
            </w:r>
          </w:p>
        </w:tc>
        <w:tc>
          <w:tcPr>
            <w:tcW w:w="0" w:type="auto"/>
          </w:tcPr>
          <w:p w14:paraId="6AC5E8E1" w14:textId="77777777" w:rsidR="00B00DB4" w:rsidRDefault="00000000">
            <w:pPr>
              <w:pStyle w:val="Compact"/>
              <w:jc w:val="center"/>
            </w:pPr>
            <w:r>
              <w:rPr>
                <w:color w:val="000000"/>
                <w:sz w:val="18"/>
              </w:rPr>
              <w:t>Oui (son périmètre)</w:t>
            </w:r>
          </w:p>
        </w:tc>
        <w:tc>
          <w:tcPr>
            <w:tcW w:w="0" w:type="auto"/>
          </w:tcPr>
          <w:p w14:paraId="45840124" w14:textId="77777777" w:rsidR="00B00DB4" w:rsidRDefault="00000000">
            <w:pPr>
              <w:pStyle w:val="Compact"/>
              <w:jc w:val="center"/>
            </w:pPr>
            <w:r>
              <w:rPr>
                <w:color w:val="000000"/>
                <w:sz w:val="18"/>
              </w:rPr>
              <w:t>Oui (son périmètre)</w:t>
            </w:r>
          </w:p>
        </w:tc>
      </w:tr>
      <w:tr w:rsidR="00B00DB4" w14:paraId="2C147F6C" w14:textId="77777777">
        <w:tc>
          <w:tcPr>
            <w:tcW w:w="0" w:type="auto"/>
          </w:tcPr>
          <w:p w14:paraId="701584A4" w14:textId="77777777" w:rsidR="00B00DB4" w:rsidRDefault="00000000">
            <w:pPr>
              <w:pStyle w:val="Compact"/>
            </w:pPr>
            <w:r>
              <w:rPr>
                <w:color w:val="000000"/>
                <w:sz w:val="18"/>
              </w:rPr>
              <w:t>Commenter et échanger</w:t>
            </w:r>
          </w:p>
        </w:tc>
        <w:tc>
          <w:tcPr>
            <w:tcW w:w="0" w:type="auto"/>
          </w:tcPr>
          <w:p w14:paraId="048E82FD" w14:textId="77777777" w:rsidR="00B00DB4" w:rsidRDefault="00000000">
            <w:pPr>
              <w:pStyle w:val="Compact"/>
              <w:jc w:val="center"/>
            </w:pPr>
            <w:r>
              <w:rPr>
                <w:color w:val="000000"/>
                <w:sz w:val="18"/>
              </w:rPr>
              <w:t>Oui</w:t>
            </w:r>
          </w:p>
        </w:tc>
        <w:tc>
          <w:tcPr>
            <w:tcW w:w="0" w:type="auto"/>
          </w:tcPr>
          <w:p w14:paraId="6A43DDAD" w14:textId="77777777" w:rsidR="00B00DB4" w:rsidRDefault="00000000">
            <w:pPr>
              <w:pStyle w:val="Compact"/>
              <w:jc w:val="center"/>
            </w:pPr>
            <w:r>
              <w:rPr>
                <w:color w:val="000000"/>
                <w:sz w:val="18"/>
              </w:rPr>
              <w:t>Oui</w:t>
            </w:r>
          </w:p>
        </w:tc>
        <w:tc>
          <w:tcPr>
            <w:tcW w:w="0" w:type="auto"/>
          </w:tcPr>
          <w:p w14:paraId="489C37C6" w14:textId="77777777" w:rsidR="00B00DB4" w:rsidRDefault="00000000">
            <w:pPr>
              <w:pStyle w:val="Compact"/>
              <w:jc w:val="center"/>
            </w:pPr>
            <w:r>
              <w:rPr>
                <w:color w:val="000000"/>
                <w:sz w:val="18"/>
              </w:rPr>
              <w:t>Oui</w:t>
            </w:r>
          </w:p>
        </w:tc>
      </w:tr>
      <w:tr w:rsidR="00B00DB4" w14:paraId="2E9D2312" w14:textId="77777777">
        <w:tc>
          <w:tcPr>
            <w:tcW w:w="0" w:type="auto"/>
          </w:tcPr>
          <w:p w14:paraId="29691991" w14:textId="77777777" w:rsidR="00B00DB4" w:rsidRDefault="00000000">
            <w:pPr>
              <w:pStyle w:val="Compact"/>
            </w:pPr>
            <w:r>
              <w:rPr>
                <w:color w:val="000000"/>
                <w:sz w:val="18"/>
              </w:rPr>
              <w:t>Modérer les contenus</w:t>
            </w:r>
          </w:p>
        </w:tc>
        <w:tc>
          <w:tcPr>
            <w:tcW w:w="0" w:type="auto"/>
          </w:tcPr>
          <w:p w14:paraId="4006A685" w14:textId="77777777" w:rsidR="00B00DB4" w:rsidRDefault="00000000">
            <w:pPr>
              <w:pStyle w:val="Compact"/>
              <w:jc w:val="center"/>
            </w:pPr>
            <w:r>
              <w:rPr>
                <w:color w:val="000000"/>
                <w:sz w:val="18"/>
              </w:rPr>
              <w:t>Oui</w:t>
            </w:r>
          </w:p>
        </w:tc>
        <w:tc>
          <w:tcPr>
            <w:tcW w:w="0" w:type="auto"/>
          </w:tcPr>
          <w:p w14:paraId="5A2F03CC" w14:textId="77777777" w:rsidR="00B00DB4" w:rsidRDefault="00000000">
            <w:pPr>
              <w:pStyle w:val="Compact"/>
              <w:jc w:val="center"/>
            </w:pPr>
            <w:r>
              <w:rPr>
                <w:color w:val="000000"/>
                <w:sz w:val="18"/>
              </w:rPr>
              <w:t>Non</w:t>
            </w:r>
          </w:p>
        </w:tc>
        <w:tc>
          <w:tcPr>
            <w:tcW w:w="0" w:type="auto"/>
          </w:tcPr>
          <w:p w14:paraId="58B18DE3" w14:textId="77777777" w:rsidR="00B00DB4" w:rsidRDefault="00000000">
            <w:pPr>
              <w:pStyle w:val="Compact"/>
              <w:jc w:val="center"/>
            </w:pPr>
            <w:r>
              <w:rPr>
                <w:color w:val="000000"/>
                <w:sz w:val="18"/>
              </w:rPr>
              <w:t>Non</w:t>
            </w:r>
          </w:p>
        </w:tc>
      </w:tr>
      <w:tr w:rsidR="00B00DB4" w14:paraId="6DA5B865" w14:textId="77777777">
        <w:tc>
          <w:tcPr>
            <w:tcW w:w="0" w:type="auto"/>
          </w:tcPr>
          <w:p w14:paraId="5D5728B4" w14:textId="77777777" w:rsidR="00B00DB4" w:rsidRDefault="00000000">
            <w:pPr>
              <w:pStyle w:val="Compact"/>
            </w:pPr>
            <w:r>
              <w:rPr>
                <w:color w:val="000000"/>
                <w:sz w:val="18"/>
              </w:rPr>
              <w:t>Évaluer les enseignants</w:t>
            </w:r>
          </w:p>
        </w:tc>
        <w:tc>
          <w:tcPr>
            <w:tcW w:w="0" w:type="auto"/>
          </w:tcPr>
          <w:p w14:paraId="73C15FF3" w14:textId="77777777" w:rsidR="00B00DB4" w:rsidRDefault="00000000">
            <w:pPr>
              <w:pStyle w:val="Compact"/>
              <w:jc w:val="center"/>
            </w:pPr>
            <w:r>
              <w:rPr>
                <w:color w:val="000000"/>
                <w:sz w:val="18"/>
              </w:rPr>
              <w:t>Non</w:t>
            </w:r>
          </w:p>
        </w:tc>
        <w:tc>
          <w:tcPr>
            <w:tcW w:w="0" w:type="auto"/>
          </w:tcPr>
          <w:p w14:paraId="5C8ACFF5" w14:textId="77777777" w:rsidR="00B00DB4" w:rsidRDefault="00000000">
            <w:pPr>
              <w:pStyle w:val="Compact"/>
              <w:jc w:val="center"/>
            </w:pPr>
            <w:r>
              <w:rPr>
                <w:color w:val="000000"/>
                <w:sz w:val="18"/>
              </w:rPr>
              <w:t>Oui</w:t>
            </w:r>
          </w:p>
        </w:tc>
        <w:tc>
          <w:tcPr>
            <w:tcW w:w="0" w:type="auto"/>
          </w:tcPr>
          <w:p w14:paraId="5458CC62" w14:textId="77777777" w:rsidR="00B00DB4" w:rsidRDefault="00000000">
            <w:pPr>
              <w:pStyle w:val="Compact"/>
              <w:jc w:val="center"/>
            </w:pPr>
            <w:r>
              <w:rPr>
                <w:color w:val="000000"/>
                <w:sz w:val="18"/>
              </w:rPr>
              <w:t>Oui</w:t>
            </w:r>
          </w:p>
        </w:tc>
      </w:tr>
      <w:tr w:rsidR="00B00DB4" w14:paraId="395F8A27" w14:textId="77777777">
        <w:tc>
          <w:tcPr>
            <w:tcW w:w="0" w:type="auto"/>
          </w:tcPr>
          <w:p w14:paraId="099FF102" w14:textId="77777777" w:rsidR="00B00DB4" w:rsidRDefault="00000000">
            <w:pPr>
              <w:pStyle w:val="Compact"/>
            </w:pPr>
            <w:r>
              <w:rPr>
                <w:color w:val="000000"/>
                <w:sz w:val="18"/>
              </w:rPr>
              <w:t>Consulter les rapports et évaluations</w:t>
            </w:r>
          </w:p>
        </w:tc>
        <w:tc>
          <w:tcPr>
            <w:tcW w:w="0" w:type="auto"/>
          </w:tcPr>
          <w:p w14:paraId="57ED8602" w14:textId="77777777" w:rsidR="00B00DB4" w:rsidRDefault="00000000">
            <w:pPr>
              <w:pStyle w:val="Compact"/>
              <w:jc w:val="center"/>
            </w:pPr>
            <w:r>
              <w:rPr>
                <w:color w:val="000000"/>
                <w:sz w:val="18"/>
              </w:rPr>
              <w:t>Oui</w:t>
            </w:r>
          </w:p>
        </w:tc>
        <w:tc>
          <w:tcPr>
            <w:tcW w:w="0" w:type="auto"/>
          </w:tcPr>
          <w:p w14:paraId="4E3AE1FA" w14:textId="77777777" w:rsidR="00B00DB4" w:rsidRDefault="00000000">
            <w:pPr>
              <w:pStyle w:val="Compact"/>
              <w:jc w:val="center"/>
            </w:pPr>
            <w:r>
              <w:rPr>
                <w:color w:val="000000"/>
                <w:sz w:val="18"/>
              </w:rPr>
              <w:t>Non</w:t>
            </w:r>
          </w:p>
        </w:tc>
        <w:tc>
          <w:tcPr>
            <w:tcW w:w="0" w:type="auto"/>
          </w:tcPr>
          <w:p w14:paraId="43FC1933" w14:textId="77777777" w:rsidR="00B00DB4" w:rsidRDefault="00000000">
            <w:pPr>
              <w:pStyle w:val="Compact"/>
              <w:jc w:val="center"/>
            </w:pPr>
            <w:r>
              <w:rPr>
                <w:color w:val="000000"/>
                <w:sz w:val="18"/>
              </w:rPr>
              <w:t>Non</w:t>
            </w:r>
          </w:p>
        </w:tc>
      </w:tr>
    </w:tbl>
    <w:p w14:paraId="2143BEBB" w14:textId="77777777" w:rsidR="00B00DB4" w:rsidRDefault="00000000">
      <w:pPr>
        <w:pStyle w:val="Corpsdetexte"/>
        <w:spacing w:after="120" w:line="360" w:lineRule="auto"/>
        <w:jc w:val="both"/>
      </w:pPr>
      <w:r>
        <w:rPr>
          <w:i/>
          <w:color w:val="000000"/>
        </w:rPr>
        <w:t>Tableau 3.1 : Matrice des droits par rôle. Source : auteur, 2026.</w:t>
      </w:r>
    </w:p>
    <w:p w14:paraId="3EF8C721" w14:textId="77777777" w:rsidR="00B00DB4" w:rsidRDefault="00000000">
      <w:pPr>
        <w:pStyle w:val="Titre2"/>
        <w:spacing w:before="160" w:after="80" w:line="276" w:lineRule="auto"/>
      </w:pPr>
      <w:bookmarkStart w:id="47" w:name="Xe3d28d438e54adee718014226975754141111b9"/>
      <w:r>
        <w:rPr>
          <w:rFonts w:ascii="Times New Roman" w:hAnsi="Times New Roman"/>
          <w:color w:val="000000"/>
          <w:sz w:val="26"/>
        </w:rPr>
        <w:t>Section 2 — Présentation et traitement des données</w:t>
      </w:r>
      <w:bookmarkEnd w:id="47"/>
    </w:p>
    <w:p w14:paraId="68FC037E" w14:textId="77777777" w:rsidR="00B00DB4" w:rsidRDefault="00000000">
      <w:pPr>
        <w:pStyle w:val="Titre3"/>
        <w:spacing w:before="120" w:after="60" w:line="276" w:lineRule="auto"/>
      </w:pPr>
      <w:bookmarkStart w:id="48" w:name="questionnaire-utilisateurs"/>
      <w:r>
        <w:rPr>
          <w:rFonts w:ascii="Times New Roman" w:hAnsi="Times New Roman"/>
          <w:color w:val="000000"/>
        </w:rPr>
        <w:t>2.1 Questionnaire utilisateurs</w:t>
      </w:r>
      <w:bookmarkEnd w:id="48"/>
    </w:p>
    <w:p w14:paraId="271EF60E" w14:textId="77777777" w:rsidR="00B00DB4" w:rsidRDefault="00000000">
      <w:pPr>
        <w:pStyle w:val="FirstParagraph"/>
        <w:spacing w:after="120" w:line="360" w:lineRule="auto"/>
        <w:jc w:val="both"/>
      </w:pPr>
      <w:r>
        <w:rPr>
          <w:color w:val="000000"/>
        </w:rPr>
        <w:t xml:space="preserve">Afin d’ancrer la conception dans les besoins réels et d’éviter le risque de sur-fonctionnalité, une collecte de données primaires a été conduite auprès de la communauté AFI. Un questionnaire structuré, diffusé au moyen d’un formulaire en ligne, a recueilli </w:t>
      </w:r>
      <w:r>
        <w:rPr>
          <w:b/>
          <w:color w:val="000000"/>
        </w:rPr>
        <w:t>six réponses</w:t>
      </w:r>
      <w:r>
        <w:rPr>
          <w:color w:val="000000"/>
        </w:rPr>
        <w:t xml:space="preserve"> : cinq étudiants et un responsable administratif, la section réservée aux délégués ayant par ailleurs recueilli deux réponses. La taille modeste de cet échantillon invite à interpréter les résultats comme indicatifs plutôt que statistiquement représentatifs ; ils n’en offrent pas moins un éclairage cohérent avec le diagnostic du chapitre II.</w:t>
      </w:r>
    </w:p>
    <w:p w14:paraId="69D24589" w14:textId="77777777" w:rsidR="00B00DB4" w:rsidRDefault="00000000">
      <w:pPr>
        <w:pStyle w:val="Corpsdetexte"/>
        <w:spacing w:after="120" w:line="360" w:lineRule="auto"/>
        <w:jc w:val="both"/>
      </w:pPr>
      <w:r>
        <w:rPr>
          <w:color w:val="000000"/>
        </w:rPr>
        <w:t>Les résultats confirment nettement les défaillances identifiées. La totalité des répondants recourt aux groupes WhatsApp pour accéder aux ressources et déclare avoir déjà perdu un document faute de stockage fiable ; la moitié met plus de quinze minutes à retrouver un cours. Sur le plan de l’équipement, cinq répondants sur six utilisent à la fois un smartphone et un ordinateur, ce qui justifie a posteriori le choix d’une solution à la fois web et mobile. Du côté des besoins, les fonctionnalités jugées prioritaires sont le téléchargement direct des cours, cité par l’ensemble des répondants, la recherche par filière, matière ou niveau et la notification lors de l’ajout d’un document, citées par une large majorité ; la facilité de navigation est le critère de qualité le plus fréquemment mentionné. Les deux délégués se déclarent à l’aise pour publier sans validation administrative, et le responsable administratif confirme l’absence de système centralisé satisfaisant, en citant comme prioritaires le tableau de bord de gestion des utilisateurs, la supervision des contenus et la gestion des filières et niveaux d’accès. Ces résultats ont directement orienté les priorités de conception.</w:t>
      </w:r>
    </w:p>
    <w:p w14:paraId="42C2796D" w14:textId="77777777" w:rsidR="00B00DB4" w:rsidRDefault="00000000">
      <w:pPr>
        <w:pStyle w:val="Normalcentr"/>
        <w:spacing w:after="120" w:line="360" w:lineRule="auto"/>
        <w:jc w:val="both"/>
      </w:pPr>
      <w:r>
        <w:rPr>
          <w:b/>
          <w:color w:val="000000"/>
        </w:rPr>
        <w:t>[Figure 3.7 — Graphiques de synthèse des résultats du questionnaire utilisateurs (pratiques actuelles, difficultés rencontrées et besoins exprimés).]</w:t>
      </w:r>
    </w:p>
    <w:p w14:paraId="39B93093" w14:textId="77777777" w:rsidR="00B00DB4" w:rsidRDefault="00000000">
      <w:pPr>
        <w:pStyle w:val="FirstParagraph"/>
        <w:spacing w:after="120" w:line="360" w:lineRule="auto"/>
        <w:jc w:val="both"/>
      </w:pPr>
      <w:r>
        <w:rPr>
          <w:i/>
          <w:color w:val="000000"/>
        </w:rPr>
        <w:t>Figure 3.7 : Résultats du questionnaire utilisateurs. Source : auteur, 2026.</w:t>
      </w:r>
    </w:p>
    <w:p w14:paraId="10895969" w14:textId="77777777" w:rsidR="00B00DB4" w:rsidRDefault="00000000">
      <w:pPr>
        <w:pStyle w:val="Titre3"/>
        <w:spacing w:before="120" w:after="60" w:line="276" w:lineRule="auto"/>
      </w:pPr>
      <w:bookmarkStart w:id="49" w:name="méthode-agile-scrum"/>
      <w:r>
        <w:rPr>
          <w:rFonts w:ascii="Times New Roman" w:hAnsi="Times New Roman"/>
          <w:color w:val="000000"/>
        </w:rPr>
        <w:t>2.2 Méthode Agile Scrum</w:t>
      </w:r>
      <w:bookmarkEnd w:id="49"/>
    </w:p>
    <w:p w14:paraId="0037DB1A" w14:textId="77777777" w:rsidR="00B00DB4" w:rsidRDefault="00000000">
      <w:pPr>
        <w:pStyle w:val="FirstParagraph"/>
        <w:spacing w:after="120" w:line="360" w:lineRule="auto"/>
        <w:jc w:val="both"/>
      </w:pPr>
      <w:r>
        <w:rPr>
          <w:color w:val="000000"/>
        </w:rPr>
        <w:t>Le développement d’AFI-DOCS a suivi la méthode Agile Scrum, adaptée à un projet évolutif mené par un développeur unique. Le travail a été organisé en itérations successives (sprints), chacune produisant un incrément fonctionnel testé avant d’engager le suivant. Le carnet de produit a été priorisé en fonction des besoins issus du questionnaire, en traitant d’abord le cœur métier — la publication et la consultation structurée des ressources — puis les fonctionnalités de soutien. Cette approche itérative a permis d’ajuster progressivement la plateforme et de valider chaque brique avant intégration.</w:t>
      </w:r>
    </w:p>
    <w:tbl>
      <w:tblPr>
        <w:tblStyle w:val="Table"/>
        <w:tblW w:w="5000" w:type="pct"/>
        <w:tblLook w:val="07E0" w:firstRow="1" w:lastRow="1" w:firstColumn="1" w:lastColumn="1" w:noHBand="1" w:noVBand="1"/>
      </w:tblPr>
      <w:tblGrid>
        <w:gridCol w:w="663"/>
        <w:gridCol w:w="2264"/>
        <w:gridCol w:w="6361"/>
      </w:tblGrid>
      <w:tr w:rsidR="00B00DB4" w14:paraId="4FFEF73F" w14:textId="77777777">
        <w:tc>
          <w:tcPr>
            <w:tcW w:w="0" w:type="auto"/>
            <w:tcBorders>
              <w:bottom w:val="single" w:sz="0" w:space="0" w:color="auto"/>
            </w:tcBorders>
            <w:vAlign w:val="bottom"/>
          </w:tcPr>
          <w:p w14:paraId="79DD32A2" w14:textId="77777777" w:rsidR="00B00DB4" w:rsidRDefault="00000000">
            <w:pPr>
              <w:pStyle w:val="Compact"/>
            </w:pPr>
            <w:r>
              <w:rPr>
                <w:color w:val="000000"/>
                <w:sz w:val="18"/>
              </w:rPr>
              <w:t>Sprint</w:t>
            </w:r>
          </w:p>
        </w:tc>
        <w:tc>
          <w:tcPr>
            <w:tcW w:w="0" w:type="auto"/>
            <w:tcBorders>
              <w:bottom w:val="single" w:sz="0" w:space="0" w:color="auto"/>
            </w:tcBorders>
            <w:vAlign w:val="bottom"/>
          </w:tcPr>
          <w:p w14:paraId="35EC67EA" w14:textId="77777777" w:rsidR="00B00DB4" w:rsidRDefault="00000000">
            <w:pPr>
              <w:pStyle w:val="Compact"/>
            </w:pPr>
            <w:r>
              <w:rPr>
                <w:color w:val="000000"/>
                <w:sz w:val="18"/>
              </w:rPr>
              <w:t>Objectif principal</w:t>
            </w:r>
          </w:p>
        </w:tc>
        <w:tc>
          <w:tcPr>
            <w:tcW w:w="0" w:type="auto"/>
            <w:tcBorders>
              <w:bottom w:val="single" w:sz="0" w:space="0" w:color="auto"/>
            </w:tcBorders>
            <w:vAlign w:val="bottom"/>
          </w:tcPr>
          <w:p w14:paraId="495B55FF" w14:textId="77777777" w:rsidR="00B00DB4" w:rsidRDefault="00000000">
            <w:pPr>
              <w:pStyle w:val="Compact"/>
            </w:pPr>
            <w:r>
              <w:rPr>
                <w:color w:val="000000"/>
                <w:sz w:val="18"/>
              </w:rPr>
              <w:t>Livrables</w:t>
            </w:r>
          </w:p>
        </w:tc>
      </w:tr>
      <w:tr w:rsidR="00B00DB4" w14:paraId="5D4050B6" w14:textId="77777777">
        <w:tc>
          <w:tcPr>
            <w:tcW w:w="0" w:type="auto"/>
          </w:tcPr>
          <w:p w14:paraId="035FFD0A" w14:textId="77777777" w:rsidR="00B00DB4" w:rsidRDefault="00000000">
            <w:pPr>
              <w:pStyle w:val="Compact"/>
            </w:pPr>
            <w:r>
              <w:rPr>
                <w:color w:val="000000"/>
                <w:sz w:val="18"/>
              </w:rPr>
              <w:t>1</w:t>
            </w:r>
          </w:p>
        </w:tc>
        <w:tc>
          <w:tcPr>
            <w:tcW w:w="0" w:type="auto"/>
          </w:tcPr>
          <w:p w14:paraId="147B113F" w14:textId="77777777" w:rsidR="00B00DB4" w:rsidRDefault="00000000">
            <w:pPr>
              <w:pStyle w:val="Compact"/>
            </w:pPr>
            <w:r>
              <w:rPr>
                <w:color w:val="000000"/>
                <w:sz w:val="18"/>
              </w:rPr>
              <w:t>Socle et authentification</w:t>
            </w:r>
          </w:p>
        </w:tc>
        <w:tc>
          <w:tcPr>
            <w:tcW w:w="0" w:type="auto"/>
          </w:tcPr>
          <w:p w14:paraId="50516298" w14:textId="77777777" w:rsidR="00B00DB4" w:rsidRDefault="00000000">
            <w:pPr>
              <w:pStyle w:val="Compact"/>
            </w:pPr>
            <w:r>
              <w:rPr>
                <w:color w:val="000000"/>
                <w:sz w:val="18"/>
              </w:rPr>
              <w:t>Installation Laravel, migrations, authentification, routage par rôle</w:t>
            </w:r>
          </w:p>
        </w:tc>
      </w:tr>
      <w:tr w:rsidR="00B00DB4" w14:paraId="667AB095" w14:textId="77777777">
        <w:tc>
          <w:tcPr>
            <w:tcW w:w="0" w:type="auto"/>
          </w:tcPr>
          <w:p w14:paraId="07653AC0" w14:textId="77777777" w:rsidR="00B00DB4" w:rsidRDefault="00000000">
            <w:pPr>
              <w:pStyle w:val="Compact"/>
            </w:pPr>
            <w:r>
              <w:rPr>
                <w:color w:val="000000"/>
                <w:sz w:val="18"/>
              </w:rPr>
              <w:t>2</w:t>
            </w:r>
          </w:p>
        </w:tc>
        <w:tc>
          <w:tcPr>
            <w:tcW w:w="0" w:type="auto"/>
          </w:tcPr>
          <w:p w14:paraId="518B890D" w14:textId="77777777" w:rsidR="00B00DB4" w:rsidRDefault="00000000">
            <w:pPr>
              <w:pStyle w:val="Compact"/>
            </w:pPr>
            <w:r>
              <w:rPr>
                <w:color w:val="000000"/>
                <w:sz w:val="18"/>
              </w:rPr>
              <w:t>Espace administrateur</w:t>
            </w:r>
          </w:p>
        </w:tc>
        <w:tc>
          <w:tcPr>
            <w:tcW w:w="0" w:type="auto"/>
          </w:tcPr>
          <w:p w14:paraId="7115A57D" w14:textId="77777777" w:rsidR="00B00DB4" w:rsidRDefault="00000000">
            <w:pPr>
              <w:pStyle w:val="Compact"/>
            </w:pPr>
            <w:r>
              <w:rPr>
                <w:color w:val="000000"/>
                <w:sz w:val="18"/>
              </w:rPr>
              <w:t>Gestion des filières/niveaux/matières, gestion des comptes, tableau de bord</w:t>
            </w:r>
          </w:p>
        </w:tc>
      </w:tr>
      <w:tr w:rsidR="00B00DB4" w14:paraId="1F5AFC6F" w14:textId="77777777">
        <w:tc>
          <w:tcPr>
            <w:tcW w:w="0" w:type="auto"/>
          </w:tcPr>
          <w:p w14:paraId="0BD52DDB" w14:textId="77777777" w:rsidR="00B00DB4" w:rsidRDefault="00000000">
            <w:pPr>
              <w:pStyle w:val="Compact"/>
            </w:pPr>
            <w:r>
              <w:rPr>
                <w:color w:val="000000"/>
                <w:sz w:val="18"/>
              </w:rPr>
              <w:t>3</w:t>
            </w:r>
          </w:p>
        </w:tc>
        <w:tc>
          <w:tcPr>
            <w:tcW w:w="0" w:type="auto"/>
          </w:tcPr>
          <w:p w14:paraId="0C4CE95A" w14:textId="77777777" w:rsidR="00B00DB4" w:rsidRDefault="00000000">
            <w:pPr>
              <w:pStyle w:val="Compact"/>
            </w:pPr>
            <w:r>
              <w:rPr>
                <w:color w:val="000000"/>
                <w:sz w:val="18"/>
              </w:rPr>
              <w:t>Publication délégué</w:t>
            </w:r>
          </w:p>
        </w:tc>
        <w:tc>
          <w:tcPr>
            <w:tcW w:w="0" w:type="auto"/>
          </w:tcPr>
          <w:p w14:paraId="7DA0DD69" w14:textId="77777777" w:rsidR="00B00DB4" w:rsidRDefault="00000000">
            <w:pPr>
              <w:pStyle w:val="Compact"/>
            </w:pPr>
            <w:r>
              <w:rPr>
                <w:color w:val="000000"/>
                <w:sz w:val="18"/>
              </w:rPr>
              <w:t>Dépôt de ressources, contrôle des droits, espace délégué</w:t>
            </w:r>
          </w:p>
        </w:tc>
      </w:tr>
      <w:tr w:rsidR="00B00DB4" w14:paraId="73A669F2" w14:textId="77777777">
        <w:tc>
          <w:tcPr>
            <w:tcW w:w="0" w:type="auto"/>
          </w:tcPr>
          <w:p w14:paraId="0092E866" w14:textId="77777777" w:rsidR="00B00DB4" w:rsidRDefault="00000000">
            <w:pPr>
              <w:pStyle w:val="Compact"/>
            </w:pPr>
            <w:r>
              <w:rPr>
                <w:color w:val="000000"/>
                <w:sz w:val="18"/>
              </w:rPr>
              <w:t>4</w:t>
            </w:r>
          </w:p>
        </w:tc>
        <w:tc>
          <w:tcPr>
            <w:tcW w:w="0" w:type="auto"/>
          </w:tcPr>
          <w:p w14:paraId="1EEA3BC4" w14:textId="77777777" w:rsidR="00B00DB4" w:rsidRDefault="00000000">
            <w:pPr>
              <w:pStyle w:val="Compact"/>
            </w:pPr>
            <w:r>
              <w:rPr>
                <w:color w:val="000000"/>
                <w:sz w:val="18"/>
              </w:rPr>
              <w:t>Consultation étudiant</w:t>
            </w:r>
          </w:p>
        </w:tc>
        <w:tc>
          <w:tcPr>
            <w:tcW w:w="0" w:type="auto"/>
          </w:tcPr>
          <w:p w14:paraId="1B039637" w14:textId="77777777" w:rsidR="00B00DB4" w:rsidRDefault="00000000">
            <w:pPr>
              <w:pStyle w:val="Compact"/>
            </w:pPr>
            <w:r>
              <w:rPr>
                <w:color w:val="000000"/>
                <w:sz w:val="18"/>
              </w:rPr>
              <w:t>Accès restreint par filière/niveau, recherche et filtres, téléchargement</w:t>
            </w:r>
          </w:p>
        </w:tc>
      </w:tr>
      <w:tr w:rsidR="00B00DB4" w14:paraId="6169296E" w14:textId="77777777">
        <w:tc>
          <w:tcPr>
            <w:tcW w:w="0" w:type="auto"/>
          </w:tcPr>
          <w:p w14:paraId="523B66AE" w14:textId="77777777" w:rsidR="00B00DB4" w:rsidRDefault="00000000">
            <w:pPr>
              <w:pStyle w:val="Compact"/>
            </w:pPr>
            <w:r>
              <w:rPr>
                <w:color w:val="000000"/>
                <w:sz w:val="18"/>
              </w:rPr>
              <w:t>5</w:t>
            </w:r>
          </w:p>
        </w:tc>
        <w:tc>
          <w:tcPr>
            <w:tcW w:w="0" w:type="auto"/>
          </w:tcPr>
          <w:p w14:paraId="4BDF09E3" w14:textId="77777777" w:rsidR="00B00DB4" w:rsidRDefault="00000000">
            <w:pPr>
              <w:pStyle w:val="Compact"/>
            </w:pPr>
            <w:r>
              <w:rPr>
                <w:color w:val="000000"/>
                <w:sz w:val="18"/>
              </w:rPr>
              <w:t>Échanges et communication</w:t>
            </w:r>
          </w:p>
        </w:tc>
        <w:tc>
          <w:tcPr>
            <w:tcW w:w="0" w:type="auto"/>
          </w:tcPr>
          <w:p w14:paraId="468B19CA" w14:textId="77777777" w:rsidR="00B00DB4" w:rsidRDefault="00000000">
            <w:pPr>
              <w:pStyle w:val="Compact"/>
            </w:pPr>
            <w:r>
              <w:rPr>
                <w:color w:val="000000"/>
                <w:sz w:val="18"/>
              </w:rPr>
              <w:t>Commentaires, discussion de classe, annonces, notifications</w:t>
            </w:r>
          </w:p>
        </w:tc>
      </w:tr>
      <w:tr w:rsidR="00B00DB4" w14:paraId="3C61BB19" w14:textId="77777777">
        <w:tc>
          <w:tcPr>
            <w:tcW w:w="0" w:type="auto"/>
          </w:tcPr>
          <w:p w14:paraId="1A675301" w14:textId="77777777" w:rsidR="00B00DB4" w:rsidRDefault="00000000">
            <w:pPr>
              <w:pStyle w:val="Compact"/>
            </w:pPr>
            <w:r>
              <w:rPr>
                <w:color w:val="000000"/>
                <w:sz w:val="18"/>
              </w:rPr>
              <w:t>6</w:t>
            </w:r>
          </w:p>
        </w:tc>
        <w:tc>
          <w:tcPr>
            <w:tcW w:w="0" w:type="auto"/>
          </w:tcPr>
          <w:p w14:paraId="08E81260" w14:textId="77777777" w:rsidR="00B00DB4" w:rsidRDefault="00000000">
            <w:pPr>
              <w:pStyle w:val="Compact"/>
            </w:pPr>
            <w:r>
              <w:rPr>
                <w:color w:val="000000"/>
                <w:sz w:val="18"/>
              </w:rPr>
              <w:t>Application mobile</w:t>
            </w:r>
          </w:p>
        </w:tc>
        <w:tc>
          <w:tcPr>
            <w:tcW w:w="0" w:type="auto"/>
          </w:tcPr>
          <w:p w14:paraId="4A15AB84" w14:textId="77777777" w:rsidR="00B00DB4" w:rsidRDefault="00000000">
            <w:pPr>
              <w:pStyle w:val="Compact"/>
            </w:pPr>
            <w:r>
              <w:rPr>
                <w:color w:val="000000"/>
                <w:sz w:val="18"/>
              </w:rPr>
              <w:t>Application React Native/Expo, base locale SQLite, consultation hors connexion</w:t>
            </w:r>
          </w:p>
        </w:tc>
      </w:tr>
      <w:tr w:rsidR="00B00DB4" w14:paraId="4FD47162" w14:textId="77777777">
        <w:tc>
          <w:tcPr>
            <w:tcW w:w="0" w:type="auto"/>
          </w:tcPr>
          <w:p w14:paraId="0C538740" w14:textId="77777777" w:rsidR="00B00DB4" w:rsidRDefault="00000000">
            <w:pPr>
              <w:pStyle w:val="Compact"/>
            </w:pPr>
            <w:r>
              <w:rPr>
                <w:color w:val="000000"/>
                <w:sz w:val="18"/>
              </w:rPr>
              <w:t>7</w:t>
            </w:r>
          </w:p>
        </w:tc>
        <w:tc>
          <w:tcPr>
            <w:tcW w:w="0" w:type="auto"/>
          </w:tcPr>
          <w:p w14:paraId="7B785B91" w14:textId="77777777" w:rsidR="00B00DB4" w:rsidRDefault="00000000">
            <w:pPr>
              <w:pStyle w:val="Compact"/>
            </w:pPr>
            <w:r>
              <w:rPr>
                <w:color w:val="000000"/>
                <w:sz w:val="18"/>
              </w:rPr>
              <w:t>Sécurité et services</w:t>
            </w:r>
          </w:p>
        </w:tc>
        <w:tc>
          <w:tcPr>
            <w:tcW w:w="0" w:type="auto"/>
          </w:tcPr>
          <w:p w14:paraId="535DC827" w14:textId="77777777" w:rsidR="00B00DB4" w:rsidRDefault="00000000">
            <w:pPr>
              <w:pStyle w:val="Compact"/>
            </w:pPr>
            <w:r>
              <w:rPr>
                <w:color w:val="000000"/>
                <w:sz w:val="18"/>
              </w:rPr>
              <w:t>Double authentification, connexion Google, évaluation des enseignants, import CSV</w:t>
            </w:r>
          </w:p>
        </w:tc>
      </w:tr>
      <w:tr w:rsidR="00B00DB4" w14:paraId="422F1375" w14:textId="77777777">
        <w:tc>
          <w:tcPr>
            <w:tcW w:w="0" w:type="auto"/>
          </w:tcPr>
          <w:p w14:paraId="240EA80D" w14:textId="77777777" w:rsidR="00B00DB4" w:rsidRDefault="00000000">
            <w:pPr>
              <w:pStyle w:val="Compact"/>
            </w:pPr>
            <w:r>
              <w:rPr>
                <w:color w:val="000000"/>
                <w:sz w:val="18"/>
              </w:rPr>
              <w:t>8</w:t>
            </w:r>
          </w:p>
        </w:tc>
        <w:tc>
          <w:tcPr>
            <w:tcW w:w="0" w:type="auto"/>
          </w:tcPr>
          <w:p w14:paraId="6151C054" w14:textId="77777777" w:rsidR="00B00DB4" w:rsidRDefault="00000000">
            <w:pPr>
              <w:pStyle w:val="Compact"/>
            </w:pPr>
            <w:r>
              <w:rPr>
                <w:color w:val="000000"/>
                <w:sz w:val="18"/>
              </w:rPr>
              <w:t>Tests et déploiement</w:t>
            </w:r>
          </w:p>
        </w:tc>
        <w:tc>
          <w:tcPr>
            <w:tcW w:w="0" w:type="auto"/>
          </w:tcPr>
          <w:p w14:paraId="184C4CE8" w14:textId="77777777" w:rsidR="00B00DB4" w:rsidRDefault="00000000">
            <w:pPr>
              <w:pStyle w:val="Compact"/>
            </w:pPr>
            <w:r>
              <w:rPr>
                <w:color w:val="000000"/>
                <w:sz w:val="18"/>
              </w:rPr>
              <w:t>Tests fonctionnels, déploiement sur serveur, HTTPS</w:t>
            </w:r>
          </w:p>
        </w:tc>
      </w:tr>
    </w:tbl>
    <w:p w14:paraId="230A4BAB" w14:textId="77777777" w:rsidR="00B00DB4" w:rsidRDefault="00000000">
      <w:pPr>
        <w:pStyle w:val="Corpsdetexte"/>
        <w:spacing w:after="120" w:line="360" w:lineRule="auto"/>
        <w:jc w:val="both"/>
      </w:pPr>
      <w:r>
        <w:rPr>
          <w:i/>
          <w:color w:val="000000"/>
        </w:rPr>
        <w:t>Tableau 3.2 : Organisation du développement en sprints (Scrum). Source : auteur, 2026.</w:t>
      </w:r>
    </w:p>
    <w:p w14:paraId="5D05A2A1" w14:textId="77777777" w:rsidR="00B00DB4" w:rsidRDefault="00000000">
      <w:pPr>
        <w:pStyle w:val="Titre3"/>
        <w:spacing w:before="120" w:after="60" w:line="276" w:lineRule="auto"/>
      </w:pPr>
      <w:bookmarkStart w:id="50" w:name="X8f86a791b74f180fbc8dfa1934589ea43b1b253"/>
      <w:r>
        <w:rPr>
          <w:rFonts w:ascii="Times New Roman" w:hAnsi="Times New Roman"/>
          <w:color w:val="000000"/>
        </w:rPr>
        <w:t>2.3 Environnement de développement et de déploiement</w:t>
      </w:r>
      <w:bookmarkEnd w:id="50"/>
    </w:p>
    <w:p w14:paraId="3C3CED94" w14:textId="77777777" w:rsidR="00B00DB4" w:rsidRDefault="00000000">
      <w:pPr>
        <w:pStyle w:val="FirstParagraph"/>
        <w:spacing w:after="120" w:line="360" w:lineRule="auto"/>
        <w:jc w:val="both"/>
      </w:pPr>
      <w:r>
        <w:rPr>
          <w:color w:val="000000"/>
        </w:rPr>
        <w:t>L’environnement technique du projet repose sur un ensemble de technologies éprouvées et cohérentes. Le backend est développé avec Laravel 11 (PHP), associé à la base de données MySQL 8 et au module d’authentification par jetons Laravel Sanctum. Le front web est réalisé en React, servi par l’outil de construction Vite ; l’application mobile est développée en React Native au moyen de la plateforme Expo, et s’appuie sur une base locale SQLite pour la consultation hors connexion. La plateforme est déployée sur un serveur privé virtuel et rendue accessible en HTTPS. Ces choix techniques ont été guidés par des critères de sécurité, de performance, de maintenabilité et de disponibilité hors connexion, en cohérence avec les objectifs du projet.</w:t>
      </w:r>
    </w:p>
    <w:p w14:paraId="0873209C" w14:textId="77777777" w:rsidR="00B00DB4" w:rsidRDefault="00000000">
      <w:pPr>
        <w:pStyle w:val="Titre3"/>
        <w:spacing w:before="120" w:after="60" w:line="276" w:lineRule="auto"/>
      </w:pPr>
      <w:bookmarkStart w:id="51" w:name="conclusion-du-chapitre-2"/>
      <w:r>
        <w:rPr>
          <w:rFonts w:ascii="Times New Roman" w:hAnsi="Times New Roman"/>
          <w:color w:val="000000"/>
        </w:rPr>
        <w:t>Conclusion du chapitre</w:t>
      </w:r>
      <w:bookmarkEnd w:id="51"/>
    </w:p>
    <w:p w14:paraId="43B6ABFB" w14:textId="77777777" w:rsidR="00B00DB4" w:rsidRDefault="00000000">
      <w:pPr>
        <w:pStyle w:val="FirstParagraph"/>
        <w:spacing w:after="120" w:line="360" w:lineRule="auto"/>
        <w:jc w:val="both"/>
      </w:pPr>
      <w:r>
        <w:rPr>
          <w:color w:val="000000"/>
        </w:rPr>
        <w:t>Ce chapitre a exposé la démarche méthodologique du projet : la modélisation UML du système, la structuration de la base de données, l’architecture en composants, la définition des acteurs et de leurs droits, la collecte des besoins par questionnaire, l’organisation Scrum du développement et l’environnement technique de déploiement. Ces choix, justifiés à chaque étape, ont permis de traduire les besoins identifiés en une solution concrète et cohérente. Le chapitre suivant présente le résultat de cette démarche à travers une démonstration guidée de la plateforme réalisée.</w:t>
      </w:r>
    </w:p>
    <w:p w14:paraId="51F09593" w14:textId="77777777" w:rsidR="00B00DB4" w:rsidRDefault="00000000">
      <w:pPr>
        <w:pStyle w:val="Titre1"/>
        <w:pageBreakBefore/>
        <w:spacing w:after="240" w:line="276" w:lineRule="auto"/>
        <w:jc w:val="center"/>
      </w:pPr>
      <w:bookmarkStart w:id="52" w:name="X3e6de2ace3719374dc050187162df8582748f9e"/>
      <w:r>
        <w:rPr>
          <w:rFonts w:ascii="Times New Roman" w:hAnsi="Times New Roman"/>
          <w:color w:val="000000"/>
          <w:sz w:val="28"/>
        </w:rPr>
        <w:t>CHAPITRE IV — DÉMONSTRATION DE L’APPLICATION</w:t>
      </w:r>
      <w:bookmarkEnd w:id="52"/>
    </w:p>
    <w:p w14:paraId="15A6F6A1" w14:textId="77777777" w:rsidR="00B00DB4" w:rsidRDefault="00000000">
      <w:pPr>
        <w:pStyle w:val="Titre3"/>
        <w:spacing w:before="120" w:after="60" w:line="276" w:lineRule="auto"/>
      </w:pPr>
      <w:bookmarkStart w:id="53" w:name="introduction-du-chapitre-3"/>
      <w:r>
        <w:rPr>
          <w:rFonts w:ascii="Times New Roman" w:hAnsi="Times New Roman"/>
          <w:color w:val="000000"/>
        </w:rPr>
        <w:t>Introduction du chapitre</w:t>
      </w:r>
      <w:bookmarkEnd w:id="53"/>
    </w:p>
    <w:p w14:paraId="41504A3E" w14:textId="77777777" w:rsidR="00B00DB4" w:rsidRDefault="00000000">
      <w:pPr>
        <w:pStyle w:val="FirstParagraph"/>
        <w:spacing w:after="120" w:line="360" w:lineRule="auto"/>
        <w:jc w:val="both"/>
      </w:pPr>
      <w:r>
        <w:rPr>
          <w:color w:val="000000"/>
        </w:rPr>
        <w:t>Après avoir décrit la démarche de conception, ce chapitre présente le résultat concret : la plateforme AFI-DOCS telle qu’elle fonctionne réellement. La démonstration a pour objectif d’attester que les fonctionnalités spécifiées ont bien été réalisées et de donner à voir l’expérience de chaque type d’utilisateur. Elle présente d’abord l’environnement de démonstration et les parcours par rôle — Administrateur, Délégué et Étudiant —, puis les fonctions transversales et l’application mobile. Les illustrations proviennent de la version déployée en production.</w:t>
      </w:r>
    </w:p>
    <w:p w14:paraId="403CF880" w14:textId="77777777" w:rsidR="00B00DB4" w:rsidRDefault="00000000">
      <w:pPr>
        <w:pStyle w:val="Titre2"/>
        <w:spacing w:before="160" w:after="80" w:line="276" w:lineRule="auto"/>
      </w:pPr>
      <w:bookmarkStart w:id="54" w:name="X6f7b5570c5dc412fede8859583fc888aa553bbf"/>
      <w:r>
        <w:rPr>
          <w:rFonts w:ascii="Times New Roman" w:hAnsi="Times New Roman"/>
          <w:color w:val="000000"/>
          <w:sz w:val="26"/>
        </w:rPr>
        <w:t>Section 1 — Environnement et parcours par rôle</w:t>
      </w:r>
      <w:bookmarkEnd w:id="54"/>
    </w:p>
    <w:p w14:paraId="7E162761" w14:textId="77777777" w:rsidR="00B00DB4" w:rsidRDefault="00000000">
      <w:pPr>
        <w:pStyle w:val="Titre3"/>
        <w:spacing w:before="120" w:after="60" w:line="276" w:lineRule="auto"/>
      </w:pPr>
      <w:bookmarkStart w:id="55" w:name="X2d31954f25efbc806b17f8f1ad1e8d11de0f5b2"/>
      <w:r>
        <w:rPr>
          <w:rFonts w:ascii="Times New Roman" w:hAnsi="Times New Roman"/>
          <w:color w:val="000000"/>
        </w:rPr>
        <w:t>1.1 Environnement de démonstration et comptes de test</w:t>
      </w:r>
      <w:bookmarkEnd w:id="55"/>
    </w:p>
    <w:p w14:paraId="32F1AF1F" w14:textId="77777777" w:rsidR="00B00DB4" w:rsidRDefault="00000000">
      <w:pPr>
        <w:pStyle w:val="FirstParagraph"/>
        <w:spacing w:after="120" w:line="360" w:lineRule="auto"/>
        <w:jc w:val="both"/>
      </w:pPr>
      <w:r>
        <w:rPr>
          <w:color w:val="000000"/>
        </w:rPr>
        <w:t>La démonstration s’appuie sur la version déployée en production, accessible en ligne et sécurisée par HTTPS. L’environnement mobilise le backend Laravel, la base de données MySQL et un jeu de données réaliste : les douze filières de l’établissement, leurs niveaux (L3, M1, M2) et leurs matières, ainsi qu’un ensemble de comptes couvrant les trois rôles. À chaque rôle correspond un espace distinct, la redirection vers l’espace approprié s’opérant automatiquement après authentification selon le rôle du compte. Des comptes de test dédiés permettent de vérifier le comportement de chaque fonctionnalité dans des conditions représentatives de l’usage réel.</w:t>
      </w:r>
    </w:p>
    <w:p w14:paraId="7CD80DE7" w14:textId="77777777" w:rsidR="00B00DB4" w:rsidRDefault="00000000">
      <w:pPr>
        <w:pStyle w:val="Titre3"/>
        <w:spacing w:before="120" w:after="60" w:line="276" w:lineRule="auto"/>
      </w:pPr>
      <w:bookmarkStart w:id="56" w:name="parcours-administrateur"/>
      <w:r>
        <w:rPr>
          <w:rFonts w:ascii="Times New Roman" w:hAnsi="Times New Roman"/>
          <w:color w:val="000000"/>
        </w:rPr>
        <w:t>1.2 Parcours Administrateur</w:t>
      </w:r>
      <w:bookmarkEnd w:id="56"/>
    </w:p>
    <w:p w14:paraId="079A485D" w14:textId="77777777" w:rsidR="00B00DB4" w:rsidRDefault="00000000">
      <w:pPr>
        <w:pStyle w:val="FirstParagraph"/>
        <w:spacing w:after="120" w:line="360" w:lineRule="auto"/>
        <w:jc w:val="both"/>
      </w:pPr>
      <w:r>
        <w:rPr>
          <w:color w:val="000000"/>
        </w:rPr>
        <w:t>Après authentification, l’Administrateur accède à un tableau de bord synthétique présentant les principaux indicateurs de la plateforme — nombre de ressources, d’utilisateurs et de filières — ainsi qu’un aperçu de l’activité, distinguant les usages web et mobile. Depuis la gestion pédagogique, il crée et organise la hiérarchie filière, niveau, matière, semestre et année. Depuis la gestion des utilisateurs, il crée les comptes, l’identifiant de connexion étant généré automatiquement, et peut importer une cohorte entière au moyen d’un fichier CSV dont les colonnes sont reconnues automatiquement. Le centre de contrôle lui permet de désigner les délégués par classe, et la modération de retirer a posteriori un contenu inapproprié. Un rapport d’activité, exportable, complète ce dispositif de pilotage. Le rôle de l’Administrateur consiste ainsi à maintenir un environnement structuré et sécurisé au service de la diffusion des ressources.</w:t>
      </w:r>
    </w:p>
    <w:p w14:paraId="44D6CB90" w14:textId="77777777" w:rsidR="00B00DB4" w:rsidRDefault="00000000">
      <w:pPr>
        <w:pStyle w:val="Normalcentr"/>
        <w:spacing w:after="120" w:line="360" w:lineRule="auto"/>
        <w:jc w:val="both"/>
      </w:pPr>
      <w:r>
        <w:rPr>
          <w:b/>
          <w:color w:val="000000"/>
        </w:rPr>
        <w:t>[Figure 4.1 — Captures du tableau de bord Administrateur : indicateurs, gestion pédagogique et gestion des comptes.]</w:t>
      </w:r>
    </w:p>
    <w:p w14:paraId="7F4C1A7E" w14:textId="77777777" w:rsidR="00B00DB4" w:rsidRDefault="00000000">
      <w:pPr>
        <w:pStyle w:val="FirstParagraph"/>
        <w:spacing w:after="120" w:line="360" w:lineRule="auto"/>
        <w:jc w:val="both"/>
      </w:pPr>
      <w:r>
        <w:rPr>
          <w:i/>
          <w:color w:val="000000"/>
        </w:rPr>
        <w:t>Figure 4.1 : Tableau de bord de l’Administrateur. Source : auteur, 2026.</w:t>
      </w:r>
    </w:p>
    <w:p w14:paraId="25A1430B" w14:textId="77777777" w:rsidR="00B00DB4" w:rsidRDefault="00000000">
      <w:pPr>
        <w:pStyle w:val="Titre3"/>
        <w:spacing w:before="120" w:after="60" w:line="276" w:lineRule="auto"/>
      </w:pPr>
      <w:bookmarkStart w:id="57" w:name="parcours-délégué"/>
      <w:r>
        <w:rPr>
          <w:rFonts w:ascii="Times New Roman" w:hAnsi="Times New Roman"/>
          <w:color w:val="000000"/>
        </w:rPr>
        <w:t>1.3 Parcours Délégué</w:t>
      </w:r>
      <w:bookmarkEnd w:id="57"/>
    </w:p>
    <w:p w14:paraId="3695CCCC" w14:textId="77777777" w:rsidR="00B00DB4" w:rsidRDefault="00000000">
      <w:pPr>
        <w:pStyle w:val="FirstParagraph"/>
        <w:spacing w:after="120" w:line="360" w:lineRule="auto"/>
        <w:jc w:val="both"/>
      </w:pPr>
      <w:r>
        <w:rPr>
          <w:color w:val="000000"/>
        </w:rPr>
        <w:t>Le Délégué de promotion dispose d’un espace centré sur la publication. Son tableau de bord présente la liste de ses ressources publiées. Le formulaire de publication constitue le cœur de son activité : la filière y est pré-sélectionnée et verrouillée, le délégué choisit la matière, renseigne un titre et une description, puis téléverse le fichier. La ressource est publiée immédiatement, sans étape de validation administrative, toute tentative de publication hors de son périmètre étant bloquée côté serveur. Le délégué anime en outre les espaces d’échange de sa classe — annonces, emploi du temps, discussion —, chacune de ces actions déclenchant une notification à destination des étudiants concernés. Cette publication directe contribue à la rapidité et à la régularité de la diffusion des ressources.</w:t>
      </w:r>
    </w:p>
    <w:p w14:paraId="2BDE72BF" w14:textId="77777777" w:rsidR="00B00DB4" w:rsidRDefault="00000000">
      <w:pPr>
        <w:pStyle w:val="Normalcentr"/>
        <w:spacing w:after="120" w:line="360" w:lineRule="auto"/>
        <w:jc w:val="both"/>
      </w:pPr>
      <w:r>
        <w:rPr>
          <w:b/>
          <w:color w:val="000000"/>
        </w:rPr>
        <w:t>[Figure 4.2 — Captures de l’espace Délégué : liste des ressources et formulaire de publication à filière verrouillée.]</w:t>
      </w:r>
    </w:p>
    <w:p w14:paraId="0FE4CB8D" w14:textId="77777777" w:rsidR="00B00DB4" w:rsidRDefault="00000000">
      <w:pPr>
        <w:pStyle w:val="FirstParagraph"/>
        <w:spacing w:after="120" w:line="360" w:lineRule="auto"/>
        <w:jc w:val="both"/>
      </w:pPr>
      <w:r>
        <w:rPr>
          <w:i/>
          <w:color w:val="000000"/>
        </w:rPr>
        <w:t>Figure 4.2 : Publication d’une ressource par le Délégué. Source : auteur, 2026.</w:t>
      </w:r>
    </w:p>
    <w:p w14:paraId="5761A29C" w14:textId="77777777" w:rsidR="00B00DB4" w:rsidRDefault="00000000">
      <w:pPr>
        <w:pStyle w:val="Titre3"/>
        <w:spacing w:before="120" w:after="60" w:line="276" w:lineRule="auto"/>
      </w:pPr>
      <w:bookmarkStart w:id="58" w:name="parcours-étudiant"/>
      <w:r>
        <w:rPr>
          <w:rFonts w:ascii="Times New Roman" w:hAnsi="Times New Roman"/>
          <w:color w:val="000000"/>
        </w:rPr>
        <w:t>1.4 Parcours Étudiant</w:t>
      </w:r>
      <w:bookmarkEnd w:id="58"/>
    </w:p>
    <w:p w14:paraId="57A811F6" w14:textId="77777777" w:rsidR="00B00DB4" w:rsidRDefault="00000000">
      <w:pPr>
        <w:pStyle w:val="FirstParagraph"/>
        <w:spacing w:after="120" w:line="360" w:lineRule="auto"/>
        <w:jc w:val="both"/>
      </w:pPr>
      <w:r>
        <w:rPr>
          <w:color w:val="000000"/>
        </w:rPr>
        <w:t>L’Étudiant accède à un tableau de bord d’accueil personnalisé, présentant des indicateurs et les ressources récemment publiées. Depuis le menu des ressources, il consulte les documents relevant de son périmètre : ceux de sa filière et de son niveau, organisés par semestre et par année académique. Un moteur de recherche et des filtres — niveau, semestre, matière, année, type — facilitent le repérage. L’ouverture d’une ressource donne accès à ses métadonnées, à un aperçu ou à un téléchargement, ainsi qu’à un espace de commentaires. Surtout, le téléchargement rend la ressource disponible hors connexion sur l’application mobile. L’expérience étudiante est ainsi orientée vers un accès rapide, pertinent et équitable aux ressources pédagogiques.</w:t>
      </w:r>
    </w:p>
    <w:p w14:paraId="65C5FBA8" w14:textId="77777777" w:rsidR="00B00DB4" w:rsidRDefault="00000000">
      <w:pPr>
        <w:pStyle w:val="Normalcentr"/>
        <w:spacing w:after="120" w:line="360" w:lineRule="auto"/>
        <w:jc w:val="both"/>
      </w:pPr>
      <w:r>
        <w:rPr>
          <w:b/>
          <w:color w:val="000000"/>
        </w:rPr>
        <w:t>[Figure 4.3 — Captures de l’interface Étudiant : liste des ressources du périmètre, recherche/filtres et page de détail.]</w:t>
      </w:r>
    </w:p>
    <w:p w14:paraId="77544E72" w14:textId="77777777" w:rsidR="00B00DB4" w:rsidRDefault="00000000">
      <w:pPr>
        <w:pStyle w:val="FirstParagraph"/>
        <w:spacing w:after="120" w:line="360" w:lineRule="auto"/>
        <w:jc w:val="both"/>
      </w:pPr>
      <w:r>
        <w:rPr>
          <w:i/>
          <w:color w:val="000000"/>
        </w:rPr>
        <w:t>Figure 4.3 : Interface de consultation de l’Étudiant. Source : auteur, 2026.</w:t>
      </w:r>
    </w:p>
    <w:p w14:paraId="78525343" w14:textId="77777777" w:rsidR="00B00DB4" w:rsidRDefault="00000000">
      <w:pPr>
        <w:pStyle w:val="Titre2"/>
        <w:spacing w:before="160" w:after="80" w:line="276" w:lineRule="auto"/>
      </w:pPr>
      <w:bookmarkStart w:id="59" w:name="X9902379b6777b9bf0e9593682770f9baa096273"/>
      <w:r>
        <w:rPr>
          <w:rFonts w:ascii="Times New Roman" w:hAnsi="Times New Roman"/>
          <w:color w:val="000000"/>
          <w:sz w:val="26"/>
        </w:rPr>
        <w:t>Section 2 — Fonctions transversales et application mobile</w:t>
      </w:r>
      <w:bookmarkEnd w:id="59"/>
    </w:p>
    <w:p w14:paraId="09512841" w14:textId="77777777" w:rsidR="00B00DB4" w:rsidRDefault="00000000">
      <w:pPr>
        <w:pStyle w:val="Titre3"/>
        <w:spacing w:before="120" w:after="60" w:line="276" w:lineRule="auto"/>
      </w:pPr>
      <w:bookmarkStart w:id="60" w:name="notifications"/>
      <w:r>
        <w:rPr>
          <w:rFonts w:ascii="Times New Roman" w:hAnsi="Times New Roman"/>
          <w:color w:val="000000"/>
        </w:rPr>
        <w:t>2.1 Notifications</w:t>
      </w:r>
      <w:bookmarkEnd w:id="60"/>
    </w:p>
    <w:p w14:paraId="09820348" w14:textId="77777777" w:rsidR="00B00DB4" w:rsidRDefault="00000000">
      <w:pPr>
        <w:pStyle w:val="FirstParagraph"/>
        <w:spacing w:after="120" w:line="360" w:lineRule="auto"/>
        <w:jc w:val="both"/>
      </w:pPr>
      <w:r>
        <w:rPr>
          <w:color w:val="000000"/>
        </w:rPr>
        <w:t>AFI-DOCS intègre un système de notifications déclenché lors des nouvelles publications et annonces. Les notifications sont diffusées par trois canaux complémentaires : dans l’application (cloche), par notification push sur mobile et par courrier électronique vers l’adresse réelle de l’étudiant. Ce dispositif améliore la réactivité de la communauté en informant sans délai les étudiants concernés de la mise à disposition d’une nouvelle ressource, renforçant ainsi la circulation de l’information académique. Ces notifications ciblent précisément les destinataires du périmètre concerné, afin d’éviter toute diffusion superflue.</w:t>
      </w:r>
    </w:p>
    <w:p w14:paraId="5BC4A770" w14:textId="77777777" w:rsidR="00B00DB4" w:rsidRDefault="00000000">
      <w:pPr>
        <w:pStyle w:val="Titre3"/>
        <w:spacing w:before="120" w:after="60" w:line="276" w:lineRule="auto"/>
      </w:pPr>
      <w:bookmarkStart w:id="61" w:name="X1a04d59f4c33208302ac374cd280c7a8073ad21"/>
      <w:r>
        <w:rPr>
          <w:rFonts w:ascii="Times New Roman" w:hAnsi="Times New Roman"/>
          <w:color w:val="000000"/>
        </w:rPr>
        <w:t>2.2 Double authentification (OTP) et connexion Google</w:t>
      </w:r>
      <w:bookmarkEnd w:id="61"/>
    </w:p>
    <w:p w14:paraId="22585C11" w14:textId="77777777" w:rsidR="00B00DB4" w:rsidRDefault="00000000">
      <w:pPr>
        <w:pStyle w:val="FirstParagraph"/>
        <w:spacing w:after="120" w:line="360" w:lineRule="auto"/>
        <w:jc w:val="both"/>
      </w:pPr>
      <w:r>
        <w:rPr>
          <w:color w:val="000000"/>
        </w:rPr>
        <w:t>La sécurité des accès repose sur plusieurs mécanismes complémentaires. Une double authentification par code à usage unique, envoyé par courriel, s’ajoute à la connexion par identifiant et mot de passe. Une connexion par compte Google est proposée aux comptes disposant d’une adresse reconnue. Un mécanisme de protection contre les tentatives répétées limite le risque d’attaque par force brute, et l’administrateur peut réinitialiser le mot de passe d’un compte en cas de besoin. Ces dispositifs renforcent la sécurité de la plateforme ; ils demeurent des fonctionnalités complémentaires, au service d’un accès fiable et protégé aux ressources pédagogiques.</w:t>
      </w:r>
    </w:p>
    <w:p w14:paraId="32D0ACA0" w14:textId="77777777" w:rsidR="00B00DB4" w:rsidRDefault="00000000">
      <w:pPr>
        <w:pStyle w:val="Titre3"/>
        <w:spacing w:before="120" w:after="60" w:line="276" w:lineRule="auto"/>
      </w:pPr>
      <w:bookmarkStart w:id="62" w:name="Xee496c7a1fb294c0714a4dd947fdda0ac8d07ad"/>
      <w:r>
        <w:rPr>
          <w:rFonts w:ascii="Times New Roman" w:hAnsi="Times New Roman"/>
          <w:color w:val="000000"/>
        </w:rPr>
        <w:t>2.3 Application mobile et consultation hors connexion</w:t>
      </w:r>
      <w:bookmarkEnd w:id="62"/>
    </w:p>
    <w:p w14:paraId="0A7B55AA" w14:textId="77777777" w:rsidR="00B00DB4" w:rsidRDefault="00000000">
      <w:pPr>
        <w:pStyle w:val="FirstParagraph"/>
        <w:spacing w:after="120" w:line="360" w:lineRule="auto"/>
        <w:jc w:val="both"/>
      </w:pPr>
      <w:r>
        <w:rPr>
          <w:color w:val="000000"/>
        </w:rPr>
        <w:t>L’application mobile constitue le vecteur de l’accès hors connexion. Lorsqu’un étudiant télécharge une ressource, celle-ci est enregistrée dans une base locale SQLite embarquée dans l’application et demeure consultable en l’absence de réseau. Au retour de la connexion, une synchronisation met à jour le catalogue local et retire les ressources devenues inaccessibles. Cette fonctionnalité revêt une importance particulière pour les étudiants disposant d’une connexion limitée ou intermittente, en garantissant la continuité de l’accès aux supports indépendamment des aléas du réseau.</w:t>
      </w:r>
    </w:p>
    <w:p w14:paraId="3891FE93" w14:textId="77777777" w:rsidR="00B00DB4" w:rsidRDefault="00000000">
      <w:pPr>
        <w:pStyle w:val="Normalcentr"/>
        <w:spacing w:after="120" w:line="360" w:lineRule="auto"/>
        <w:jc w:val="both"/>
      </w:pPr>
      <w:r>
        <w:rPr>
          <w:b/>
          <w:color w:val="000000"/>
        </w:rPr>
        <w:t>[Figure 4.4 — Captures de l’application mobile et schéma du flux « offline-first » : téléchargement, stockage local SQLite et synchronisation.]</w:t>
      </w:r>
    </w:p>
    <w:p w14:paraId="53E0207F" w14:textId="77777777" w:rsidR="00B00DB4" w:rsidRDefault="00000000">
      <w:pPr>
        <w:pStyle w:val="FirstParagraph"/>
        <w:spacing w:after="120" w:line="360" w:lineRule="auto"/>
        <w:jc w:val="both"/>
      </w:pPr>
      <w:r>
        <w:rPr>
          <w:i/>
          <w:color w:val="000000"/>
        </w:rPr>
        <w:t>Figure 4.4 : Application mobile et flux de consultation hors connexion. Source : auteur, 2026.</w:t>
      </w:r>
    </w:p>
    <w:p w14:paraId="584B92D5" w14:textId="77777777" w:rsidR="00B00DB4" w:rsidRDefault="00000000">
      <w:pPr>
        <w:pStyle w:val="Titre3"/>
        <w:spacing w:before="120" w:after="60" w:line="276" w:lineRule="auto"/>
      </w:pPr>
      <w:bookmarkStart w:id="63" w:name="évaluation-des-enseignants"/>
      <w:r>
        <w:rPr>
          <w:rFonts w:ascii="Times New Roman" w:hAnsi="Times New Roman"/>
          <w:color w:val="000000"/>
        </w:rPr>
        <w:t>2.4 Évaluation des enseignants</w:t>
      </w:r>
      <w:bookmarkEnd w:id="63"/>
    </w:p>
    <w:p w14:paraId="664CE864" w14:textId="77777777" w:rsidR="00B00DB4" w:rsidRDefault="00000000">
      <w:pPr>
        <w:pStyle w:val="FirstParagraph"/>
        <w:spacing w:after="120" w:line="360" w:lineRule="auto"/>
        <w:jc w:val="both"/>
      </w:pPr>
      <w:r>
        <w:rPr>
          <w:color w:val="000000"/>
        </w:rPr>
        <w:t>La plateforme intègre un module d’évaluation des enseignants reproduisant la grille officielle de l’établissement, composée d’indicateurs notés sur vingt. Depuis son espace, l’étudiant évalue de manière anonyme les enseignements de sa classe ; la plateforme calcule automatiquement la moyenne, qui constitue la note du module. Du côté de l’administration, les résultats sont agrégés par filière, niveau, semestre et année, et peuvent être imprimés ou exportés. Cette fonctionnalité contribue au pilotage de la qualité pédagogique. Elle demeure toutefois secondaire au regard de la mission principale de la plateforme, à savoir la diffusion des ressources pédagogiques.</w:t>
      </w:r>
    </w:p>
    <w:p w14:paraId="2F7C3D90" w14:textId="77777777" w:rsidR="00B00DB4" w:rsidRDefault="00000000">
      <w:pPr>
        <w:pStyle w:val="Titre3"/>
        <w:spacing w:before="120" w:after="60" w:line="276" w:lineRule="auto"/>
      </w:pPr>
      <w:bookmarkStart w:id="64" w:name="conclusion-du-chapitre-3"/>
      <w:r>
        <w:rPr>
          <w:rFonts w:ascii="Times New Roman" w:hAnsi="Times New Roman"/>
          <w:color w:val="000000"/>
        </w:rPr>
        <w:t>Conclusion du chapitre</w:t>
      </w:r>
      <w:bookmarkEnd w:id="64"/>
    </w:p>
    <w:p w14:paraId="4C52931B" w14:textId="77777777" w:rsidR="00B00DB4"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et son application mobile. Il atteste que les fonctionnalités spécifiées au chapitre III ont été effectivement implémentées et déployées. La plateforme répond au besoin de centralisation, d’organisation et de diffusion des ressources pédagogiques, tandis que les fonctionnalités additionnelles — notifications, sécurité renforcée, évaluation des enseignants — renforcent l’expérience et la sécurité sans détourner l’outil de sa finalité. Le chapitre suivant procède à l’évaluation analytique de ces réalisations.</w:t>
      </w:r>
    </w:p>
    <w:p w14:paraId="16E24BD4" w14:textId="77777777" w:rsidR="00B00DB4" w:rsidRDefault="00000000">
      <w:pPr>
        <w:pStyle w:val="Titre1"/>
        <w:pageBreakBefore/>
        <w:spacing w:after="240" w:line="276" w:lineRule="auto"/>
        <w:jc w:val="center"/>
      </w:pPr>
      <w:bookmarkStart w:id="65" w:name="chapitre-v-cadre-analytique"/>
      <w:r>
        <w:rPr>
          <w:rFonts w:ascii="Times New Roman" w:hAnsi="Times New Roman"/>
          <w:color w:val="000000"/>
          <w:sz w:val="28"/>
        </w:rPr>
        <w:t>CHAPITRE V — CADRE ANALYTIQUE</w:t>
      </w:r>
      <w:bookmarkEnd w:id="65"/>
    </w:p>
    <w:p w14:paraId="0283AF67" w14:textId="77777777" w:rsidR="00B00DB4" w:rsidRDefault="00000000">
      <w:pPr>
        <w:pStyle w:val="Titre3"/>
        <w:spacing w:before="120" w:after="60" w:line="276" w:lineRule="auto"/>
      </w:pPr>
      <w:bookmarkStart w:id="66" w:name="introduction-du-chapitre-4"/>
      <w:r>
        <w:rPr>
          <w:rFonts w:ascii="Times New Roman" w:hAnsi="Times New Roman"/>
          <w:color w:val="000000"/>
        </w:rPr>
        <w:t>Introduction du chapitre</w:t>
      </w:r>
      <w:bookmarkEnd w:id="66"/>
    </w:p>
    <w:p w14:paraId="10ECBC6A" w14:textId="77777777" w:rsidR="00B00DB4" w:rsidRDefault="00000000">
      <w:pPr>
        <w:pStyle w:val="FirstParagraph"/>
        <w:spacing w:after="120" w:line="360" w:lineRule="auto"/>
        <w:jc w:val="both"/>
      </w:pPr>
      <w:r>
        <w:rPr>
          <w:color w:val="000000"/>
        </w:rPr>
        <w:t>Ce chapitre analyse les résultats obtenus grâce à la mise en œuvre d’AFI-DOCS. Il présente d’abord les résultats des tests fonctionnels menés sur la plateforme déployée, puis en propose une synthèse au regard des hypothèses de recherche. Il formule enfin des recommandations, tant sur le plan managérial que sur celui des perspectives d’évolution. L’objectif est d’apprécier dans quelle mesure la plateforme répond aux objectifs fixés.</w:t>
      </w:r>
    </w:p>
    <w:p w14:paraId="6504F89D" w14:textId="77777777" w:rsidR="00B00DB4" w:rsidRDefault="00000000">
      <w:pPr>
        <w:pStyle w:val="Titre2"/>
        <w:spacing w:before="160" w:after="80" w:line="276" w:lineRule="auto"/>
      </w:pPr>
      <w:bookmarkStart w:id="67" w:name="section-1-analyse-des-résultats"/>
      <w:r>
        <w:rPr>
          <w:rFonts w:ascii="Times New Roman" w:hAnsi="Times New Roman"/>
          <w:color w:val="000000"/>
          <w:sz w:val="26"/>
        </w:rPr>
        <w:t>Section 1 — Analyse des résultats</w:t>
      </w:r>
      <w:bookmarkEnd w:id="67"/>
    </w:p>
    <w:p w14:paraId="0AC2822B" w14:textId="77777777" w:rsidR="00B00DB4" w:rsidRDefault="00000000">
      <w:pPr>
        <w:pStyle w:val="Titre3"/>
        <w:spacing w:before="120" w:after="60" w:line="276" w:lineRule="auto"/>
      </w:pPr>
      <w:bookmarkStart w:id="68" w:name="X9a69e9cbf705b8e38c71f2036588eaea8bb24e3"/>
      <w:r>
        <w:rPr>
          <w:rFonts w:ascii="Times New Roman" w:hAnsi="Times New Roman"/>
          <w:color w:val="000000"/>
        </w:rPr>
        <w:t>1.1 Présentation des résultats — tests fonctionnels</w:t>
      </w:r>
      <w:bookmarkEnd w:id="68"/>
    </w:p>
    <w:p w14:paraId="63086B02" w14:textId="77777777" w:rsidR="00B00DB4" w:rsidRDefault="00000000">
      <w:pPr>
        <w:pStyle w:val="FirstParagraph"/>
        <w:spacing w:after="120" w:line="360" w:lineRule="auto"/>
        <w:jc w:val="both"/>
      </w:pPr>
      <w:r>
        <w:rPr>
          <w:color w:val="000000"/>
        </w:rPr>
        <w:t>Les tests fonctionnels ont eu pour objet de vérifier que chaque fonctionnalité se comporte conformément aux spécifications. Ils ont été conduits manuellement, selon une approche « boîte noire », d’abord en développement local puis sur la plateforme déployée en production. Le tableau ci-dessous synthétise les principaux scénarios et leurs résultats.</w:t>
      </w:r>
    </w:p>
    <w:tbl>
      <w:tblPr>
        <w:tblStyle w:val="Table"/>
        <w:tblW w:w="5000" w:type="pct"/>
        <w:tblLook w:val="07E0" w:firstRow="1" w:lastRow="1" w:firstColumn="1" w:lastColumn="1" w:noHBand="1" w:noVBand="1"/>
      </w:tblPr>
      <w:tblGrid>
        <w:gridCol w:w="4342"/>
        <w:gridCol w:w="3964"/>
        <w:gridCol w:w="982"/>
      </w:tblGrid>
      <w:tr w:rsidR="00B00DB4" w14:paraId="3DF2C4C7" w14:textId="77777777">
        <w:tc>
          <w:tcPr>
            <w:tcW w:w="0" w:type="auto"/>
            <w:tcBorders>
              <w:bottom w:val="single" w:sz="0" w:space="0" w:color="auto"/>
            </w:tcBorders>
            <w:vAlign w:val="bottom"/>
          </w:tcPr>
          <w:p w14:paraId="54FE1F31" w14:textId="77777777" w:rsidR="00B00DB4" w:rsidRDefault="00000000">
            <w:pPr>
              <w:pStyle w:val="Compact"/>
            </w:pPr>
            <w:r>
              <w:rPr>
                <w:color w:val="000000"/>
                <w:sz w:val="18"/>
              </w:rPr>
              <w:t>Scénario testé</w:t>
            </w:r>
          </w:p>
        </w:tc>
        <w:tc>
          <w:tcPr>
            <w:tcW w:w="0" w:type="auto"/>
            <w:tcBorders>
              <w:bottom w:val="single" w:sz="0" w:space="0" w:color="auto"/>
            </w:tcBorders>
            <w:vAlign w:val="bottom"/>
          </w:tcPr>
          <w:p w14:paraId="33FF711F" w14:textId="77777777" w:rsidR="00B00DB4" w:rsidRDefault="00000000">
            <w:pPr>
              <w:pStyle w:val="Compact"/>
            </w:pPr>
            <w:r>
              <w:rPr>
                <w:color w:val="000000"/>
                <w:sz w:val="18"/>
              </w:rPr>
              <w:t>Résultat attendu</w:t>
            </w:r>
          </w:p>
        </w:tc>
        <w:tc>
          <w:tcPr>
            <w:tcW w:w="0" w:type="auto"/>
            <w:tcBorders>
              <w:bottom w:val="single" w:sz="0" w:space="0" w:color="auto"/>
            </w:tcBorders>
            <w:vAlign w:val="bottom"/>
          </w:tcPr>
          <w:p w14:paraId="69A36F53" w14:textId="77777777" w:rsidR="00B00DB4" w:rsidRDefault="00000000">
            <w:pPr>
              <w:pStyle w:val="Compact"/>
              <w:jc w:val="center"/>
            </w:pPr>
            <w:r>
              <w:rPr>
                <w:color w:val="000000"/>
                <w:sz w:val="18"/>
              </w:rPr>
              <w:t>Statut</w:t>
            </w:r>
          </w:p>
        </w:tc>
      </w:tr>
      <w:tr w:rsidR="00B00DB4" w14:paraId="7EEF6513" w14:textId="77777777">
        <w:tc>
          <w:tcPr>
            <w:tcW w:w="0" w:type="auto"/>
          </w:tcPr>
          <w:p w14:paraId="2573E946" w14:textId="77777777" w:rsidR="00B00DB4" w:rsidRDefault="00000000">
            <w:pPr>
              <w:pStyle w:val="Compact"/>
            </w:pPr>
            <w:r>
              <w:rPr>
                <w:color w:val="000000"/>
                <w:sz w:val="18"/>
              </w:rPr>
              <w:t>Authentification valide (les trois rôles)</w:t>
            </w:r>
          </w:p>
        </w:tc>
        <w:tc>
          <w:tcPr>
            <w:tcW w:w="0" w:type="auto"/>
          </w:tcPr>
          <w:p w14:paraId="6AC8FA3E" w14:textId="77777777" w:rsidR="00B00DB4" w:rsidRDefault="00000000">
            <w:pPr>
              <w:pStyle w:val="Compact"/>
            </w:pPr>
            <w:r>
              <w:rPr>
                <w:color w:val="000000"/>
                <w:sz w:val="18"/>
              </w:rPr>
              <w:t>Redirection vers l’espace du rôle, session ouverte</w:t>
            </w:r>
          </w:p>
        </w:tc>
        <w:tc>
          <w:tcPr>
            <w:tcW w:w="0" w:type="auto"/>
          </w:tcPr>
          <w:p w14:paraId="3B35183B" w14:textId="77777777" w:rsidR="00B00DB4" w:rsidRDefault="00000000">
            <w:pPr>
              <w:pStyle w:val="Compact"/>
              <w:jc w:val="center"/>
            </w:pPr>
            <w:r>
              <w:rPr>
                <w:color w:val="000000"/>
                <w:sz w:val="18"/>
              </w:rPr>
              <w:t>Conforme</w:t>
            </w:r>
          </w:p>
        </w:tc>
      </w:tr>
      <w:tr w:rsidR="00B00DB4" w14:paraId="5A4221F6" w14:textId="77777777">
        <w:tc>
          <w:tcPr>
            <w:tcW w:w="0" w:type="auto"/>
          </w:tcPr>
          <w:p w14:paraId="41057B58" w14:textId="77777777" w:rsidR="00B00DB4" w:rsidRDefault="00000000">
            <w:pPr>
              <w:pStyle w:val="Compact"/>
            </w:pPr>
            <w:r>
              <w:rPr>
                <w:color w:val="000000"/>
                <w:sz w:val="18"/>
              </w:rPr>
              <w:t>Authentification avec identifiants erronés</w:t>
            </w:r>
          </w:p>
        </w:tc>
        <w:tc>
          <w:tcPr>
            <w:tcW w:w="0" w:type="auto"/>
          </w:tcPr>
          <w:p w14:paraId="0A59B91C" w14:textId="77777777" w:rsidR="00B00DB4" w:rsidRDefault="00000000">
            <w:pPr>
              <w:pStyle w:val="Compact"/>
            </w:pPr>
            <w:r>
              <w:rPr>
                <w:color w:val="000000"/>
                <w:sz w:val="18"/>
              </w:rPr>
              <w:t>Rejet et message d’erreur</w:t>
            </w:r>
          </w:p>
        </w:tc>
        <w:tc>
          <w:tcPr>
            <w:tcW w:w="0" w:type="auto"/>
          </w:tcPr>
          <w:p w14:paraId="2F1F2E5B" w14:textId="77777777" w:rsidR="00B00DB4" w:rsidRDefault="00000000">
            <w:pPr>
              <w:pStyle w:val="Compact"/>
              <w:jc w:val="center"/>
            </w:pPr>
            <w:r>
              <w:rPr>
                <w:color w:val="000000"/>
                <w:sz w:val="18"/>
              </w:rPr>
              <w:t>Conforme</w:t>
            </w:r>
          </w:p>
        </w:tc>
      </w:tr>
      <w:tr w:rsidR="00B00DB4" w14:paraId="789C4513" w14:textId="77777777">
        <w:tc>
          <w:tcPr>
            <w:tcW w:w="0" w:type="auto"/>
          </w:tcPr>
          <w:p w14:paraId="361DD075" w14:textId="77777777" w:rsidR="00B00DB4" w:rsidRDefault="00000000">
            <w:pPr>
              <w:pStyle w:val="Compact"/>
            </w:pPr>
            <w:r>
              <w:rPr>
                <w:color w:val="000000"/>
                <w:sz w:val="18"/>
              </w:rPr>
              <w:t>Publication par le délégué dans sa filière</w:t>
            </w:r>
          </w:p>
        </w:tc>
        <w:tc>
          <w:tcPr>
            <w:tcW w:w="0" w:type="auto"/>
          </w:tcPr>
          <w:p w14:paraId="30D2D62C" w14:textId="77777777" w:rsidR="00B00DB4" w:rsidRDefault="00000000">
            <w:pPr>
              <w:pStyle w:val="Compact"/>
            </w:pPr>
            <w:r>
              <w:rPr>
                <w:color w:val="000000"/>
                <w:sz w:val="18"/>
              </w:rPr>
              <w:t>Ressource créée et visible immédiatement</w:t>
            </w:r>
          </w:p>
        </w:tc>
        <w:tc>
          <w:tcPr>
            <w:tcW w:w="0" w:type="auto"/>
          </w:tcPr>
          <w:p w14:paraId="236F1C45" w14:textId="77777777" w:rsidR="00B00DB4" w:rsidRDefault="00000000">
            <w:pPr>
              <w:pStyle w:val="Compact"/>
              <w:jc w:val="center"/>
            </w:pPr>
            <w:r>
              <w:rPr>
                <w:color w:val="000000"/>
                <w:sz w:val="18"/>
              </w:rPr>
              <w:t>Conforme</w:t>
            </w:r>
          </w:p>
        </w:tc>
      </w:tr>
      <w:tr w:rsidR="00B00DB4" w14:paraId="1691F8C4" w14:textId="77777777">
        <w:tc>
          <w:tcPr>
            <w:tcW w:w="0" w:type="auto"/>
          </w:tcPr>
          <w:p w14:paraId="1E12EB15" w14:textId="77777777" w:rsidR="00B00DB4" w:rsidRDefault="00000000">
            <w:pPr>
              <w:pStyle w:val="Compact"/>
            </w:pPr>
            <w:r>
              <w:rPr>
                <w:color w:val="000000"/>
                <w:sz w:val="18"/>
              </w:rPr>
              <w:t>Publication hors de sa filière</w:t>
            </w:r>
          </w:p>
        </w:tc>
        <w:tc>
          <w:tcPr>
            <w:tcW w:w="0" w:type="auto"/>
          </w:tcPr>
          <w:p w14:paraId="56D13DCC" w14:textId="77777777" w:rsidR="00B00DB4" w:rsidRDefault="00000000">
            <w:pPr>
              <w:pStyle w:val="Compact"/>
            </w:pPr>
            <w:r>
              <w:rPr>
                <w:color w:val="000000"/>
                <w:sz w:val="18"/>
              </w:rPr>
              <w:t>Action refusée côté serveur</w:t>
            </w:r>
          </w:p>
        </w:tc>
        <w:tc>
          <w:tcPr>
            <w:tcW w:w="0" w:type="auto"/>
          </w:tcPr>
          <w:p w14:paraId="343CABA7" w14:textId="77777777" w:rsidR="00B00DB4" w:rsidRDefault="00000000">
            <w:pPr>
              <w:pStyle w:val="Compact"/>
              <w:jc w:val="center"/>
            </w:pPr>
            <w:r>
              <w:rPr>
                <w:color w:val="000000"/>
                <w:sz w:val="18"/>
              </w:rPr>
              <w:t>Conforme</w:t>
            </w:r>
          </w:p>
        </w:tc>
      </w:tr>
      <w:tr w:rsidR="00B00DB4" w14:paraId="580A5E7E" w14:textId="77777777">
        <w:tc>
          <w:tcPr>
            <w:tcW w:w="0" w:type="auto"/>
          </w:tcPr>
          <w:p w14:paraId="79013B89" w14:textId="77777777" w:rsidR="00B00DB4" w:rsidRDefault="00000000">
            <w:pPr>
              <w:pStyle w:val="Compact"/>
            </w:pPr>
            <w:r>
              <w:rPr>
                <w:color w:val="000000"/>
                <w:sz w:val="18"/>
              </w:rPr>
              <w:t>Publication tentée par un étudiant</w:t>
            </w:r>
          </w:p>
        </w:tc>
        <w:tc>
          <w:tcPr>
            <w:tcW w:w="0" w:type="auto"/>
          </w:tcPr>
          <w:p w14:paraId="3F55E9C9" w14:textId="77777777" w:rsidR="00B00DB4" w:rsidRDefault="00000000">
            <w:pPr>
              <w:pStyle w:val="Compact"/>
            </w:pPr>
            <w:r>
              <w:rPr>
                <w:color w:val="000000"/>
                <w:sz w:val="18"/>
              </w:rPr>
              <w:t>Action refusée</w:t>
            </w:r>
          </w:p>
        </w:tc>
        <w:tc>
          <w:tcPr>
            <w:tcW w:w="0" w:type="auto"/>
          </w:tcPr>
          <w:p w14:paraId="5DF696F7" w14:textId="77777777" w:rsidR="00B00DB4" w:rsidRDefault="00000000">
            <w:pPr>
              <w:pStyle w:val="Compact"/>
              <w:jc w:val="center"/>
            </w:pPr>
            <w:r>
              <w:rPr>
                <w:color w:val="000000"/>
                <w:sz w:val="18"/>
              </w:rPr>
              <w:t>Conforme</w:t>
            </w:r>
          </w:p>
        </w:tc>
      </w:tr>
      <w:tr w:rsidR="00B00DB4" w14:paraId="19619E49" w14:textId="77777777">
        <w:tc>
          <w:tcPr>
            <w:tcW w:w="0" w:type="auto"/>
          </w:tcPr>
          <w:p w14:paraId="20D7DCAB" w14:textId="77777777" w:rsidR="00B00DB4" w:rsidRDefault="00000000">
            <w:pPr>
              <w:pStyle w:val="Compact"/>
            </w:pPr>
            <w:r>
              <w:rPr>
                <w:color w:val="000000"/>
                <w:sz w:val="18"/>
              </w:rPr>
              <w:t>Consultation restreinte (étudiant)</w:t>
            </w:r>
          </w:p>
        </w:tc>
        <w:tc>
          <w:tcPr>
            <w:tcW w:w="0" w:type="auto"/>
          </w:tcPr>
          <w:p w14:paraId="14395E3F" w14:textId="77777777" w:rsidR="00B00DB4" w:rsidRDefault="00000000">
            <w:pPr>
              <w:pStyle w:val="Compact"/>
            </w:pPr>
            <w:r>
              <w:rPr>
                <w:color w:val="000000"/>
                <w:sz w:val="18"/>
              </w:rPr>
              <w:t>Seules les ressources de sa filière et de son niveau</w:t>
            </w:r>
          </w:p>
        </w:tc>
        <w:tc>
          <w:tcPr>
            <w:tcW w:w="0" w:type="auto"/>
          </w:tcPr>
          <w:p w14:paraId="77E14D5B" w14:textId="77777777" w:rsidR="00B00DB4" w:rsidRDefault="00000000">
            <w:pPr>
              <w:pStyle w:val="Compact"/>
              <w:jc w:val="center"/>
            </w:pPr>
            <w:r>
              <w:rPr>
                <w:color w:val="000000"/>
                <w:sz w:val="18"/>
              </w:rPr>
              <w:t>Conforme</w:t>
            </w:r>
          </w:p>
        </w:tc>
      </w:tr>
      <w:tr w:rsidR="00B00DB4" w14:paraId="4A532DC4" w14:textId="77777777">
        <w:tc>
          <w:tcPr>
            <w:tcW w:w="0" w:type="auto"/>
          </w:tcPr>
          <w:p w14:paraId="510224AB" w14:textId="77777777" w:rsidR="00B00DB4" w:rsidRDefault="00000000">
            <w:pPr>
              <w:pStyle w:val="Compact"/>
            </w:pPr>
            <w:r>
              <w:rPr>
                <w:color w:val="000000"/>
                <w:sz w:val="18"/>
              </w:rPr>
              <w:t>Recherche et filtres</w:t>
            </w:r>
          </w:p>
        </w:tc>
        <w:tc>
          <w:tcPr>
            <w:tcW w:w="0" w:type="auto"/>
          </w:tcPr>
          <w:p w14:paraId="5A459F44" w14:textId="77777777" w:rsidR="00B00DB4" w:rsidRDefault="00000000">
            <w:pPr>
              <w:pStyle w:val="Compact"/>
            </w:pPr>
            <w:r>
              <w:rPr>
                <w:color w:val="000000"/>
                <w:sz w:val="18"/>
              </w:rPr>
              <w:t>Résultats correspondant aux critères</w:t>
            </w:r>
          </w:p>
        </w:tc>
        <w:tc>
          <w:tcPr>
            <w:tcW w:w="0" w:type="auto"/>
          </w:tcPr>
          <w:p w14:paraId="3BFBEA2A" w14:textId="77777777" w:rsidR="00B00DB4" w:rsidRDefault="00000000">
            <w:pPr>
              <w:pStyle w:val="Compact"/>
              <w:jc w:val="center"/>
            </w:pPr>
            <w:r>
              <w:rPr>
                <w:color w:val="000000"/>
                <w:sz w:val="18"/>
              </w:rPr>
              <w:t>Conforme</w:t>
            </w:r>
          </w:p>
        </w:tc>
      </w:tr>
      <w:tr w:rsidR="00B00DB4" w14:paraId="5882E8B0" w14:textId="77777777">
        <w:tc>
          <w:tcPr>
            <w:tcW w:w="0" w:type="auto"/>
          </w:tcPr>
          <w:p w14:paraId="740F903E" w14:textId="77777777" w:rsidR="00B00DB4" w:rsidRDefault="00000000">
            <w:pPr>
              <w:pStyle w:val="Compact"/>
            </w:pPr>
            <w:r>
              <w:rPr>
                <w:color w:val="000000"/>
                <w:sz w:val="18"/>
              </w:rPr>
              <w:t>Téléchargement et consultation hors connexion</w:t>
            </w:r>
          </w:p>
        </w:tc>
        <w:tc>
          <w:tcPr>
            <w:tcW w:w="0" w:type="auto"/>
          </w:tcPr>
          <w:p w14:paraId="141D84C6" w14:textId="77777777" w:rsidR="00B00DB4" w:rsidRDefault="00000000">
            <w:pPr>
              <w:pStyle w:val="Compact"/>
            </w:pPr>
            <w:r>
              <w:rPr>
                <w:color w:val="000000"/>
                <w:sz w:val="18"/>
              </w:rPr>
              <w:t>Ressource accessible sans réseau</w:t>
            </w:r>
          </w:p>
        </w:tc>
        <w:tc>
          <w:tcPr>
            <w:tcW w:w="0" w:type="auto"/>
          </w:tcPr>
          <w:p w14:paraId="4B7B6949" w14:textId="77777777" w:rsidR="00B00DB4" w:rsidRDefault="00000000">
            <w:pPr>
              <w:pStyle w:val="Compact"/>
              <w:jc w:val="center"/>
            </w:pPr>
            <w:r>
              <w:rPr>
                <w:color w:val="000000"/>
                <w:sz w:val="18"/>
              </w:rPr>
              <w:t>Conforme</w:t>
            </w:r>
          </w:p>
        </w:tc>
      </w:tr>
      <w:tr w:rsidR="00B00DB4" w14:paraId="7D1CDCF7" w14:textId="77777777">
        <w:tc>
          <w:tcPr>
            <w:tcW w:w="0" w:type="auto"/>
          </w:tcPr>
          <w:p w14:paraId="3125999B" w14:textId="77777777" w:rsidR="00B00DB4" w:rsidRDefault="00000000">
            <w:pPr>
              <w:pStyle w:val="Compact"/>
            </w:pPr>
            <w:r>
              <w:rPr>
                <w:color w:val="000000"/>
                <w:sz w:val="18"/>
              </w:rPr>
              <w:t>Notification à la publication</w:t>
            </w:r>
          </w:p>
        </w:tc>
        <w:tc>
          <w:tcPr>
            <w:tcW w:w="0" w:type="auto"/>
          </w:tcPr>
          <w:p w14:paraId="0A8297D8" w14:textId="77777777" w:rsidR="00B00DB4" w:rsidRDefault="00000000">
            <w:pPr>
              <w:pStyle w:val="Compact"/>
            </w:pPr>
            <w:r>
              <w:rPr>
                <w:color w:val="000000"/>
                <w:sz w:val="18"/>
              </w:rPr>
              <w:t>Notification reçue par les destinataires</w:t>
            </w:r>
          </w:p>
        </w:tc>
        <w:tc>
          <w:tcPr>
            <w:tcW w:w="0" w:type="auto"/>
          </w:tcPr>
          <w:p w14:paraId="4F07E65A" w14:textId="77777777" w:rsidR="00B00DB4" w:rsidRDefault="00000000">
            <w:pPr>
              <w:pStyle w:val="Compact"/>
              <w:jc w:val="center"/>
            </w:pPr>
            <w:r>
              <w:rPr>
                <w:color w:val="000000"/>
                <w:sz w:val="18"/>
              </w:rPr>
              <w:t>Conforme</w:t>
            </w:r>
          </w:p>
        </w:tc>
      </w:tr>
      <w:tr w:rsidR="00B00DB4" w14:paraId="634F732A" w14:textId="77777777">
        <w:tc>
          <w:tcPr>
            <w:tcW w:w="0" w:type="auto"/>
          </w:tcPr>
          <w:p w14:paraId="5755DA81" w14:textId="77777777" w:rsidR="00B00DB4" w:rsidRDefault="00000000">
            <w:pPr>
              <w:pStyle w:val="Compact"/>
            </w:pPr>
            <w:r>
              <w:rPr>
                <w:color w:val="000000"/>
                <w:sz w:val="18"/>
              </w:rPr>
              <w:t>Double authentification et verrouillage anti-force-brute</w:t>
            </w:r>
          </w:p>
        </w:tc>
        <w:tc>
          <w:tcPr>
            <w:tcW w:w="0" w:type="auto"/>
          </w:tcPr>
          <w:p w14:paraId="13AC5A90" w14:textId="77777777" w:rsidR="00B00DB4" w:rsidRDefault="00000000">
            <w:pPr>
              <w:pStyle w:val="Compact"/>
            </w:pPr>
            <w:r>
              <w:rPr>
                <w:color w:val="000000"/>
                <w:sz w:val="18"/>
              </w:rPr>
              <w:t>Code exigé ; blocage après échecs répétés</w:t>
            </w:r>
          </w:p>
        </w:tc>
        <w:tc>
          <w:tcPr>
            <w:tcW w:w="0" w:type="auto"/>
          </w:tcPr>
          <w:p w14:paraId="561AF5AB" w14:textId="77777777" w:rsidR="00B00DB4" w:rsidRDefault="00000000">
            <w:pPr>
              <w:pStyle w:val="Compact"/>
              <w:jc w:val="center"/>
            </w:pPr>
            <w:r>
              <w:rPr>
                <w:color w:val="000000"/>
                <w:sz w:val="18"/>
              </w:rPr>
              <w:t>Conforme</w:t>
            </w:r>
          </w:p>
        </w:tc>
      </w:tr>
    </w:tbl>
    <w:p w14:paraId="7A020E7C" w14:textId="77777777" w:rsidR="00B00DB4" w:rsidRDefault="00000000">
      <w:pPr>
        <w:pStyle w:val="Corpsdetexte"/>
        <w:spacing w:after="120" w:line="360" w:lineRule="auto"/>
        <w:jc w:val="both"/>
      </w:pPr>
      <w:r>
        <w:rPr>
          <w:i/>
          <w:color w:val="000000"/>
        </w:rPr>
        <w:t>Tableau 5.1 : Scénarios de tests fonctionnels de la plateforme AFI-DOCS. Source : auteur, 2026.</w:t>
      </w:r>
    </w:p>
    <w:p w14:paraId="3BF2B165" w14:textId="77777777" w:rsidR="00B00DB4" w:rsidRDefault="00000000">
      <w:pPr>
        <w:pStyle w:val="Corpsdetexte"/>
        <w:spacing w:after="120" w:line="360" w:lineRule="auto"/>
        <w:jc w:val="both"/>
      </w:pPr>
      <w:r>
        <w:rPr>
          <w:color w:val="000000"/>
        </w:rPr>
        <w:t>L’ensemble des scénarios critiques se comporte conformément aux spécifications. On retiendra en particulier la robustesse du mécanisme de sécurité : les tentatives de publication hors périmètre ou par un acteur non autorisé, ainsi que les accès non authentifiés, sont systématiquement bloqués côté serveur, indépendamment de l’interface utilisée. Les quelques ajustements identifiés au fil des tests ont été corrigés avant la mise en production.</w:t>
      </w:r>
    </w:p>
    <w:p w14:paraId="688C3D64" w14:textId="77777777" w:rsidR="00B00DB4" w:rsidRDefault="00000000">
      <w:pPr>
        <w:pStyle w:val="Titre3"/>
        <w:spacing w:before="120" w:after="60" w:line="276" w:lineRule="auto"/>
      </w:pPr>
      <w:bookmarkStart w:id="69" w:name="X48590dbd4ffaf9cb85e49aab7a48b69cb888ff1"/>
      <w:r>
        <w:rPr>
          <w:rFonts w:ascii="Times New Roman" w:hAnsi="Times New Roman"/>
          <w:color w:val="000000"/>
        </w:rPr>
        <w:t>1.2 Synthèse des résultats et vérification des hypothèses</w:t>
      </w:r>
      <w:bookmarkEnd w:id="69"/>
    </w:p>
    <w:p w14:paraId="671C0D07" w14:textId="77777777" w:rsidR="00B00DB4" w:rsidRDefault="00000000">
      <w:pPr>
        <w:pStyle w:val="FirstParagraph"/>
        <w:spacing w:after="120" w:line="360" w:lineRule="auto"/>
        <w:jc w:val="both"/>
      </w:pPr>
      <w:r>
        <w:rPr>
          <w:color w:val="000000"/>
        </w:rPr>
        <w:t xml:space="preserve">Les résultats des tests, confrontés aux données du questionnaire, permettent d’apprécier les quatre hypothèses de recherche. L’hypothèse </w:t>
      </w:r>
      <w:r>
        <w:rPr>
          <w:b/>
          <w:color w:val="000000"/>
        </w:rPr>
        <w:t>H1</w:t>
      </w:r>
      <w:r>
        <w:rPr>
          <w:color w:val="000000"/>
        </w:rPr>
        <w:t xml:space="preserve">, selon laquelle la centralisation et la classification hiérarchique améliorent l’accès aux ressources, est confirmée : la plateforme met en œuvre une classification par filière, niveau, matière, semestre et année, un moteur de recherche et des filtres, tous validés fonctionnellement, en réponse directe aux besoins prioritaires exprimés — téléchargement direct et recherche structurée. L’hypothèse </w:t>
      </w:r>
      <w:r>
        <w:rPr>
          <w:b/>
          <w:color w:val="000000"/>
        </w:rPr>
        <w:t>H2</w:t>
      </w:r>
      <w:r>
        <w:rPr>
          <w:color w:val="000000"/>
        </w:rPr>
        <w:t>, relative à la publication directe par le délégué, est confirmée sur le plan technique — la publication est immédiate et bornée à la filière par le contrôle des droits — comme sur celui de l’acceptation, les délégués interrogés se déclarant à l’aise avec ce fonctionnement.</w:t>
      </w:r>
    </w:p>
    <w:p w14:paraId="3A2CAE5E" w14:textId="77777777" w:rsidR="00B00DB4" w:rsidRDefault="00000000">
      <w:pPr>
        <w:pStyle w:val="Corpsdetexte"/>
        <w:spacing w:after="120" w:line="360" w:lineRule="auto"/>
        <w:jc w:val="both"/>
      </w:pPr>
      <w:r>
        <w:rPr>
          <w:color w:val="000000"/>
        </w:rPr>
        <w:t xml:space="preserve">L’hypothèse </w:t>
      </w:r>
      <w:r>
        <w:rPr>
          <w:b/>
          <w:color w:val="000000"/>
        </w:rPr>
        <w:t>H3</w:t>
      </w:r>
      <w:r>
        <w:rPr>
          <w:color w:val="000000"/>
        </w:rPr>
        <w:t xml:space="preserve">, portant sur la disponibilité hors connexion, est confirmée sur le plan de la réalisation : le test correspondant atteste qu’une ressource téléchargée demeure accessible sans réseau, ce qui répond à la défaillance d’exclusion numérique dans un contexte de connectivité coûteuse et inégale. L’hypothèse </w:t>
      </w:r>
      <w:r>
        <w:rPr>
          <w:b/>
          <w:color w:val="000000"/>
        </w:rPr>
        <w:t>H4</w:t>
      </w:r>
      <w:r>
        <w:rPr>
          <w:color w:val="000000"/>
        </w:rPr>
        <w:t>, relative aux échanges et aux notifications, est confirmée pour sa dimension informationnelle — la notification lors de l’ajout d’un document figure parmi les besoins les plus fortement exprimés — et partiellement pour sa dimension collaborative, l’appropriation des espaces d’échange restant à consolider dans la durée. En synthèse, la plateforme répond aux quatre défaillances identifiées au chapitre II ; les hypothèses techniques et fonctionnelles sont confirmées, celles portant sur les usages appelant un recul d’observation plus long.</w:t>
      </w:r>
    </w:p>
    <w:p w14:paraId="5F2A2A68" w14:textId="77777777" w:rsidR="00B00DB4" w:rsidRDefault="00000000">
      <w:pPr>
        <w:pStyle w:val="Titre2"/>
        <w:spacing w:before="160" w:after="80" w:line="276" w:lineRule="auto"/>
      </w:pPr>
      <w:bookmarkStart w:id="70" w:name="section-2-recommandations"/>
      <w:r>
        <w:rPr>
          <w:rFonts w:ascii="Times New Roman" w:hAnsi="Times New Roman"/>
          <w:color w:val="000000"/>
          <w:sz w:val="26"/>
        </w:rPr>
        <w:t>Section 2 — Recommandations</w:t>
      </w:r>
      <w:bookmarkEnd w:id="70"/>
    </w:p>
    <w:p w14:paraId="6FA9C4F3" w14:textId="77777777" w:rsidR="00B00DB4" w:rsidRDefault="00000000">
      <w:pPr>
        <w:pStyle w:val="Titre3"/>
        <w:spacing w:before="120" w:after="60" w:line="276" w:lineRule="auto"/>
      </w:pPr>
      <w:bookmarkStart w:id="71" w:name="implications-managériales"/>
      <w:r>
        <w:rPr>
          <w:rFonts w:ascii="Times New Roman" w:hAnsi="Times New Roman"/>
          <w:color w:val="000000"/>
        </w:rPr>
        <w:t>2.1 Implications managériales</w:t>
      </w:r>
      <w:bookmarkEnd w:id="71"/>
    </w:p>
    <w:p w14:paraId="5EF59111" w14:textId="77777777" w:rsidR="00B00DB4" w:rsidRDefault="00000000">
      <w:pPr>
        <w:pStyle w:val="FirstParagraph"/>
        <w:spacing w:after="120" w:line="360" w:lineRule="auto"/>
        <w:jc w:val="both"/>
      </w:pPr>
      <w:r>
        <w:rPr>
          <w:color w:val="000000"/>
        </w:rPr>
        <w:t>La mise en œuvre d’AFI-DOCS emporte plusieurs implications pour la gouvernance des ressources pédagogiques de l’établissement. En centralisant la diffusion, la plateforme confère à l’administration une visibilité inédite sur les contenus mis à disposition et sur l’activité des utilisateurs, au moyen du tableau de bord et des rapports. Elle clarifie les responsabilités en distribuant des rôles précis — administration, publication, consultation — et en confiant la publication aux délégués, ce qui allège la charge administrative tout en préservant le contrôle. Elle contribue enfin à l’équité d’accès, un objectif institutionnel important. Pour tirer pleinement parti de ces apports, il est recommandé d’accompagner le déploiement d’un cadrage des pratiques de publication et d’une sensibilisation des délégués et des étudiants.</w:t>
      </w:r>
    </w:p>
    <w:p w14:paraId="0DCB1D82" w14:textId="77777777" w:rsidR="00B00DB4" w:rsidRDefault="00000000">
      <w:pPr>
        <w:pStyle w:val="Titre3"/>
        <w:spacing w:before="120" w:after="60" w:line="276" w:lineRule="auto"/>
      </w:pPr>
      <w:bookmarkStart w:id="72" w:name="améliorations-et-perspectives"/>
      <w:r>
        <w:rPr>
          <w:rFonts w:ascii="Times New Roman" w:hAnsi="Times New Roman"/>
          <w:color w:val="000000"/>
        </w:rPr>
        <w:t>2.2 Améliorations et perspectives</w:t>
      </w:r>
      <w:bookmarkEnd w:id="72"/>
    </w:p>
    <w:p w14:paraId="4437C005" w14:textId="77777777" w:rsidR="00B00DB4" w:rsidRDefault="00000000">
      <w:pPr>
        <w:pStyle w:val="FirstParagraph"/>
        <w:spacing w:after="120" w:line="360" w:lineRule="auto"/>
        <w:jc w:val="both"/>
      </w:pPr>
      <w:r>
        <w:rPr>
          <w:color w:val="000000"/>
        </w:rPr>
        <w:t>Plusieurs pistes d’évolution peuvent être envisagées, sans perdre de vue l’objectif central de diffusion structurée des ressources. Sur le plan fonctionnel, l’enrichissement du moteur de recherche, le développement de l’analytique d’usage et l’intégration avec d’autres systèmes académiques de l’établissement constitueraient des extensions utiles. Sur le plan technique, l’automatisation des tests, un audit de sécurité approfondi et l’optimisation des performances en montée en charge renforceraient la robustesse de la plateforme. Sur le plan des usages, un suivi longitudinal permettrait de mesurer l’effet réel de la solution sur l’accès aux ressources et sur la collaboration. Dans toutes ces évolutions, la priorité devra demeurer la consolidation de la diffusion centralisée des ressources pédagogiques.</w:t>
      </w:r>
    </w:p>
    <w:p w14:paraId="29CE57B5" w14:textId="77777777" w:rsidR="00B00DB4" w:rsidRDefault="00000000">
      <w:pPr>
        <w:pStyle w:val="Titre3"/>
        <w:spacing w:before="120" w:after="60" w:line="276" w:lineRule="auto"/>
      </w:pPr>
      <w:bookmarkStart w:id="73" w:name="conclusion-du-chapitre-4"/>
      <w:r>
        <w:rPr>
          <w:rFonts w:ascii="Times New Roman" w:hAnsi="Times New Roman"/>
          <w:color w:val="000000"/>
        </w:rPr>
        <w:t>Conclusion du chapitre</w:t>
      </w:r>
      <w:bookmarkEnd w:id="73"/>
    </w:p>
    <w:p w14:paraId="6C079710" w14:textId="77777777" w:rsidR="00B00DB4" w:rsidRDefault="00000000">
      <w:pPr>
        <w:pStyle w:val="FirstParagraph"/>
        <w:spacing w:after="120" w:line="360" w:lineRule="auto"/>
        <w:jc w:val="both"/>
      </w:pPr>
      <w:r>
        <w:rPr>
          <w:color w:val="000000"/>
        </w:rPr>
        <w:t>Ce chapitre a évalué la plateforme réalisée. Les tests fonctionnels attestent la conformité des principales fonctionnalités, et leur confrontation aux données du questionnaire confirme les hypothèses de recherche, en particulier celles relatives à la centralisation, à la publication directe et à la disponibilité hors connexion. Les recommandations formulées, tant managériales que techniques, tracent des perspectives d’évolution réalistes, subordonnées au maintien de l’objectif central. Ces résultats conduisent à la conclusion générale du mémoire.</w:t>
      </w:r>
    </w:p>
    <w:p w14:paraId="7A3B389F" w14:textId="77777777" w:rsidR="00B00DB4" w:rsidRDefault="00000000">
      <w:pPr>
        <w:pStyle w:val="Titre1"/>
        <w:pageBreakBefore/>
        <w:spacing w:after="240" w:line="276" w:lineRule="auto"/>
        <w:jc w:val="center"/>
      </w:pPr>
      <w:bookmarkStart w:id="74" w:name="conclusion-générale"/>
      <w:r>
        <w:rPr>
          <w:rFonts w:ascii="Times New Roman" w:hAnsi="Times New Roman"/>
          <w:color w:val="000000"/>
          <w:sz w:val="28"/>
        </w:rPr>
        <w:t>CONCLUSION GÉNÉRALE</w:t>
      </w:r>
      <w:bookmarkEnd w:id="74"/>
    </w:p>
    <w:p w14:paraId="4CF816AF" w14:textId="77777777" w:rsidR="00B00DB4" w:rsidRDefault="00000000">
      <w:pPr>
        <w:pStyle w:val="FirstParagraph"/>
        <w:spacing w:after="120" w:line="360" w:lineRule="auto"/>
        <w:jc w:val="both"/>
      </w:pPr>
      <w:r>
        <w:rPr>
          <w:color w:val="000000"/>
        </w:rPr>
        <w:t>Ce mémoire est né d’un constat précis : à AFI — L’Université de l’Entreprise, comme dans de nombreux établissements d’enseignement supérieur d’Afrique subsaharienne, la diffusion des ressources pédagogiques reposait sur des canaux informels — groupes de messagerie, échanges de fichiers, courriels — porteurs de quatre défaillances : la volatilité de l’information, le désordre organisationnel, l’exclusion numérique des étudiants les moins bien connectés et l’absence de traçabilité durable. De ce constat a découlé la question centrale du travail : comment concevoir et réaliser une plateforme web et mobile, centralisée et accessible hors connexion, capable d’optimiser l’accès, la pérennité et le partage structuré des ressources pédagogiques au sein de l’établissement ?</w:t>
      </w:r>
    </w:p>
    <w:p w14:paraId="648B1934" w14:textId="77777777" w:rsidR="00B00DB4" w:rsidRDefault="00000000">
      <w:pPr>
        <w:pStyle w:val="Corpsdetexte"/>
        <w:spacing w:after="120" w:line="360" w:lineRule="auto"/>
        <w:jc w:val="both"/>
      </w:pPr>
      <w:r>
        <w:rPr>
          <w:color w:val="000000"/>
        </w:rPr>
        <w:t>Pour y répondre, le travail a mobilisé un cadre théorique articulant les systèmes de gestion de l’apprentissage, les plateformes collaboratives, les architectures REST et l’approche offline-first, puis a ancré la réflexion dans le contexte réel de la numérisation de l’enseignement supérieur africain et des pratiques observées à l’AFI. La démarche méthodologique a associé une modélisation UML, un développement itératif selon la méthode Agile Scrum, une enquête par questionnaire auprès de la communauté académique et une campagne de tests fonctionnels sur la plateforme déployée en production.</w:t>
      </w:r>
    </w:p>
    <w:p w14:paraId="4752D3BB" w14:textId="77777777" w:rsidR="00B00DB4" w:rsidRDefault="00000000">
      <w:pPr>
        <w:pStyle w:val="Corpsdetexte"/>
        <w:spacing w:after="120" w:line="360" w:lineRule="auto"/>
        <w:jc w:val="both"/>
      </w:pPr>
      <w:r>
        <w:rPr>
          <w:color w:val="000000"/>
        </w:rPr>
        <w:t>Le principal résultat de ce travail est la réalisation effective d’AFI-DOCS, une plateforme opérationnelle qui centralise, organise et diffuse de manière structurée les ressources pédagogiques de l’établissement. La classification hiérarchique par filière, niveau, matière, semestre et année, l’accès restreint et pertinent selon la filière et le niveau de chaque étudiant, et la consultation hors connexion sur l’application mobile répondent point par point aux défaillances identifiées. Les tests fonctionnels et les données du questionnaire confirment que la plateforme atteint sa finalité première ; les fonctionnalités additionnelles — sécurité renforcée, notifications multicanales, espaces d’échange et évaluation des enseignants — renforcent cette finalité sans s’y substituer.</w:t>
      </w:r>
    </w:p>
    <w:p w14:paraId="4F917FBB" w14:textId="77777777" w:rsidR="00B00DB4" w:rsidRDefault="00000000">
      <w:pPr>
        <w:pStyle w:val="Corpsdetexte"/>
        <w:spacing w:after="120" w:line="360" w:lineRule="auto"/>
        <w:jc w:val="both"/>
      </w:pPr>
      <w:r>
        <w:rPr>
          <w:color w:val="000000"/>
        </w:rPr>
        <w:t>Sur le plan des apports, AFI-DOCS offre aux étudiants un accès équitable et durable à leurs ressources, aux délégués un moyen de publication directe et rapide, à l’administration un outil de pilotage et de supervision, et à l’établissement une base technologique évolutive et reproductible. Le projet illustre ainsi qu’une solution délibérément sobre, centrée sur un besoin clairement circonscrit, apporte une valeur concrète supérieure à celle d’un système générique surchargé.</w:t>
      </w:r>
    </w:p>
    <w:p w14:paraId="1BDDF7C3" w14:textId="77777777" w:rsidR="00B00DB4" w:rsidRDefault="00000000">
      <w:pPr>
        <w:pStyle w:val="Corpsdetexte"/>
        <w:spacing w:after="120" w:line="360" w:lineRule="auto"/>
        <w:jc w:val="both"/>
      </w:pPr>
      <w:r>
        <w:rPr>
          <w:color w:val="000000"/>
        </w:rPr>
        <w:t>Ce travail comporte néanmoins des limites : la taille modeste de l’échantillon du questionnaire confère aux résultats une valeur indicative ; le recul sur les usages demeure court ; et le projet, mené par un développeur unique dans un cadre académique, n’a pu couvrir certaines dimensions industrielles telles que les tests automatisés ou un audit de sécurité approfondi. Ces limites ouvrent autant de perspectives : élargissement de l’enquête d’usage, intégration avec d’autres systèmes académiques, enrichissement de la recherche et de l’analytique, et renforcement continu de la sécurité. Dans toutes ces évolutions, la diffusion centralisée et structurée des ressources pédagogiques devra demeurer le fil conducteur et la priorité d’AFI-DOCS.</w:t>
      </w:r>
    </w:p>
    <w:p w14:paraId="2D76AA9D" w14:textId="77777777" w:rsidR="00B00DB4" w:rsidRDefault="00000000">
      <w:pPr>
        <w:pStyle w:val="Titre1"/>
        <w:pageBreakBefore/>
        <w:spacing w:after="240" w:line="276" w:lineRule="auto"/>
        <w:jc w:val="center"/>
      </w:pPr>
      <w:bookmarkStart w:id="75" w:name="bibliographie"/>
      <w:r>
        <w:rPr>
          <w:rFonts w:ascii="Times New Roman" w:hAnsi="Times New Roman"/>
          <w:color w:val="000000"/>
          <w:sz w:val="28"/>
        </w:rPr>
        <w:t>BIBLIOGRAPHIE</w:t>
      </w:r>
      <w:bookmarkEnd w:id="75"/>
    </w:p>
    <w:p w14:paraId="3C7C1A68" w14:textId="77777777" w:rsidR="00B00DB4"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w:t>
      </w:r>
    </w:p>
    <w:p w14:paraId="000DEBAA" w14:textId="77777777" w:rsidR="00B00DB4" w:rsidRDefault="00000000">
      <w:pPr>
        <w:pStyle w:val="Corpsdetexte"/>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3116911B" w14:textId="77777777" w:rsidR="00B00DB4"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49C98310" w14:textId="77777777" w:rsidR="00B00DB4" w:rsidRDefault="00000000">
      <w:pPr>
        <w:pStyle w:val="Corpsdetexte"/>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52B5E483" w14:textId="77777777" w:rsidR="00B00DB4" w:rsidRDefault="00000000">
      <w:pPr>
        <w:pStyle w:val="Corpsdetexte"/>
        <w:spacing w:after="120" w:line="360" w:lineRule="auto"/>
        <w:jc w:val="both"/>
      </w:pPr>
      <w:r>
        <w:rPr>
          <w:color w:val="000000"/>
        </w:rPr>
        <w:t xml:space="preserve">Laravel LLC. (2024). </w:t>
      </w:r>
      <w:r>
        <w:rPr>
          <w:i/>
          <w:color w:val="000000"/>
        </w:rPr>
        <w:t>Laravel 11 — Documentation officielle</w:t>
      </w:r>
      <w:r>
        <w:rPr>
          <w:color w:val="000000"/>
        </w:rPr>
        <w:t>. https://laravel.com/docs/11.x</w:t>
      </w:r>
    </w:p>
    <w:p w14:paraId="270C5E6B" w14:textId="77777777" w:rsidR="00B00DB4"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208EE6C5" w14:textId="77777777" w:rsidR="00B00DB4"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2537DA60" w14:textId="77777777" w:rsidR="00B00DB4"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6AC1614D" w14:textId="77777777" w:rsidR="00B00DB4"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17BEAB4E" w14:textId="77777777" w:rsidR="00B00DB4"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08BE8B22" w14:textId="77777777" w:rsidR="00B00DB4"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O’Reilly Media.</w:t>
      </w:r>
    </w:p>
    <w:p w14:paraId="10EC48E2" w14:textId="77777777" w:rsidR="00B00DB4"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53B4BC0D" w14:textId="77777777" w:rsidR="00B00DB4"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579F102B" w14:textId="77777777" w:rsidR="00B00DB4"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0C3C2C79" w14:textId="77777777" w:rsidR="00B00DB4"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7B82D22E" w14:textId="77777777" w:rsidR="00B00DB4"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64C61FB3" w14:textId="77777777" w:rsidR="00B00DB4"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1FBB12EF" w14:textId="77777777" w:rsidR="00B00DB4" w:rsidRDefault="00000000">
      <w:pPr>
        <w:pStyle w:val="Corpsdetexte"/>
        <w:spacing w:after="120" w:line="360" w:lineRule="auto"/>
        <w:jc w:val="both"/>
      </w:pPr>
      <w:r>
        <w:rPr>
          <w:color w:val="000000"/>
        </w:rPr>
        <w:t xml:space="preserve">Wenger, E. (1998). </w:t>
      </w:r>
      <w:r>
        <w:rPr>
          <w:i/>
          <w:color w:val="000000"/>
        </w:rPr>
        <w:t>Communities of practice: Learning, meaning, and identity</w:t>
      </w:r>
      <w:r>
        <w:rPr>
          <w:color w:val="000000"/>
        </w:rPr>
        <w:t>. Cambridge University Press.</w:t>
      </w:r>
    </w:p>
    <w:p w14:paraId="66D22CCB" w14:textId="77777777" w:rsidR="00B00DB4" w:rsidRDefault="00000000">
      <w:pPr>
        <w:pStyle w:val="Titre1"/>
        <w:pageBreakBefore/>
        <w:spacing w:after="240" w:line="276" w:lineRule="auto"/>
        <w:jc w:val="center"/>
      </w:pPr>
      <w:bookmarkStart w:id="76" w:name="annexes"/>
      <w:r>
        <w:rPr>
          <w:rFonts w:ascii="Times New Roman" w:hAnsi="Times New Roman"/>
          <w:color w:val="000000"/>
          <w:sz w:val="28"/>
        </w:rPr>
        <w:t>ANNEXES</w:t>
      </w:r>
      <w:bookmarkEnd w:id="76"/>
    </w:p>
    <w:p w14:paraId="280D5D03" w14:textId="77777777" w:rsidR="00B00DB4" w:rsidRDefault="00000000">
      <w:pPr>
        <w:pStyle w:val="Titre3"/>
        <w:spacing w:before="120" w:after="60" w:line="276" w:lineRule="auto"/>
      </w:pPr>
      <w:bookmarkStart w:id="77" w:name="annexe-1-questionnaire-utilisateur"/>
      <w:r>
        <w:rPr>
          <w:rFonts w:ascii="Times New Roman" w:hAnsi="Times New Roman"/>
          <w:color w:val="000000"/>
        </w:rPr>
        <w:t>Annexe 1 — Questionnaire utilisateur</w:t>
      </w:r>
      <w:bookmarkEnd w:id="77"/>
    </w:p>
    <w:p w14:paraId="23B5F9D5" w14:textId="77777777" w:rsidR="00B00DB4" w:rsidRDefault="00000000">
      <w:pPr>
        <w:pStyle w:val="FirstParagraph"/>
        <w:spacing w:after="120" w:line="360" w:lineRule="auto"/>
        <w:jc w:val="both"/>
      </w:pPr>
      <w:r>
        <w:rPr>
          <w:i/>
          <w:color w:val="000000"/>
        </w:rPr>
        <w:t>Questionnaire diffusé auprès des étudiants, délégués de promotion et responsables administratifs d’AFI-L’UE, afin d’évaluer les besoins liés à la gestion et à la diffusion des ressources pédagogiques.</w:t>
      </w:r>
    </w:p>
    <w:p w14:paraId="173E2DA2" w14:textId="77777777" w:rsidR="00B00DB4" w:rsidRDefault="00000000">
      <w:pPr>
        <w:pStyle w:val="Corpsdetexte"/>
        <w:spacing w:after="120" w:line="360" w:lineRule="auto"/>
        <w:jc w:val="both"/>
      </w:pPr>
      <w:r>
        <w:rPr>
          <w:b/>
          <w:color w:val="000000"/>
        </w:rPr>
        <w:t>Section A — Profil du répondant.</w:t>
      </w:r>
      <w:r>
        <w:rPr>
          <w:color w:val="000000"/>
        </w:rPr>
        <w:t xml:space="preserve"> (1) Quel est votre statut ? (Étudiant / Délégué / Administration) — (2) À quelle filière êtes-vous rattaché(e) ? — (3) Quel est votre niveau ? (L3 / M1 / M2 / Autre) — (4) De quels équipements disposez-vous ? (Smartphone / Ordinateur / Les deux) — (5) Comment évaluez-vous votre maîtrise des outils numériques ? (Faible / Bonne / Excellente)</w:t>
      </w:r>
    </w:p>
    <w:p w14:paraId="47695DBE" w14:textId="77777777" w:rsidR="00B00DB4" w:rsidRDefault="00000000">
      <w:pPr>
        <w:pStyle w:val="Corpsdetexte"/>
        <w:spacing w:after="120" w:line="360" w:lineRule="auto"/>
        <w:jc w:val="both"/>
      </w:pPr>
      <w:r>
        <w:rPr>
          <w:b/>
          <w:color w:val="000000"/>
        </w:rPr>
        <w:t>Section B — Pratiques actuelles.</w:t>
      </w:r>
      <w:r>
        <w:rPr>
          <w:color w:val="000000"/>
        </w:rPr>
        <w:t xml:space="preserve"> (6) Par quels moyens accédez-vous aux ressources pédagogiques ? (WhatsApp / E-mail de l’enseignant / Échange direct / Autre) — (7) Vous est-il déjà arrivé de perdre un document faute de stockage fiable ? (Oui / Non) — (8) Combien de temps mettez-vous, en moyenne, à retrouver un cours ? (Moins de 5 min / 5 à 15 min / Plus de 15 min)</w:t>
      </w:r>
    </w:p>
    <w:p w14:paraId="303E1D36" w14:textId="77777777" w:rsidR="00B00DB4" w:rsidRDefault="00000000">
      <w:pPr>
        <w:pStyle w:val="Corpsdetexte"/>
        <w:spacing w:after="120" w:line="360" w:lineRule="auto"/>
        <w:jc w:val="both"/>
      </w:pPr>
      <w:r>
        <w:rPr>
          <w:b/>
          <w:color w:val="000000"/>
        </w:rPr>
        <w:t>Section C — Besoins des étudiants.</w:t>
      </w:r>
      <w:r>
        <w:rPr>
          <w:color w:val="000000"/>
        </w:rPr>
        <w:t xml:space="preserve"> (9) Quelles fonctionnalités jugez-vous indispensables ? (Téléchargement direct / Recherche par filière, matière ou niveau / Notification à l’ajout d’un document / Consultation hors connexion / Espace de commentaires) — (10) Quel intérêt accordez-vous à la consultation hors connexion ? (Inutile / Parfois utile / Souvent utile) — (11) Quel critère de qualité privilégiez-vous ? (Facilité de navigation / Rapidité / Fiabilité / Design)</w:t>
      </w:r>
    </w:p>
    <w:p w14:paraId="59F37CA1" w14:textId="77777777" w:rsidR="00B00DB4" w:rsidRDefault="00000000">
      <w:pPr>
        <w:pStyle w:val="Corpsdetexte"/>
        <w:spacing w:after="120" w:line="360" w:lineRule="auto"/>
        <w:jc w:val="both"/>
      </w:pPr>
      <w:r>
        <w:rPr>
          <w:b/>
          <w:color w:val="000000"/>
        </w:rPr>
        <w:t>Section D — Besoins des délégués.</w:t>
      </w:r>
      <w:r>
        <w:rPr>
          <w:color w:val="000000"/>
        </w:rPr>
        <w:t xml:space="preserve"> (12) Seriez-vous à l’aise pour publier sans validation administrative préalable, avec des lignes directrices claires ? (Oui / Non) — (13) Quelles difficultés rencontrez-vous aujourd’hui dans le partage des ressources ?</w:t>
      </w:r>
    </w:p>
    <w:p w14:paraId="6D01086C" w14:textId="77777777" w:rsidR="00B00DB4" w:rsidRDefault="00000000">
      <w:pPr>
        <w:pStyle w:val="Corpsdetexte"/>
        <w:spacing w:after="120" w:line="360" w:lineRule="auto"/>
        <w:jc w:val="both"/>
      </w:pPr>
      <w:r>
        <w:rPr>
          <w:b/>
          <w:color w:val="000000"/>
        </w:rPr>
        <w:t>Section E — Besoins de l’administration.</w:t>
      </w:r>
      <w:r>
        <w:rPr>
          <w:color w:val="000000"/>
        </w:rPr>
        <w:t xml:space="preserve"> (14) Existe-t-il actuellement un système centralisé satisfaisant ? (Oui / Non) — (15) Quelles fonctionnalités administratives jugez-vous prioritaires ? (Tableau de bord des utilisateurs / Supervision des contenus / Gestion des filières et niveaux d’accès / Suivi de l’activité)</w:t>
      </w:r>
    </w:p>
    <w:sectPr w:rsidR="00B00DB4">
      <w:footerReference w:type="default" r:id="rId11"/>
      <w:pgSz w:w="11906" w:h="16838"/>
      <w:pgMar w:top="1247" w:right="1417" w:bottom="124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93D56" w14:textId="77777777" w:rsidR="00B72F8C" w:rsidRDefault="00B72F8C">
      <w:pPr>
        <w:spacing w:after="0"/>
      </w:pPr>
      <w:r>
        <w:separator/>
      </w:r>
    </w:p>
  </w:endnote>
  <w:endnote w:type="continuationSeparator" w:id="0">
    <w:p w14:paraId="3039324F" w14:textId="77777777" w:rsidR="00B72F8C" w:rsidRDefault="00B72F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83285" w14:textId="77777777" w:rsidR="00B00DB4" w:rsidRDefault="00000000">
    <w:pPr>
      <w:jc w:val="center"/>
    </w:pPr>
    <w:r>
      <w:rPr>
        <w:sz w:val="22"/>
      </w:rPr>
      <w:fldChar w:fldCharType="begin"/>
    </w:r>
    <w:r>
      <w:rPr>
        <w:sz w:val="22"/>
      </w:rPr>
      <w:instrText xml:space="preserve"> PAGE </w:instrText>
    </w:r>
    <w:r w:rsidR="005F1862">
      <w:rPr>
        <w:sz w:val="22"/>
      </w:rPr>
      <w:fldChar w:fldCharType="separate"/>
    </w:r>
    <w:r w:rsidR="005F1862">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F9C33" w14:textId="77777777" w:rsidR="00B00DB4" w:rsidRDefault="00B00DB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E56D" w14:textId="600582CD" w:rsidR="00B00DB4" w:rsidRDefault="00000000">
    <w:pPr>
      <w:jc w:val="center"/>
    </w:pPr>
    <w:r>
      <w:rPr>
        <w:sz w:val="22"/>
      </w:rPr>
      <w:fldChar w:fldCharType="begin"/>
    </w:r>
    <w:r>
      <w:rPr>
        <w:sz w:val="22"/>
      </w:rPr>
      <w:instrText xml:space="preserve"> PAGE </w:instrText>
    </w:r>
    <w:r w:rsidR="005F1862">
      <w:rPr>
        <w:sz w:val="22"/>
      </w:rPr>
      <w:fldChar w:fldCharType="separate"/>
    </w:r>
    <w:r w:rsidR="005F1862">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9B1D9" w14:textId="77777777" w:rsidR="00B72F8C" w:rsidRDefault="00B72F8C">
      <w:r>
        <w:separator/>
      </w:r>
    </w:p>
  </w:footnote>
  <w:footnote w:type="continuationSeparator" w:id="0">
    <w:p w14:paraId="2CE289A3" w14:textId="77777777" w:rsidR="00B72F8C" w:rsidRDefault="00B72F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B3037A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C1AE401"/>
    <w:multiLevelType w:val="multilevel"/>
    <w:tmpl w:val="1E5E4B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25122917">
    <w:abstractNumId w:val="2"/>
  </w:num>
  <w:num w:numId="2" w16cid:durableId="2114129350">
    <w:abstractNumId w:val="0"/>
  </w:num>
  <w:num w:numId="3" w16cid:durableId="1106076395">
    <w:abstractNumId w:val="0"/>
  </w:num>
  <w:num w:numId="4" w16cid:durableId="657660435">
    <w:abstractNumId w:val="0"/>
  </w:num>
  <w:num w:numId="5" w16cid:durableId="20077777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91BBB"/>
    <w:rsid w:val="004E29B3"/>
    <w:rsid w:val="00590D07"/>
    <w:rsid w:val="005F1862"/>
    <w:rsid w:val="0073280B"/>
    <w:rsid w:val="00784D58"/>
    <w:rsid w:val="008D6863"/>
    <w:rsid w:val="00B00DB4"/>
    <w:rsid w:val="00B72F8C"/>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036D896"/>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73280B"/>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73280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42</Pages>
  <Words>11104</Words>
  <Characters>61076</Characters>
  <Application>Microsoft Office Word</Application>
  <DocSecurity>0</DocSecurity>
  <Lines>508</Lines>
  <Paragraphs>144</Paragraphs>
  <ScaleCrop>false</ScaleCrop>
  <Company/>
  <LinksUpToDate>false</LinksUpToDate>
  <CharactersWithSpaces>72036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3</cp:revision>
  <dcterms:created xsi:type="dcterms:W3CDTF">2026-07-14T03:59:00Z</dcterms:created>
  <dcterms:modified xsi:type="dcterms:W3CDTF">2026-07-14T04:18:00Z</dcterms:modified>
</cp:coreProperties>
</file>