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13D"/>
          <w:sz w:val="38"/>
        </w:rPr>
        <w:t>Fiche de maîtrise — AFI-DOCS</w:t>
      </w:r>
    </w:p>
    <w:p>
      <w:r>
        <w:rPr>
          <w:i/>
          <w:color w:val="5A5A5A"/>
          <w:sz w:val="20"/>
        </w:rPr>
        <w:t>Stack et modélisation expliquées à partir du code réel du projet. Tout ce qui suit a été vérifié dans les fichiers sources, pas déduit.</w:t>
      </w:r>
    </w:p>
    <w:p>
      <w:pPr>
        <w:spacing w:before="400" w:after="120"/>
      </w:pPr>
      <w:r>
        <w:rPr>
          <w:b/>
          <w:color w:val="14213D"/>
          <w:sz w:val="30"/>
        </w:rPr>
        <w:t>PARTIE 1 — LA STACK</w:t>
      </w:r>
    </w:p>
    <w:p>
      <w:pPr>
        <w:spacing w:before="260" w:after="60"/>
      </w:pPr>
      <w:r>
        <w:rPr>
          <w:b/>
          <w:color w:val="C0392B"/>
          <w:sz w:val="24"/>
        </w:rPr>
        <w:t>1.1 Le trajet d'une requête : la vue d'ensemble à avoir en tête</w:t>
      </w:r>
    </w:p>
    <w:p>
      <w:pPr>
        <w:spacing w:after="100"/>
        <w:ind w:left="0"/>
        <w:jc w:val="both"/>
      </w:pPr>
      <w:r>
        <w:rPr>
          <w:sz w:val="21"/>
        </w:rPr>
        <w:t>Tout part d'une action de l'utilisateur. Prenons « l'étudiant ouvre la liste des ressources ».</w:t>
      </w:r>
    </w:p>
    <w:p>
      <w:pPr>
        <w:spacing w:after="100"/>
        <w:ind w:left="340"/>
      </w:pPr>
      <w:r>
        <w:rPr>
          <w:rFonts w:ascii="Consolas" w:hAnsi="Consolas"/>
          <w:color w:val="14213D"/>
          <w:sz w:val="19"/>
        </w:rPr>
        <w:t>Navigateur (React)  →  HTTP GET /api/ressources + jeton Bearer</w:t>
        <w:br/>
        <w:t xml:space="preserve">        ↓</w:t>
        <w:br/>
        <w:t>Nginx (VPS OVH)  →  transmet à PHP</w:t>
        <w:br/>
        <w:t xml:space="preserve">        ↓</w:t>
        <w:br/>
        <w:t>Laravel : route → middleware auth:sanctum → contrôleur</w:t>
        <w:br/>
        <w:t xml:space="preserve">        ↓</w:t>
        <w:br/>
        <w:t>Eloquent construit la requête SQL (avec la restriction filière/niveau)</w:t>
        <w:br/>
        <w:t xml:space="preserve">        ↓</w:t>
        <w:br/>
        <w:t>MySQL 8 renvoie les lignes</w:t>
        <w:br/>
        <w:t xml:space="preserve">        ↓</w:t>
        <w:br/>
        <w:t>Laravel sérialise en JSON  →  React affiche la liste</w:t>
      </w:r>
    </w:p>
    <w:p>
      <w:pPr>
        <w:spacing w:after="100"/>
        <w:ind w:left="0"/>
        <w:jc w:val="both"/>
      </w:pPr>
      <w:r>
        <w:rPr>
          <w:sz w:val="21"/>
        </w:rPr>
        <w:t>Sur mobile, le trajet est le même jusqu'à Laravel. La différence : l'application React Native écrit aussi le résultat dans une base SQLite locale, ce qui lui permet de réafficher la liste sans réseau.</w:t>
      </w:r>
    </w:p>
    <w:p>
      <w:pPr>
        <w:spacing w:after="120"/>
        <w:ind w:left="227"/>
      </w:pPr>
      <w:r>
        <w:rPr>
          <w:b/>
          <w:color w:val="146C43"/>
          <w:sz w:val="21"/>
        </w:rPr>
        <w:t xml:space="preserve">Le mot juste : </w:t>
      </w:r>
      <w:r>
        <w:rPr>
          <w:sz w:val="21"/>
        </w:rPr>
        <w:t>on ne dit pas « le site appelle la base ». Le client n'a jamais accès à la base. Il appelle une API, et c'est le serveur qui interroge la base. C'est la séparation qu'un jury attend de vous.</w:t>
      </w:r>
    </w:p>
    <w:p>
      <w:pPr>
        <w:spacing w:before="260" w:after="60"/>
      </w:pPr>
      <w:r>
        <w:rPr>
          <w:b/>
          <w:color w:val="C0392B"/>
          <w:sz w:val="24"/>
        </w:rPr>
        <w:t>1.2 Pourquoi Laravel 11 (le backend)</w:t>
      </w:r>
    </w:p>
    <w:p>
      <w:pPr>
        <w:spacing w:after="100"/>
        <w:ind w:left="0"/>
        <w:jc w:val="both"/>
      </w:pPr>
      <w:r>
        <w:rPr>
          <w:sz w:val="21"/>
        </w:rPr>
        <w:t>Laravel est un framework PHP. On l'a choisi pour trois raisons concrètes.</w:t>
      </w:r>
    </w:p>
    <w:p>
      <w:pPr>
        <w:spacing w:after="60"/>
        <w:ind w:left="283"/>
      </w:pPr>
      <w:r>
        <w:rPr>
          <w:sz w:val="21"/>
        </w:rPr>
        <w:t>• Il fournit d'emblée ce qu'on aurait dû écrire à la main : routage, validation des données entrantes, hachage des mots de passe, migrations de base de données, système de middlewares et de politiques d'autorisation.</w:t>
      </w:r>
    </w:p>
    <w:p>
      <w:pPr>
        <w:spacing w:after="60"/>
        <w:ind w:left="283"/>
      </w:pPr>
      <w:r>
        <w:rPr>
          <w:sz w:val="21"/>
        </w:rPr>
        <w:t>• Son ORM, Eloquent, permet de manipuler les tables comme des objets PHP. On écrit $ressource-&gt;matiere-&gt;niveau-&gt;filiere au lieu de trois jointures SQL.</w:t>
      </w:r>
    </w:p>
    <w:p>
      <w:pPr>
        <w:spacing w:after="60"/>
        <w:ind w:left="283"/>
      </w:pPr>
      <w:r>
        <w:rPr>
          <w:sz w:val="21"/>
        </w:rPr>
        <w:t>• PHP est massivement disponible en hébergement mutualisé africain, donc peu coûteux à déployer — un critère réel pour l'AFI.</w:t>
      </w:r>
    </w:p>
    <w:p>
      <w:pPr>
        <w:spacing w:after="140"/>
        <w:ind w:left="227"/>
      </w:pPr>
      <w:r>
        <w:rPr>
          <w:b/>
          <w:color w:val="C0392B"/>
          <w:sz w:val="21"/>
        </w:rPr>
        <w:t xml:space="preserve">À dire : </w:t>
      </w:r>
      <w:r>
        <w:rPr>
          <w:i/>
          <w:sz w:val="21"/>
        </w:rPr>
        <w:t>« J'ai choisi Laravel parce qu'il fournit nativement les briques de sécurité et de persistance dont j'avais besoin — authentification, validation, migrations, politiques d'accès — ce qui m'a permis de concentrer l'effort sur la logique métier plutôt que sur la plomberie. »</w:t>
      </w:r>
    </w:p>
    <w:p>
      <w:pPr>
        <w:spacing w:before="260" w:after="60"/>
      </w:pPr>
      <w:r>
        <w:rPr>
          <w:b/>
          <w:color w:val="C0392B"/>
          <w:sz w:val="24"/>
        </w:rPr>
        <w:t>1.3 Pourquoi une API REST</w:t>
      </w:r>
    </w:p>
    <w:p>
      <w:pPr>
        <w:spacing w:after="100"/>
        <w:ind w:left="0"/>
        <w:jc w:val="both"/>
      </w:pPr>
      <w:r>
        <w:rPr>
          <w:sz w:val="21"/>
        </w:rPr>
        <w:t>REST est un style d'architecture formalisé par Roy Fielding en 2000 dans sa thèse. Le principe qu'il faut retenir et savoir énoncer : le serveur est sans état (stateless). Chaque requête contient tout ce qu'il faut pour être traitée — notamment le jeton d'authentification — et le serveur ne garde aucune mémoire entre deux requêtes.</w:t>
      </w:r>
    </w:p>
    <w:p>
      <w:pPr>
        <w:spacing w:after="100"/>
        <w:ind w:left="0"/>
        <w:jc w:val="both"/>
      </w:pPr>
      <w:r>
        <w:rPr>
          <w:sz w:val="21"/>
        </w:rPr>
        <w:t>La conséquence pratique pour ce projet est décisive : le site web et l'application mobile consomment exactement la même API. Aucune logique métier n'est dupliquée. Si je change la règle d'accès côté serveur, les deux clients en héritent immédiatement.</w:t>
      </w:r>
    </w:p>
    <w:p>
      <w:pPr>
        <w:spacing w:after="120"/>
        <w:ind w:left="227"/>
      </w:pPr>
      <w:r>
        <w:rPr>
          <w:b/>
          <w:color w:val="146C43"/>
          <w:sz w:val="21"/>
        </w:rPr>
        <w:t xml:space="preserve">Vocabulaire : </w:t>
      </w:r>
      <w:r>
        <w:rPr>
          <w:sz w:val="21"/>
        </w:rPr>
        <w:t>une route REST se lit « verbe + ressource ». GET /api/ressources = lire la liste. POST /api/ressources = créer. GET /api/ressources/12 = lire l'élément 12. DELETE /api/ressources/12 = supprimer.</w:t>
      </w:r>
    </w:p>
    <w:p>
      <w:pPr>
        <w:spacing w:before="260" w:after="60"/>
      </w:pPr>
      <w:r>
        <w:rPr>
          <w:b/>
          <w:color w:val="C0392B"/>
          <w:sz w:val="24"/>
        </w:rPr>
        <w:t>1.4 Pourquoi React + Vite (le web)</w:t>
      </w:r>
    </w:p>
    <w:p>
      <w:pPr>
        <w:spacing w:after="100"/>
        <w:ind w:left="0"/>
        <w:jc w:val="both"/>
      </w:pPr>
      <w:r>
        <w:rPr>
          <w:sz w:val="21"/>
        </w:rPr>
        <w:t>React construit l'interface sous forme de composants réutilisables. Vite est l'outil qui compile et sert ces composants. L'ensemble produit une SPA — Single Page Application : la page ne se recharge jamais entièrement, seules les zones concernées sont mises à jour, ce qui donne une navigation fluide même sur une connexion lente.</w:t>
      </w:r>
    </w:p>
    <w:p>
      <w:pPr>
        <w:spacing w:before="260" w:after="60"/>
      </w:pPr>
      <w:r>
        <w:rPr>
          <w:b/>
          <w:color w:val="C0392B"/>
          <w:sz w:val="24"/>
        </w:rPr>
        <w:t>1.5 Pourquoi React Native / Expo (le mobile)</w:t>
      </w:r>
    </w:p>
    <w:p>
      <w:pPr>
        <w:spacing w:after="100"/>
        <w:ind w:left="0"/>
        <w:jc w:val="both"/>
      </w:pPr>
      <w:r>
        <w:rPr>
          <w:sz w:val="21"/>
        </w:rPr>
        <w:t>React Native permet d'écrire l'application mobile dans le même langage que le web (JavaScript) et avec la même logique de composants. Expo simplifie la compilation et la distribution de l'APK Android.</w:t>
      </w:r>
    </w:p>
    <w:p>
      <w:pPr>
        <w:spacing w:after="100"/>
        <w:ind w:left="0"/>
        <w:jc w:val="both"/>
      </w:pPr>
      <w:r>
        <w:rPr>
          <w:sz w:val="21"/>
        </w:rPr>
        <w:t>L'argument à donner est celui de l'économie de moyens : un développeur unique ne pouvait pas maintenir une application Android native en Kotlin et une application web en JavaScript. React Native permet de mutualiser les compétences et une partie du code.</w:t>
      </w:r>
    </w:p>
    <w:p>
      <w:pPr>
        <w:spacing w:before="260" w:after="60"/>
      </w:pPr>
      <w:r>
        <w:rPr>
          <w:b/>
          <w:color w:val="C0392B"/>
          <w:sz w:val="24"/>
        </w:rPr>
        <w:t>1.6 Pourquoi MySQL 8</w:t>
      </w:r>
    </w:p>
    <w:p>
      <w:pPr>
        <w:spacing w:after="100"/>
        <w:ind w:left="0"/>
        <w:jc w:val="both"/>
      </w:pPr>
      <w:r>
        <w:rPr>
          <w:sz w:val="21"/>
        </w:rPr>
        <w:t>MySQL est un SGBD relationnel. « Relationnel » signifie que les données sont réparties en tables reliées entre elles par des clés étrangères, avec des contraintes garanties par la base elle-même.</w:t>
      </w:r>
    </w:p>
    <w:p>
      <w:pPr>
        <w:spacing w:after="100"/>
        <w:ind w:left="0"/>
        <w:jc w:val="both"/>
      </w:pPr>
      <w:r>
        <w:rPr>
          <w:sz w:val="21"/>
        </w:rPr>
        <w:t>Ce choix découle directement de la nature des données : une ressource appartient à une matière, qui appartient à un niveau, qui appartient à une filière. Cette hiérarchie stricte est exactement ce qu'un modèle relationnel sait exprimer et faire respecter. Une base NoSQL orientée documents aurait laissé cette cohérence à la charge du code applicatif.</w:t>
      </w:r>
    </w:p>
    <w:p>
      <w:pPr>
        <w:spacing w:before="260" w:after="60"/>
      </w:pPr>
      <w:r>
        <w:rPr>
          <w:b/>
          <w:color w:val="C0392B"/>
          <w:sz w:val="24"/>
        </w:rPr>
        <w:t>1.7 Pourquoi Laravel Sanctum (l'authentification)</w:t>
      </w:r>
    </w:p>
    <w:p>
      <w:pPr>
        <w:spacing w:after="100"/>
        <w:ind w:left="0"/>
        <w:jc w:val="both"/>
      </w:pPr>
      <w:r>
        <w:rPr>
          <w:sz w:val="21"/>
        </w:rPr>
        <w:t>Sanctum délivre un jeton (token) à la connexion. Le client le renvoie ensuite dans l'en-tête Authorization de chaque requête, sous la forme « Bearer &lt;jeton&gt; ».</w:t>
      </w:r>
    </w:p>
    <w:p>
      <w:pPr>
        <w:spacing w:after="100"/>
        <w:ind w:left="0"/>
        <w:jc w:val="both"/>
      </w:pPr>
      <w:r>
        <w:rPr>
          <w:sz w:val="21"/>
        </w:rPr>
        <w:t>Pourquoi Sanctum plutôt qu'une session classique : une session repose sur un cookie et suppose un serveur qui se souvient — incompatible avec une API sans état consommée par une application mobile. Pourquoi Sanctum plutôt que JWT : le jeton Sanctum est opaque et stocké en base, donc révocable instantanément. Un JWT reste valide jusqu'à son expiration, même après une déconnexion.</w:t>
      </w:r>
    </w:p>
    <w:p>
      <w:pPr>
        <w:spacing w:after="140"/>
        <w:ind w:left="227"/>
      </w:pPr>
      <w:r>
        <w:rPr>
          <w:b/>
          <w:color w:val="C0392B"/>
          <w:sz w:val="21"/>
        </w:rPr>
        <w:t xml:space="preserve">À dire : </w:t>
      </w:r>
      <w:r>
        <w:rPr>
          <w:i/>
          <w:sz w:val="21"/>
        </w:rPr>
        <w:t>« Le jeton Sanctum est stocké côté serveur, ce qui me permet de le révoquer immédiatement — à la déconnexion, ou lorsque l'utilisateur déconnecte ses autres appareils. C'est ce que ne permet pas un JWT auto-porteur. »</w:t>
      </w:r>
    </w:p>
    <w:p>
      <w:pPr>
        <w:spacing w:before="260" w:after="60"/>
      </w:pPr>
      <w:r>
        <w:rPr>
          <w:b/>
          <w:color w:val="C0392B"/>
          <w:sz w:val="24"/>
        </w:rPr>
        <w:t>1.8 Pourquoi SQLite embarquée sur le mobile</w:t>
      </w:r>
    </w:p>
    <w:p>
      <w:pPr>
        <w:spacing w:after="100"/>
        <w:ind w:left="0"/>
        <w:jc w:val="both"/>
      </w:pPr>
      <w:r>
        <w:rPr>
          <w:sz w:val="21"/>
        </w:rPr>
        <w:t>SQLite est une base relationnelle contenue dans un simple fichier, embarquée dans l'application. Elle ne nécessite aucun serveur.</w:t>
      </w:r>
    </w:p>
    <w:p>
      <w:pPr>
        <w:spacing w:after="100"/>
        <w:ind w:left="0"/>
        <w:jc w:val="both"/>
      </w:pPr>
      <w:r>
        <w:rPr>
          <w:sz w:val="21"/>
        </w:rPr>
        <w:t>Le raisonnement à tenir : le besoin est de consulter les ressources sans réseau. Un stockage clé-valeur comme AsyncStorage aurait suffi à conserver des fichiers, mais pas à les interroger. Or il faut pouvoir filtrer par filière, par niveau, par matière et rechercher par mot-clé — hors ligne. Seule une base relationnelle locale le permet, en reproduisant côté mobile la même logique de requête que le serveur.</w:t>
      </w:r>
    </w:p>
    <w:p>
      <w:pPr>
        <w:spacing w:after="120"/>
        <w:ind w:left="227"/>
      </w:pPr>
      <w:r>
        <w:rPr>
          <w:b/>
          <w:color w:val="146C43"/>
          <w:sz w:val="21"/>
        </w:rPr>
        <w:t xml:space="preserve">Précision à donner spontanément : </w:t>
      </w:r>
      <w:r>
        <w:rPr>
          <w:sz w:val="21"/>
        </w:rPr>
        <w:t>la base locale stocke les métadonnées — titre, type, matière, chemin. Le fichier lui-même est enregistré sur le système de fichiers de l'appareil ; la base ne garde que son chemin d'accès.</w:t>
      </w:r>
    </w:p>
    <w:p>
      <w:pPr>
        <w:spacing w:before="260" w:after="60"/>
      </w:pPr>
      <w:r>
        <w:rPr>
          <w:b/>
          <w:color w:val="C0392B"/>
          <w:sz w:val="24"/>
        </w:rPr>
        <w:t>1.9 Pourquoi un monolithe et non des microservices</w:t>
      </w:r>
    </w:p>
    <w:p>
      <w:pPr>
        <w:spacing w:after="100"/>
        <w:ind w:left="0"/>
        <w:jc w:val="both"/>
      </w:pPr>
      <w:r>
        <w:rPr>
          <w:sz w:val="21"/>
        </w:rPr>
        <w:t>C'est une question classique de jury. La réponse s'appuie sur Newman (2015), qui recommande lui-même de commencer par un monolithe bien structuré.</w:t>
      </w:r>
    </w:p>
    <w:p>
      <w:pPr>
        <w:spacing w:after="100"/>
        <w:ind w:left="0"/>
        <w:jc w:val="both"/>
      </w:pPr>
      <w:r>
        <w:rPr>
          <w:sz w:val="21"/>
        </w:rPr>
        <w:t>Les microservices résolvent un problème d'organisation — permettre à plusieurs équipes de déployer indépendamment — au prix d'une complexité forte : communication réseau entre services, cohérence des données distribuée, supervision. Ce problème n'existe pas ici : un seul développeur, un seul déploiement, quelques centaines d'utilisateurs. Adopter des microservices aurait ajouté tous les inconvénients sans aucun des bénéfices.</w:t>
      </w:r>
    </w:p>
    <w:p>
      <w:pPr>
        <w:spacing w:after="140"/>
        <w:ind w:left="227"/>
      </w:pPr>
      <w:r>
        <w:rPr>
          <w:b/>
          <w:color w:val="C0392B"/>
          <w:sz w:val="21"/>
        </w:rPr>
        <w:t xml:space="preserve">À dire : </w:t>
      </w:r>
      <w:r>
        <w:rPr>
          <w:i/>
          <w:sz w:val="21"/>
        </w:rPr>
        <w:t>« J'ai retenu un monolithe structuré en couches — routes, middlewares, contrôleurs, politiques, modèles. Newman rappelle que la découpe en microservices répond à une contrainte organisationnelle que ce projet n'a pas. Le découpage existe donc, mais à l'intérieur du monolithe. »</w:t>
      </w:r>
    </w:p>
    <w:p>
      <w:pPr>
        <w:spacing w:before="400" w:after="120"/>
      </w:pPr>
      <w:r>
        <w:rPr>
          <w:b/>
          <w:color w:val="14213D"/>
          <w:sz w:val="30"/>
        </w:rPr>
        <w:t>PARTIE 2 — LA MODÉLISATION</w:t>
      </w:r>
    </w:p>
    <w:p>
      <w:pPr>
        <w:spacing w:before="260" w:after="60"/>
      </w:pPr>
      <w:r>
        <w:rPr>
          <w:b/>
          <w:color w:val="C0392B"/>
          <w:sz w:val="24"/>
        </w:rPr>
        <w:t>2.1 Modéliser : de quoi parle-t-on exactement ?</w:t>
      </w:r>
    </w:p>
    <w:p>
      <w:pPr>
        <w:spacing w:after="100"/>
        <w:ind w:left="0"/>
        <w:jc w:val="both"/>
      </w:pPr>
      <w:r>
        <w:rPr>
          <w:sz w:val="21"/>
        </w:rPr>
        <w:t>Modéliser, c'est représenter le domaine — le monde réel du problème — sous une forme que la machine pourra manipuler. On identifie les concepts qui existent dans la réalité de l'AFI (une filière, un cours, un étudiant), on précise ce qui les caractérise, et surtout comment ils sont reliés.</w:t>
      </w:r>
    </w:p>
    <w:p>
      <w:pPr>
        <w:spacing w:after="100"/>
        <w:ind w:left="0"/>
        <w:jc w:val="both"/>
      </w:pPr>
      <w:r>
        <w:rPr>
          <w:sz w:val="21"/>
        </w:rPr>
        <w:t>Le modèle précède le code : il sert de contrat entre la compréhension du besoin et l'implémentation. C'est pourquoi le chapitre III présente les diagrammes avant de parler de développement.</w:t>
      </w:r>
    </w:p>
    <w:p>
      <w:pPr>
        <w:spacing w:after="100"/>
        <w:ind w:left="0"/>
        <w:jc w:val="both"/>
      </w:pPr>
      <w:r>
        <w:rPr>
          <w:sz w:val="21"/>
        </w:rPr>
        <w:t>On a utilisé UML, langage normalisé qui donne à chaque symbole un sens partagé. Un jury doit pouvoir lire vos diagrammes sans vos explications.</w:t>
      </w:r>
    </w:p>
    <w:p>
      <w:pPr>
        <w:spacing w:before="260" w:after="60"/>
      </w:pPr>
      <w:r>
        <w:rPr>
          <w:b/>
          <w:color w:val="C0392B"/>
          <w:sz w:val="24"/>
        </w:rPr>
        <w:t>2.2 Comment on a trouvé les entités : la démarche, pas l'intuition</w:t>
      </w:r>
    </w:p>
    <w:p>
      <w:pPr>
        <w:spacing w:after="100"/>
        <w:ind w:left="0"/>
        <w:jc w:val="both"/>
      </w:pPr>
      <w:r>
        <w:rPr>
          <w:sz w:val="21"/>
        </w:rPr>
        <w:t>C'est la question la plus probable, et il faut montrer une méthode, pas un choix arbitraire.</w:t>
      </w:r>
    </w:p>
    <w:p>
      <w:pPr>
        <w:spacing w:after="100"/>
        <w:ind w:left="0"/>
        <w:jc w:val="both"/>
      </w:pPr>
      <w:r>
        <w:rPr>
          <w:sz w:val="21"/>
        </w:rPr>
        <w:t>La méthode classique consiste à repérer les substantifs du domaine dans l'expression du besoin, puis à écarter ceux qui ne sont que des attributs ou des états. Le diagnostic du chapitre II donnait la phrase suivante : « les étudiants d'une filière et d'un niveau doivent accéder aux ressources de leurs matières, déposées par leur délégué, et pouvoir les commenter ».</w:t>
      </w:r>
    </w:p>
    <w:p>
      <w:pPr>
        <w:spacing w:after="100"/>
        <w:ind w:left="0"/>
        <w:jc w:val="both"/>
      </w:pPr>
      <w:r>
        <w:rPr>
          <w:sz w:val="21"/>
        </w:rPr>
        <w:t>Les substantifs candidats sont : étudiant, filière, niveau, ressource, matière, délégué, commentaire. On les qualifie ensuite un par un.</w:t>
      </w:r>
    </w:p>
    <w:p>
      <w:pPr>
        <w:spacing w:after="60"/>
        <w:ind w:left="283"/>
      </w:pPr>
      <w:r>
        <w:rPr>
          <w:sz w:val="21"/>
        </w:rPr>
        <w:t>• Filière, Niveau, Matiere, Ressource, Commentaire — chacun a une existence propre, une identité et une durée de vie indépendante. Ce sont des classes.</w:t>
      </w:r>
    </w:p>
    <w:p>
      <w:pPr>
        <w:spacing w:after="60"/>
        <w:ind w:left="283"/>
      </w:pPr>
      <w:r>
        <w:rPr>
          <w:sz w:val="21"/>
        </w:rPr>
        <w:t>• Étudiant, Délégué, Administrateur — ce sont trois façons d'être un utilisateur, pas trois natures différentes. On en fait une seule classe User avec un attribut role. Créer trois classes aurait dupliqué nom, e-mail et mot de passe.</w:t>
      </w:r>
    </w:p>
    <w:p>
      <w:pPr>
        <w:spacing w:after="60"/>
        <w:ind w:left="283"/>
      </w:pPr>
      <w:r>
        <w:rPr>
          <w:sz w:val="21"/>
        </w:rPr>
        <w:t>• Semestre — c'est une caractéristique d'une matière, pas une chose autonome. Il devient un attribut de Matiere.</w:t>
      </w:r>
    </w:p>
    <w:p>
      <w:pPr>
        <w:spacing w:after="60"/>
        <w:ind w:left="283"/>
      </w:pPr>
      <w:r>
        <w:rPr>
          <w:sz w:val="21"/>
        </w:rPr>
        <w:t>• Année académique — à l'inverse, elle a une existence propre : elle porte un libellé, on la déclare courante, elle survit aux ressources. C'est une classe.</w:t>
      </w:r>
    </w:p>
    <w:p>
      <w:pPr>
        <w:spacing w:after="140"/>
        <w:ind w:left="227"/>
      </w:pPr>
      <w:r>
        <w:rPr>
          <w:b/>
          <w:color w:val="C0392B"/>
          <w:sz w:val="21"/>
        </w:rPr>
        <w:t xml:space="preserve">À dire : </w:t>
      </w:r>
      <w:r>
        <w:rPr>
          <w:i/>
          <w:sz w:val="21"/>
        </w:rPr>
        <w:t>« J'ai extrait les concepts du domaine à partir de l'énoncé du besoin, puis j'ai appliqué un critère simple : ce qui possède une identité propre et une durée de vie autonome devient une classe ; ce qui ne fait que qualifier autre chose devient un attribut. C'est ce qui m'a fait retenir AnneeAcademique comme classe et laisser le semestre en attribut de Matiere. »</w:t>
      </w:r>
    </w:p>
    <w:p>
      <w:pPr>
        <w:spacing w:before="260" w:after="60"/>
      </w:pPr>
      <w:r>
        <w:rPr>
          <w:b/>
          <w:color w:val="C0392B"/>
          <w:sz w:val="24"/>
        </w:rPr>
        <w:t>2.3 L'ossature : la hiérarchie pédagogique</w:t>
      </w:r>
    </w:p>
    <w:p>
      <w:pPr>
        <w:spacing w:after="100"/>
        <w:ind w:left="0"/>
        <w:jc w:val="both"/>
      </w:pPr>
      <w:r>
        <w:rPr>
          <w:sz w:val="21"/>
        </w:rPr>
        <w:t>Quatre classes forment le squelette du modèle, et leur ordre est essentiel.</w:t>
      </w:r>
    </w:p>
    <w:p>
      <w:pPr>
        <w:spacing w:after="100"/>
        <w:ind w:left="340"/>
      </w:pPr>
      <w:r>
        <w:rPr>
          <w:rFonts w:ascii="Consolas" w:hAnsi="Consolas"/>
          <w:color w:val="14213D"/>
          <w:sz w:val="19"/>
        </w:rPr>
        <w:t>Filiere  1 ──&lt; 0..*  Niveau  1 ──&lt; 0..*  Matiere  1 ──&lt; 0..*  Ressource</w:t>
      </w:r>
    </w:p>
    <w:p>
      <w:pPr>
        <w:spacing w:after="100"/>
        <w:ind w:left="0"/>
        <w:jc w:val="both"/>
      </w:pPr>
      <w:r>
        <w:rPr>
          <w:sz w:val="21"/>
        </w:rPr>
        <w:t>Une filière contient plusieurs niveaux. Un niveau contient plusieurs matières. Une matière contient plusieurs ressources. La lecture inverse est tout aussi importante : une ressource appartient à une seule matière, qui appartient à un seul niveau, qui appartient à une seule filière.</w:t>
      </w:r>
    </w:p>
    <w:p>
      <w:pPr>
        <w:spacing w:after="120"/>
        <w:ind w:left="227"/>
      </w:pPr>
      <w:r>
        <w:rPr>
          <w:b/>
          <w:color w:val="146C43"/>
          <w:sz w:val="21"/>
        </w:rPr>
        <w:t xml:space="preserve">Le point à ne pas rater : </w:t>
      </w:r>
      <w:r>
        <w:rPr>
          <w:sz w:val="21"/>
        </w:rPr>
        <w:t>cette chaîne est ce qui rend la sécurité possible. Une ressource ne stocke pas sa filière ; on la déduit en remontant matiere → niveau → filiere. L'information n'est donc écrite qu'à un seul endroit, et ne peut pas devenir incohérente.</w:t>
      </w:r>
    </w:p>
    <w:p>
      <w:pPr>
        <w:spacing w:before="260" w:after="60"/>
      </w:pPr>
      <w:r>
        <w:rPr>
          <w:b/>
          <w:color w:val="C0392B"/>
          <w:sz w:val="24"/>
        </w:rPr>
        <w:t>2.4 L'attribut le plus important du modèle : Niveau.ordre</w:t>
      </w:r>
    </w:p>
    <w:p>
      <w:pPr>
        <w:spacing w:after="100"/>
        <w:ind w:left="0"/>
        <w:jc w:val="both"/>
      </w:pPr>
      <w:r>
        <w:rPr>
          <w:sz w:val="21"/>
        </w:rPr>
        <w:t>Le niveau porte un attribut numérique nommé ordre : L1 vaut 1, L2 vaut 2, jusqu'à M2 qui vaut 5.</w:t>
      </w:r>
    </w:p>
    <w:p>
      <w:pPr>
        <w:spacing w:after="100"/>
        <w:ind w:left="0"/>
        <w:jc w:val="both"/>
      </w:pPr>
      <w:r>
        <w:rPr>
          <w:sz w:val="21"/>
        </w:rPr>
        <w:t>Sans lui, la règle « accéder à son niveau et aux niveaux inférieurs » serait impossible à écrire : comparer les chaînes « M1 » et « L3 » n'a aucun sens pour une base de données. Avec ordre, la règle devient une simple comparaison numérique.</w:t>
      </w:r>
    </w:p>
    <w:p>
      <w:pPr>
        <w:spacing w:after="100"/>
        <w:ind w:left="340"/>
      </w:pPr>
      <w:r>
        <w:rPr>
          <w:rFonts w:ascii="Consolas" w:hAnsi="Consolas"/>
          <w:color w:val="14213D"/>
          <w:sz w:val="19"/>
        </w:rPr>
        <w:t>étudiant en M1 (ordre = 4)</w:t>
        <w:br/>
        <w:t>→ voit toutes les ressources dont niveau.ordre &lt;= 4</w:t>
        <w:br/>
        <w:t>→ donc L1, L2, L3, M1 — mais pas M2 (ordre 5)</w:t>
      </w:r>
    </w:p>
    <w:p>
      <w:pPr>
        <w:spacing w:after="140"/>
        <w:ind w:left="227"/>
      </w:pPr>
      <w:r>
        <w:rPr>
          <w:b/>
          <w:color w:val="C0392B"/>
          <w:sz w:val="21"/>
        </w:rPr>
        <w:t xml:space="preserve">À dire : </w:t>
      </w:r>
      <w:r>
        <w:rPr>
          <w:i/>
          <w:sz w:val="21"/>
        </w:rPr>
        <w:t>« J'ai introduit un attribut ordre sur le niveau pour rendre la hiérarchie calculable. C'est lui qui transforme une règle pédagogique en condition SQL. »</w:t>
      </w:r>
    </w:p>
    <w:p>
      <w:pPr>
        <w:spacing w:before="260" w:after="60"/>
      </w:pPr>
      <w:r>
        <w:rPr>
          <w:b/>
          <w:color w:val="C0392B"/>
          <w:sz w:val="24"/>
        </w:rPr>
        <w:t>2.5 Les douze classes du domaine, une par une</w:t>
      </w:r>
    </w:p>
    <w:p>
      <w:pPr>
        <w:spacing w:after="80"/>
        <w:ind w:left="227"/>
      </w:pPr>
      <w:r>
        <w:rPr>
          <w:b/>
          <w:color w:val="14213D"/>
          <w:sz w:val="21"/>
        </w:rPr>
        <w:t xml:space="preserve">User — </w:t>
      </w:r>
      <w:r>
        <w:rPr>
          <w:sz w:val="21"/>
        </w:rPr>
        <w:t>La classe centrale de l'authentification. Attributs : nom, e-mail (identifiant généré), mot de passe haché en bcrypt, role (admin, delegue ou etudiant), filiere_id et niveau_id qui déterminent le périmètre d'accès, plus contact_email pour l'e-mail de sécurité et expo_push_token pour les notifications mobiles.</w:t>
      </w:r>
    </w:p>
    <w:p>
      <w:pPr>
        <w:spacing w:after="80"/>
        <w:ind w:left="227"/>
      </w:pPr>
      <w:r>
        <w:rPr>
          <w:b/>
          <w:color w:val="14213D"/>
          <w:sz w:val="21"/>
        </w:rPr>
        <w:t xml:space="preserve">Filiere — </w:t>
      </w:r>
      <w:r>
        <w:rPr>
          <w:sz w:val="21"/>
        </w:rPr>
        <w:t>Le sommet de la hiérarchie. Attributs : code (GL, MAI…), nom complet, couleur — utilisée pour le badge visuel qui identifie l'origine d'une ressource dans les listes.</w:t>
      </w:r>
    </w:p>
    <w:p>
      <w:pPr>
        <w:spacing w:after="80"/>
        <w:ind w:left="227"/>
      </w:pPr>
      <w:r>
        <w:rPr>
          <w:b/>
          <w:color w:val="14213D"/>
          <w:sz w:val="21"/>
        </w:rPr>
        <w:t xml:space="preserve">Niveau — </w:t>
      </w:r>
      <w:r>
        <w:rPr>
          <w:sz w:val="21"/>
        </w:rPr>
        <w:t>L'année d'études au sein d'une filière. Attributs : nom (L3, M1, M2) et surtout ordre, qui rend la hiérarchie comparable.</w:t>
      </w:r>
    </w:p>
    <w:p>
      <w:pPr>
        <w:spacing w:after="80"/>
        <w:ind w:left="227"/>
      </w:pPr>
      <w:r>
        <w:rPr>
          <w:b/>
          <w:color w:val="14213D"/>
          <w:sz w:val="21"/>
        </w:rPr>
        <w:t xml:space="preserve">Matiere — </w:t>
      </w:r>
      <w:r>
        <w:rPr>
          <w:sz w:val="21"/>
        </w:rPr>
        <w:t>L'enseignement rattaché à un niveau. Attributs : nom, semestre (S1 à S6) et enseignant — ce dernier sert au dispositif d'évaluation.</w:t>
      </w:r>
    </w:p>
    <w:p>
      <w:pPr>
        <w:spacing w:after="80"/>
        <w:ind w:left="227"/>
      </w:pPr>
      <w:r>
        <w:rPr>
          <w:b/>
          <w:color w:val="14213D"/>
          <w:sz w:val="21"/>
        </w:rPr>
        <w:t xml:space="preserve">Ressource — </w:t>
      </w:r>
      <w:r>
        <w:rPr>
          <w:sz w:val="21"/>
        </w:rPr>
        <w:t>Le cœur du système. Attributs : titre, description, type_fichier, chemin_fichier, taille_fichier, et trois clés étrangères — matiere_id, user_id (le déposant) et annee_academique_id. Aucun attribut statut : c'est volontaire.</w:t>
      </w:r>
    </w:p>
    <w:p>
      <w:pPr>
        <w:spacing w:after="80"/>
        <w:ind w:left="227"/>
      </w:pPr>
      <w:r>
        <w:rPr>
          <w:b/>
          <w:color w:val="14213D"/>
          <w:sz w:val="21"/>
        </w:rPr>
        <w:t xml:space="preserve">Commentaire — </w:t>
      </w:r>
      <w:r>
        <w:rPr>
          <w:sz w:val="21"/>
        </w:rPr>
        <w:t>L'interaction sociale autour d'une ressource. Attributs : contenu, ressource_id, user_id. L'accès est borné côté serveur au périmètre de la ressource.</w:t>
      </w:r>
    </w:p>
    <w:p>
      <w:pPr>
        <w:spacing w:after="80"/>
        <w:ind w:left="227"/>
      </w:pPr>
      <w:r>
        <w:rPr>
          <w:b/>
          <w:color w:val="14213D"/>
          <w:sz w:val="21"/>
        </w:rPr>
        <w:t xml:space="preserve">AnneeAcademique — </w:t>
      </w:r>
      <w:r>
        <w:rPr>
          <w:sz w:val="21"/>
        </w:rPr>
        <w:t>Le référentiel des années. Attributs : libelle (2025-2026) et est_courante. Permet d'archiver et de filtrer par année.</w:t>
      </w:r>
    </w:p>
    <w:p>
      <w:pPr>
        <w:spacing w:after="80"/>
        <w:ind w:left="227"/>
      </w:pPr>
      <w:r>
        <w:rPr>
          <w:b/>
          <w:color w:val="14213D"/>
          <w:sz w:val="21"/>
        </w:rPr>
        <w:t xml:space="preserve">Evaluation — </w:t>
      </w:r>
      <w:r>
        <w:rPr>
          <w:sz w:val="21"/>
        </w:rPr>
        <w:t>L'évaluation d'un enseignement. Attributs : note, reponses (le détail de la grille), semestre, enseignant, module_nom, et cinq clés étrangères. L'identité de l'étudiant est conservée pour empêcher un double vote — le dispositif est donc pseudonymisé, pas anonyme.</w:t>
      </w:r>
    </w:p>
    <w:p>
      <w:pPr>
        <w:spacing w:after="80"/>
        <w:ind w:left="227"/>
      </w:pPr>
      <w:r>
        <w:rPr>
          <w:b/>
          <w:color w:val="14213D"/>
          <w:sz w:val="21"/>
        </w:rPr>
        <w:t xml:space="preserve">ClassMessage — </w:t>
      </w:r>
      <w:r>
        <w:rPr>
          <w:sz w:val="21"/>
        </w:rPr>
        <w:t>L'espace d'échange réservé aux membres d'une même classe. Attributs : contenu, niveau_id, user_id.</w:t>
      </w:r>
    </w:p>
    <w:p>
      <w:pPr>
        <w:spacing w:after="80"/>
        <w:ind w:left="227"/>
      </w:pPr>
      <w:r>
        <w:rPr>
          <w:b/>
          <w:color w:val="14213D"/>
          <w:sz w:val="21"/>
        </w:rPr>
        <w:t xml:space="preserve">Post — </w:t>
      </w:r>
      <w:r>
        <w:rPr>
          <w:sz w:val="21"/>
        </w:rPr>
        <w:t>L'annonce publiée dans l'espace commun. Attributs : contenu, image, et un ciblage possible par filières et niveaux via des tables pivots.</w:t>
      </w:r>
    </w:p>
    <w:p>
      <w:pPr>
        <w:spacing w:after="80"/>
        <w:ind w:left="227"/>
      </w:pPr>
      <w:r>
        <w:rPr>
          <w:b/>
          <w:color w:val="14213D"/>
          <w:sz w:val="21"/>
        </w:rPr>
        <w:t xml:space="preserve">PostComment — </w:t>
      </w:r>
      <w:r>
        <w:rPr>
          <w:sz w:val="21"/>
        </w:rPr>
        <w:t>Le commentaire attaché à une annonce, sur le même principe que Commentaire.</w:t>
      </w:r>
    </w:p>
    <w:p>
      <w:pPr>
        <w:spacing w:after="80"/>
        <w:ind w:left="227"/>
      </w:pPr>
      <w:r>
        <w:rPr>
          <w:b/>
          <w:color w:val="14213D"/>
          <w:sz w:val="21"/>
        </w:rPr>
        <w:t xml:space="preserve">Schedule — </w:t>
      </w:r>
      <w:r>
        <w:rPr>
          <w:sz w:val="21"/>
        </w:rPr>
        <w:t>L'emploi du temps d'une classe, publié sous forme de fichier. Attributs : scope, titre, chemin_fichier, niveau_id et updated_by.</w:t>
      </w:r>
    </w:p>
    <w:p>
      <w:pPr>
        <w:spacing w:after="100"/>
        <w:ind w:left="0"/>
        <w:jc w:val="both"/>
      </w:pPr>
      <w:r>
        <w:rPr>
          <w:sz w:val="21"/>
        </w:rPr>
        <w:t>Deux classes techniques complètent l'ensemble sans figurer dans le diagramme métier : Activite (le journal des consultations et téléchargements, qui distingue web et mobile) et TrustedDevice (les appareils de confiance pour la double authentification).</w:t>
      </w:r>
    </w:p>
    <w:p>
      <w:pPr>
        <w:spacing w:before="260" w:after="60"/>
      </w:pPr>
      <w:r>
        <w:rPr>
          <w:b/>
          <w:color w:val="C0392B"/>
          <w:sz w:val="24"/>
        </w:rPr>
        <w:t>2.6 Lire les relations Eloquent sans se tromper</w:t>
      </w:r>
    </w:p>
    <w:p>
      <w:pPr>
        <w:spacing w:after="100"/>
        <w:ind w:left="0"/>
        <w:jc w:val="both"/>
      </w:pPr>
      <w:r>
        <w:rPr>
          <w:sz w:val="21"/>
        </w:rPr>
        <w:t>Trois mots suffisent, et la règle pour les distinguer est simple : la clé étrangère est du côté du belongsTo.</w:t>
      </w:r>
    </w:p>
    <w:p>
      <w:pPr>
        <w:spacing w:after="60"/>
        <w:ind w:left="283"/>
      </w:pPr>
      <w:r>
        <w:rPr>
          <w:sz w:val="21"/>
        </w:rPr>
        <w:t>• belongsTo — « appartient à ». La table qui porte la clé étrangère. Ressource porte matiere_id, donc Ressource belongsTo Matiere.</w:t>
      </w:r>
    </w:p>
    <w:p>
      <w:pPr>
        <w:spacing w:after="60"/>
        <w:ind w:left="283"/>
      </w:pPr>
      <w:r>
        <w:rPr>
          <w:sz w:val="21"/>
        </w:rPr>
        <w:t>• hasMany — « possède plusieurs ». La lecture inverse. Matiere hasMany Ressource.</w:t>
      </w:r>
    </w:p>
    <w:p>
      <w:pPr>
        <w:spacing w:after="60"/>
        <w:ind w:left="283"/>
      </w:pPr>
      <w:r>
        <w:rPr>
          <w:sz w:val="21"/>
        </w:rPr>
        <w:t>• belongsToMany — « plusieurs à plusieurs ». Nécessite une table intermédiaire, dite pivot. Post belongsToMany Filiere via la table post_filiere, parce qu'une annonce peut viser plusieurs filières et qu'une filière reçoit plusieurs annonces.</w:t>
      </w:r>
    </w:p>
    <w:p>
      <w:pPr>
        <w:spacing w:after="100"/>
        <w:ind w:left="0"/>
        <w:jc w:val="both"/>
      </w:pPr>
      <w:r>
        <w:rPr>
          <w:sz w:val="21"/>
        </w:rPr>
        <w:t>Concrètement, ces méthodes permettent le chaînage :</w:t>
      </w:r>
    </w:p>
    <w:p>
      <w:pPr>
        <w:spacing w:after="100"/>
        <w:ind w:left="340"/>
      </w:pPr>
      <w:r>
        <w:rPr>
          <w:rFonts w:ascii="Consolas" w:hAnsi="Consolas"/>
          <w:color w:val="14213D"/>
          <w:sz w:val="19"/>
        </w:rPr>
        <w:t>$ressource-&gt;matiere-&gt;niveau-&gt;filiere-&gt;code   // → 'GL'</w:t>
        <w:br/>
        <w:t>$matiere-&gt;ressources                        // → toutes les ressources de la matière</w:t>
        <w:br/>
        <w:t>$user-&gt;ressources                           // → celles qu'il a déposées</w:t>
      </w:r>
    </w:p>
    <w:p>
      <w:pPr>
        <w:spacing w:after="120"/>
        <w:ind w:left="227"/>
      </w:pPr>
      <w:r>
        <w:rPr>
          <w:b/>
          <w:color w:val="146C43"/>
          <w:sz w:val="21"/>
        </w:rPr>
        <w:t xml:space="preserve">Question piège fréquente : </w:t>
      </w:r>
      <w:r>
        <w:rPr>
          <w:sz w:val="21"/>
        </w:rPr>
        <w:t>« pourquoi Ressource ne stocke-t-elle pas filiere_id directement ? » Réponse : parce que l'information serait dupliquée. Si une matière changeait de niveau, il faudrait mettre à jour toutes ses ressources, avec un risque d'incohérence. On préfère la déduire par la chaîne de relations. C'est le principe de non-redondance de la normalisation.</w:t>
      </w:r>
    </w:p>
    <w:p>
      <w:pPr>
        <w:spacing w:before="260" w:after="60"/>
      </w:pPr>
      <w:r>
        <w:rPr>
          <w:b/>
          <w:color w:val="C0392B"/>
          <w:sz w:val="24"/>
        </w:rPr>
        <w:t>2.7 Les sept décisions de conception à savoir justifier</w:t>
      </w:r>
    </w:p>
    <w:p>
      <w:pPr>
        <w:spacing w:after="80"/>
        <w:ind w:left="227"/>
      </w:pPr>
      <w:r>
        <w:rPr>
          <w:b/>
          <w:color w:val="14213D"/>
          <w:sz w:val="21"/>
        </w:rPr>
        <w:t xml:space="preserve">Un seul User avec un attribut role — </w:t>
      </w:r>
      <w:r>
        <w:rPr>
          <w:sz w:val="21"/>
        </w:rPr>
        <w:t>Trois classes User auraient dupliqué nom, e-mail, mot de passe. L'attribut role suffit à distinguer les comportements, et simplifie les jointures et l'authentification.</w:t>
      </w:r>
    </w:p>
    <w:p>
      <w:pPr>
        <w:spacing w:after="80"/>
        <w:ind w:left="227"/>
      </w:pPr>
      <w:r>
        <w:rPr>
          <w:b/>
          <w:color w:val="14213D"/>
          <w:sz w:val="21"/>
        </w:rPr>
        <w:t xml:space="preserve">Aucun attribut statut sur Ressource — </w:t>
      </w:r>
      <w:r>
        <w:rPr>
          <w:sz w:val="21"/>
        </w:rPr>
        <w:t>C'est la décision la plus marquante. Sa présence supposerait un circuit de validation. Son absence traduit dans le modèle le choix de la publication directe : une ressource créée est publiée.</w:t>
      </w:r>
    </w:p>
    <w:p>
      <w:pPr>
        <w:spacing w:after="80"/>
        <w:ind w:left="227"/>
      </w:pPr>
      <w:r>
        <w:rPr>
          <w:b/>
          <w:color w:val="14213D"/>
          <w:sz w:val="21"/>
        </w:rPr>
        <w:t xml:space="preserve">Le semestre en attribut, l'année en classe — </w:t>
      </w:r>
      <w:r>
        <w:rPr>
          <w:sz w:val="21"/>
        </w:rPr>
        <w:t>Le semestre qualifie une matière et n'a pas d'existence autonome. L'année académique a un libellé, un état courant, et survit aux ressources qu'elle regroupe.</w:t>
      </w:r>
    </w:p>
    <w:p>
      <w:pPr>
        <w:spacing w:after="80"/>
        <w:ind w:left="227"/>
      </w:pPr>
      <w:r>
        <w:rPr>
          <w:b/>
          <w:color w:val="14213D"/>
          <w:sz w:val="21"/>
        </w:rPr>
        <w:t xml:space="preserve">L'attribut ordre sur Niveau — </w:t>
      </w:r>
      <w:r>
        <w:rPr>
          <w:sz w:val="21"/>
        </w:rPr>
        <w:t>Rend la hiérarchie calculable et donc la règle d'accès exprimable en SQL.</w:t>
      </w:r>
    </w:p>
    <w:p>
      <w:pPr>
        <w:spacing w:after="80"/>
        <w:ind w:left="227"/>
      </w:pPr>
      <w:r>
        <w:rPr>
          <w:b/>
          <w:color w:val="14213D"/>
          <w:sz w:val="21"/>
        </w:rPr>
        <w:t xml:space="preserve">La filière déduite, jamais dupliquée — </w:t>
      </w:r>
      <w:r>
        <w:rPr>
          <w:sz w:val="21"/>
        </w:rPr>
        <w:t>On remonte matiere → niveau → filiere. Une seule source de vérité.</w:t>
      </w:r>
    </w:p>
    <w:p>
      <w:pPr>
        <w:spacing w:after="80"/>
        <w:ind w:left="227"/>
      </w:pPr>
      <w:r>
        <w:rPr>
          <w:b/>
          <w:color w:val="14213D"/>
          <w:sz w:val="21"/>
        </w:rPr>
        <w:t xml:space="preserve">Un délégué rattaché à une classe — </w:t>
      </w:r>
      <w:r>
        <w:rPr>
          <w:sz w:val="21"/>
        </w:rPr>
        <w:t>Le délégué n'est pas délégué « de la filière » mais d'une classe précise, ce qui borne strictement son périmètre de publication.</w:t>
      </w:r>
    </w:p>
    <w:p>
      <w:pPr>
        <w:spacing w:after="80"/>
        <w:ind w:left="227"/>
      </w:pPr>
      <w:r>
        <w:rPr>
          <w:b/>
          <w:color w:val="14213D"/>
          <w:sz w:val="21"/>
        </w:rPr>
        <w:t xml:space="preserve">Deux entités techniques hors diagramme métier — </w:t>
      </w:r>
      <w:r>
        <w:rPr>
          <w:sz w:val="21"/>
        </w:rPr>
        <w:t>Activite et TrustedDevice servent la traçabilité et la sécurité, pas le domaine pédagogique. Les inclure aurait brouillé la lecture du modèle.</w:t>
      </w:r>
    </w:p>
    <w:p>
      <w:pPr>
        <w:spacing w:before="400" w:after="120"/>
      </w:pPr>
      <w:r>
        <w:rPr>
          <w:b/>
          <w:color w:val="14213D"/>
          <w:sz w:val="30"/>
        </w:rPr>
        <w:t>PARTIE 3 — LA RÈGLE D'ACCÈS, LE CŒUR TECHNIQUE</w:t>
      </w:r>
    </w:p>
    <w:p>
      <w:pPr>
        <w:spacing w:after="100"/>
        <w:ind w:left="0"/>
        <w:jc w:val="both"/>
      </w:pPr>
      <w:r>
        <w:rPr>
          <w:sz w:val="21"/>
        </w:rPr>
        <w:t>C'est le mécanisme le plus susceptible d'être creusé par un jury technique, parce qu'il touche à la fois au modèle, à la sécurité et au code.</w:t>
      </w:r>
    </w:p>
    <w:p>
      <w:pPr>
        <w:spacing w:before="260" w:after="60"/>
      </w:pPr>
      <w:r>
        <w:rPr>
          <w:b/>
          <w:color w:val="C0392B"/>
          <w:sz w:val="24"/>
        </w:rPr>
        <w:t>3.1 L'énoncé exact</w:t>
      </w:r>
    </w:p>
    <w:p>
      <w:pPr>
        <w:spacing w:after="100"/>
        <w:ind w:left="0"/>
        <w:jc w:val="both"/>
      </w:pPr>
      <w:r>
        <w:rPr>
          <w:sz w:val="21"/>
        </w:rPr>
        <w:t>Un étudiant ou un délégué accède aux ressources qui remplissent deux conditions simultanées : elles relèvent de SA filière, et leur niveau est inférieur ou égal au sien. L'année académique n'intervient pas dans la restriction — elle ne sert que de filtre facultatif. L'administrateur n'est soumis à aucune restriction.</w:t>
      </w:r>
    </w:p>
    <w:p>
      <w:pPr>
        <w:spacing w:after="100"/>
        <w:ind w:left="340"/>
      </w:pPr>
      <w:r>
        <w:rPr>
          <w:rFonts w:ascii="Consolas" w:hAnsi="Consolas"/>
          <w:color w:val="14213D"/>
          <w:sz w:val="19"/>
        </w:rPr>
        <w:t>filiere_id de la ressource == filiere_id de l'utilisateur</w:t>
        <w:br/>
        <w:t xml:space="preserve">        ET</w:t>
        <w:br/>
        <w:t>niveau.ordre de la ressource &lt;= niveau.ordre de l'utilisateur</w:t>
      </w:r>
    </w:p>
    <w:p>
      <w:pPr>
        <w:spacing w:before="260" w:after="60"/>
      </w:pPr>
      <w:r>
        <w:rPr>
          <w:b/>
          <w:color w:val="C0392B"/>
          <w:sz w:val="24"/>
        </w:rPr>
        <w:t>3.2 Les trois niveaux de protection</w:t>
      </w:r>
    </w:p>
    <w:p>
      <w:pPr>
        <w:spacing w:after="100"/>
        <w:ind w:left="0"/>
        <w:jc w:val="both"/>
      </w:pPr>
      <w:r>
        <w:rPr>
          <w:sz w:val="21"/>
        </w:rPr>
        <w:t>La sécurité n'est pas assurée par un seul mécanisme mais par trois, appliqués successivement. Savoir les nommer et les distinguer fait la différence à l'oral.</w:t>
      </w:r>
    </w:p>
    <w:p>
      <w:pPr>
        <w:spacing w:after="60"/>
        <w:ind w:left="283"/>
      </w:pPr>
      <w:r>
        <w:rPr>
          <w:sz w:val="21"/>
        </w:rPr>
        <w:t>• Le middleware auth:sanctum — vérifie qu'un jeton valide accompagne la requête. Sans jeton : 401 Unauthorized. C'est le test T17.</w:t>
      </w:r>
    </w:p>
    <w:p>
      <w:pPr>
        <w:spacing w:after="60"/>
        <w:ind w:left="283"/>
      </w:pPr>
      <w:r>
        <w:rPr>
          <w:sz w:val="21"/>
        </w:rPr>
        <w:t>• Le middleware de rôle (RoleMiddleware) — vérifie que le rôle de l'utilisateur figure parmi ceux autorisés pour la route. Un étudiant sur une route /admin/* reçoit 403 Forbidden. C'est le test T16.</w:t>
      </w:r>
    </w:p>
    <w:p>
      <w:pPr>
        <w:spacing w:after="60"/>
        <w:ind w:left="283"/>
      </w:pPr>
      <w:r>
        <w:rPr>
          <w:sz w:val="21"/>
        </w:rPr>
        <w:t>• La Policy et le filtrage de requête — appliquent la règle métier. La Policy autorise ou non une action sur un objet précis ; le filtrage restreint ce que la requête peut renvoyer.</w:t>
      </w:r>
    </w:p>
    <w:p>
      <w:pPr>
        <w:spacing w:after="120"/>
        <w:ind w:left="227"/>
      </w:pPr>
      <w:r>
        <w:rPr>
          <w:b/>
          <w:color w:val="146C43"/>
          <w:sz w:val="21"/>
        </w:rPr>
        <w:t xml:space="preserve">La distinction à maîtriser : </w:t>
      </w:r>
      <w:r>
        <w:rPr>
          <w:sz w:val="21"/>
        </w:rPr>
        <w:t>le middleware protège une ROUTE, la Policy protège un OBJET. Un délégué a le droit d'accéder à la route de publication (middleware) mais pas de publier dans une matière qui n'est pas la sienne (Policy).</w:t>
      </w:r>
    </w:p>
    <w:p>
      <w:pPr>
        <w:spacing w:before="260" w:after="60"/>
      </w:pPr>
      <w:r>
        <w:rPr>
          <w:b/>
          <w:color w:val="C0392B"/>
          <w:sz w:val="24"/>
        </w:rPr>
        <w:t>3.3 Le code réel de la restriction</w:t>
      </w:r>
    </w:p>
    <w:p>
      <w:pPr>
        <w:spacing w:after="100"/>
        <w:ind w:left="0"/>
        <w:jc w:val="both"/>
      </w:pPr>
      <w:r>
        <w:rPr>
          <w:sz w:val="21"/>
        </w:rPr>
        <w:t>Voici ce qui est effectivement écrit dans RessourceController, méthode index :</w:t>
      </w:r>
    </w:p>
    <w:p>
      <w:pPr>
        <w:spacing w:after="100"/>
        <w:ind w:left="340"/>
      </w:pPr>
      <w:r>
        <w:rPr>
          <w:rFonts w:ascii="Consolas" w:hAnsi="Consolas"/>
          <w:color w:val="14213D"/>
          <w:sz w:val="19"/>
        </w:rPr>
        <w:t>$user = $request-&gt;user();</w:t>
        <w:br/>
        <w:t>if (! $user-&gt;isAdmin()) {</w:t>
        <w:br/>
        <w:t xml:space="preserve">    $ordre = optional($user-&gt;niveau)-&gt;ordre ?? 0;</w:t>
        <w:br/>
        <w:t xml:space="preserve">    $query-&gt;whereHas('matiere.niveau', function ($q) use ($user, $ordre) {</w:t>
        <w:br/>
        <w:t xml:space="preserve">        $q-&gt;where('filiere_id', $user-&gt;filiere_id);</w:t>
        <w:br/>
        <w:t xml:space="preserve">        if ($ordre &gt; 0) {</w:t>
        <w:br/>
        <w:t xml:space="preserve">            $q-&gt;where('ordre', '&lt;=', $ordre);</w:t>
        <w:br/>
        <w:t xml:space="preserve">        }</w:t>
        <w:br/>
        <w:t xml:space="preserve">    });</w:t>
        <w:br/>
        <w:t>}</w:t>
      </w:r>
    </w:p>
    <w:p>
      <w:pPr>
        <w:spacing w:after="100"/>
        <w:ind w:left="0"/>
        <w:jc w:val="both"/>
      </w:pPr>
      <w:r>
        <w:rPr>
          <w:sz w:val="21"/>
        </w:rPr>
        <w:t>Ligne à ligne : on écarte d'abord l'administrateur. On récupère ensuite l'ordre du niveau de l'utilisateur. Puis whereHas('matiere.niveau', …) traverse deux relations — de la ressource vers sa matière, puis vers son niveau — et n'ajoute au résultat que les ressources dont le niveau satisfait les deux conditions.</w:t>
      </w:r>
    </w:p>
    <w:p>
      <w:pPr>
        <w:spacing w:after="120"/>
        <w:ind w:left="227"/>
      </w:pPr>
      <w:r>
        <w:rPr>
          <w:b/>
          <w:color w:val="146C43"/>
          <w:sz w:val="21"/>
        </w:rPr>
        <w:t xml:space="preserve">Le point crucial à souligner : </w:t>
      </w:r>
      <w:r>
        <w:rPr>
          <w:sz w:val="21"/>
        </w:rPr>
        <w:t>cette restriction est appliquée AVANT que la requête n'atteigne la base. Le serveur ne renvoie jamais les ressources interdites, même masquées. Ce n'est pas l'interface qui cache : c'est le serveur qui ne fournit pas.</w:t>
      </w:r>
    </w:p>
    <w:p>
      <w:pPr>
        <w:spacing w:before="260" w:after="60"/>
      </w:pPr>
      <w:r>
        <w:rPr>
          <w:b/>
          <w:color w:val="C0392B"/>
          <w:sz w:val="24"/>
        </w:rPr>
        <w:t>3.4 La requête SQL réellement produite</w:t>
      </w:r>
    </w:p>
    <w:p>
      <w:pPr>
        <w:spacing w:after="100"/>
        <w:ind w:left="0"/>
        <w:jc w:val="both"/>
      </w:pPr>
      <w:r>
        <w:rPr>
          <w:sz w:val="21"/>
        </w:rPr>
        <w:t>Eloquent traduit ce code en une sous-requête d'existence :</w:t>
      </w:r>
    </w:p>
    <w:p>
      <w:pPr>
        <w:spacing w:after="100"/>
        <w:ind w:left="340"/>
      </w:pPr>
      <w:r>
        <w:rPr>
          <w:rFonts w:ascii="Consolas" w:hAnsi="Consolas"/>
          <w:color w:val="14213D"/>
          <w:sz w:val="19"/>
        </w:rPr>
        <w:t>SELECT * FROM ressources</w:t>
        <w:br/>
        <w:t>WHERE EXISTS (</w:t>
        <w:br/>
        <w:t xml:space="preserve">  SELECT 1 FROM matieres</w:t>
        <w:br/>
        <w:t xml:space="preserve">  JOIN niveaux ON niveaux.id = matieres.niveau_id</w:t>
        <w:br/>
        <w:t xml:space="preserve">  WHERE matieres.id = ressources.matiere_id</w:t>
        <w:br/>
        <w:t xml:space="preserve">    AND niveaux.filiere_id = &lt;filière de l'utilisateur&gt;</w:t>
        <w:br/>
        <w:t xml:space="preserve">    AND niveaux.ordre &lt;= &lt;ordre de l'utilisateur&gt;</w:t>
        <w:br/>
        <w:t>)</w:t>
      </w:r>
    </w:p>
    <w:p>
      <w:pPr>
        <w:spacing w:after="140"/>
        <w:ind w:left="227"/>
      </w:pPr>
      <w:r>
        <w:rPr>
          <w:b/>
          <w:color w:val="C0392B"/>
          <w:sz w:val="21"/>
        </w:rPr>
        <w:t xml:space="preserve">À dire : </w:t>
      </w:r>
      <w:r>
        <w:rPr>
          <w:i/>
          <w:sz w:val="21"/>
        </w:rPr>
        <w:t>« La restriction est traduite par Eloquent en une sous-requête EXISTS qui traverse la chaîne ressource → matière → niveau. Elle s'applique donc au niveau de la base, et pas dans l'interface. »</w:t>
      </w:r>
    </w:p>
    <w:p>
      <w:pPr>
        <w:spacing w:before="260" w:after="60"/>
      </w:pPr>
      <w:r>
        <w:rPr>
          <w:b/>
          <w:color w:val="C0392B"/>
          <w:sz w:val="24"/>
        </w:rPr>
        <w:t>3.5 La publication : une nuance à connaître absolument</w:t>
      </w:r>
    </w:p>
    <w:p>
      <w:pPr>
        <w:spacing w:after="100"/>
        <w:ind w:left="0"/>
        <w:jc w:val="both"/>
      </w:pPr>
      <w:r>
        <w:rPr>
          <w:sz w:val="21"/>
        </w:rPr>
        <w:t>La Policy qui autorise la publication est plus stricte que ce que l'on énonce souvent. Voici le code :</w:t>
      </w:r>
    </w:p>
    <w:p>
      <w:pPr>
        <w:spacing w:after="100"/>
        <w:ind w:left="340"/>
      </w:pPr>
      <w:r>
        <w:rPr>
          <w:rFonts w:ascii="Consolas" w:hAnsi="Consolas"/>
          <w:color w:val="14213D"/>
          <w:sz w:val="19"/>
        </w:rPr>
        <w:t>public function publishInMatiere(User $user, Matiere $matiere): bool</w:t>
        <w:br/>
        <w:t>{</w:t>
        <w:br/>
        <w:t xml:space="preserve">    if ($user-&gt;isAdmin()) return true;</w:t>
        <w:br/>
        <w:t xml:space="preserve">    if (! $user-&gt;isDelegue()) return false;</w:t>
        <w:br/>
        <w:t xml:space="preserve">    return $user-&gt;niveau_id !== null</w:t>
        <w:br/>
        <w:t xml:space="preserve">        &amp;&amp; (int) $matiere-&gt;niveau_id === (int) $user-&gt;niveau_id;</w:t>
        <w:br/>
        <w:t>}</w:t>
      </w:r>
    </w:p>
    <w:p>
      <w:pPr>
        <w:spacing w:after="120"/>
        <w:ind w:left="227"/>
      </w:pPr>
      <w:r>
        <w:rPr>
          <w:b/>
          <w:color w:val="B06A00"/>
          <w:sz w:val="21"/>
        </w:rPr>
        <w:t xml:space="preserve">Attention, point sensible : </w:t>
      </w:r>
      <w:r>
        <w:rPr>
          <w:sz w:val="21"/>
        </w:rPr>
        <w:t>le délégué ne peut pas publier dans toute sa filière — il ne peut publier que dans les matières de SA CLASSE, c'est-à-dire de son niveau exact. C'est d'ailleurs ce que montre le formulaire de publication, où le champ affiche « Ma classe (verrouillée) ».</w:t>
      </w:r>
    </w:p>
    <w:p>
      <w:pPr>
        <w:spacing w:after="100"/>
        <w:ind w:left="0"/>
        <w:jc w:val="both"/>
      </w:pPr>
      <w:r>
        <w:rPr>
          <w:sz w:val="21"/>
        </w:rPr>
        <w:t>Si un membre du jury demande « le délégué peut-il publier pour toute sa filière ? », la réponse honnête est non : son périmètre est sa classe. C'est plus restrictif, donc plus sûr, et cela se défend très bien — un délégué de M2 n'a pas vocation à déposer les cours de L3.</w:t>
      </w:r>
    </w:p>
    <w:p>
      <w:pPr>
        <w:spacing w:before="260" w:after="60"/>
      </w:pPr>
      <w:r>
        <w:rPr>
          <w:b/>
          <w:color w:val="C0392B"/>
          <w:sz w:val="24"/>
        </w:rPr>
        <w:t>3.6 Les quatre tests qui prouvent le dispositif</w:t>
      </w:r>
    </w:p>
    <w:p>
      <w:pPr>
        <w:spacing w:after="60"/>
        <w:ind w:left="283"/>
      </w:pPr>
      <w:r>
        <w:rPr>
          <w:sz w:val="21"/>
        </w:rPr>
        <w:t>• T06 — un délégué tente de publier hors de son périmètre → 403 Forbidden (Policy).</w:t>
      </w:r>
    </w:p>
    <w:p>
      <w:pPr>
        <w:spacing w:after="60"/>
        <w:ind w:left="283"/>
      </w:pPr>
      <w:r>
        <w:rPr>
          <w:sz w:val="21"/>
        </w:rPr>
        <w:t>• T07 — un étudiant tente de publier → 403 Forbidden (middleware de rôle).</w:t>
      </w:r>
    </w:p>
    <w:p>
      <w:pPr>
        <w:spacing w:after="60"/>
        <w:ind w:left="283"/>
      </w:pPr>
      <w:r>
        <w:rPr>
          <w:sz w:val="21"/>
        </w:rPr>
        <w:t>• T16 — un étudiant appelle une route d'administration → 403 Forbidden (middleware de rôle).</w:t>
      </w:r>
    </w:p>
    <w:p>
      <w:pPr>
        <w:spacing w:after="60"/>
        <w:ind w:left="283"/>
      </w:pPr>
      <w:r>
        <w:rPr>
          <w:sz w:val="21"/>
        </w:rPr>
        <w:t>• T17 — une requête sans jeton → 401 Unauthorized (middleware d'authentification).</w:t>
      </w:r>
    </w:p>
    <w:p>
      <w:pPr>
        <w:spacing w:after="100"/>
        <w:ind w:left="0"/>
        <w:jc w:val="both"/>
      </w:pPr>
      <w:r>
        <w:rPr>
          <w:sz w:val="21"/>
        </w:rPr>
        <w:t>Ces quatre tests ont été exécutés avec Postman, donc directement sur l'API, sans passer par l'interface. C'est ce qui prouve que la sécurité ne dépend pas du client. Les captures figurent en Annexe 3.</w:t>
      </w:r>
    </w:p>
    <w:p>
      <w:pPr>
        <w:spacing w:before="400" w:after="120"/>
      </w:pPr>
      <w:r>
        <w:rPr>
          <w:b/>
          <w:color w:val="14213D"/>
          <w:sz w:val="30"/>
        </w:rPr>
        <w:t>PARTIE 4 — COMMENTER LES DIAGRAMMES À L'ORAL</w:t>
      </w:r>
    </w:p>
    <w:p>
      <w:pPr>
        <w:spacing w:after="100"/>
        <w:ind w:left="0"/>
        <w:jc w:val="both"/>
      </w:pPr>
      <w:r>
        <w:rPr>
          <w:sz w:val="21"/>
        </w:rPr>
        <w:t>Règle générale : ne décrivez jamais un diagramme case par case. Annoncez d'abord ce qu'il montre, puis la décision qu'il traduit. Trois phrases suffisent.</w:t>
      </w:r>
    </w:p>
    <w:p>
      <w:pPr>
        <w:spacing w:before="260" w:after="60"/>
      </w:pPr>
      <w:r>
        <w:rPr>
          <w:b/>
          <w:color w:val="C0392B"/>
          <w:sz w:val="24"/>
        </w:rPr>
        <w:t>4.1 Diagramme de classes (Figure 1)</w:t>
      </w:r>
    </w:p>
    <w:p>
      <w:pPr>
        <w:spacing w:after="100"/>
        <w:ind w:left="0"/>
        <w:jc w:val="both"/>
      </w:pPr>
      <w:r>
        <w:rPr>
          <w:sz w:val="21"/>
        </w:rPr>
        <w:t>Structure : douze classes du domaine, reliées par des associations avec leurs cardinalités.</w:t>
      </w:r>
    </w:p>
    <w:p>
      <w:pPr>
        <w:spacing w:after="140"/>
        <w:ind w:left="227"/>
      </w:pPr>
      <w:r>
        <w:rPr>
          <w:b/>
          <w:color w:val="C0392B"/>
          <w:sz w:val="21"/>
        </w:rPr>
        <w:t xml:space="preserve">À dire : </w:t>
      </w:r>
      <w:r>
        <w:rPr>
          <w:i/>
          <w:sz w:val="21"/>
        </w:rPr>
        <w:t>« Ce diagramme présente les douze classes du domaine. L'ossature est la hiérarchie filière → niveau → matière → ressource, avec des cardinalités un-à-plusieurs à chaque étage. Deux éléments méritent l'attention : l'attribut ordre sur Niveau, qui rend la hiérarchie calculable, et l'absence d'attribut statut sur Ressource, qui traduit le choix de la publication directe. »</w:t>
      </w:r>
    </w:p>
    <w:p>
      <w:pPr>
        <w:spacing w:before="260" w:after="60"/>
      </w:pPr>
      <w:r>
        <w:rPr>
          <w:b/>
          <w:color w:val="C0392B"/>
          <w:sz w:val="24"/>
        </w:rPr>
        <w:t>4.2 Schéma de la base de données (Figure 2)</w:t>
      </w:r>
    </w:p>
    <w:p>
      <w:pPr>
        <w:spacing w:after="100"/>
        <w:ind w:left="0"/>
        <w:jc w:val="both"/>
      </w:pPr>
      <w:r>
        <w:rPr>
          <w:sz w:val="21"/>
        </w:rPr>
        <w:t>Structure : seize tables, avec clés primaires, clés étrangères et cardinalités en pattes-d'oie.</w:t>
      </w:r>
    </w:p>
    <w:p>
      <w:pPr>
        <w:spacing w:after="140"/>
        <w:ind w:left="227"/>
      </w:pPr>
      <w:r>
        <w:rPr>
          <w:b/>
          <w:color w:val="C0392B"/>
          <w:sz w:val="21"/>
        </w:rPr>
        <w:t xml:space="preserve">À dire : </w:t>
      </w:r>
      <w:r>
        <w:rPr>
          <w:i/>
          <w:sz w:val="21"/>
        </w:rPr>
        <w:t>« Le schéma dérive mécaniquement du diagramme de classes : chaque classe devient une table, chaque association une clé étrangère. On y voit les deux tables pivots, post_filiere et post_niveau, qui matérialisent les relations plusieurs-à-plusieurs du ciblage des annonces. Les suppressions sont en cascade : supprimer une filière supprime ses niveaux, matières et ressources. »</w:t>
      </w:r>
    </w:p>
    <w:p>
      <w:pPr>
        <w:spacing w:before="260" w:after="60"/>
      </w:pPr>
      <w:r>
        <w:rPr>
          <w:b/>
          <w:color w:val="C0392B"/>
          <w:sz w:val="24"/>
        </w:rPr>
        <w:t>4.3 Diagramme de composants (Figure 3)</w:t>
      </w:r>
    </w:p>
    <w:p>
      <w:pPr>
        <w:spacing w:after="100"/>
        <w:ind w:left="0"/>
        <w:jc w:val="both"/>
      </w:pPr>
      <w:r>
        <w:rPr>
          <w:sz w:val="21"/>
        </w:rPr>
        <w:t>Structure : les unités déployables et leurs interfaces de communication.</w:t>
      </w:r>
    </w:p>
    <w:p>
      <w:pPr>
        <w:spacing w:after="140"/>
        <w:ind w:left="227"/>
      </w:pPr>
      <w:r>
        <w:rPr>
          <w:b/>
          <w:color w:val="C0392B"/>
          <w:sz w:val="21"/>
        </w:rPr>
        <w:t xml:space="preserve">À dire : </w:t>
      </w:r>
      <w:r>
        <w:rPr>
          <w:i/>
          <w:sz w:val="21"/>
        </w:rPr>
        <w:t>« Ce diagramme montre le découplage : un backend Laravel qui expose une API REST, et deux clients — web et mobile — qui la consomment de la même façon. Le client mobile a une particularité, sa base SQLite locale, qui lui permet de fonctionner sans réseau. Autour gravitent les services : MySQL, le stockage de fichiers, le service SMTP pour les codes de connexion et Expo/FCM pour les notifications. »</w:t>
      </w:r>
    </w:p>
    <w:p>
      <w:pPr>
        <w:spacing w:before="260" w:after="60"/>
      </w:pPr>
      <w:r>
        <w:rPr>
          <w:b/>
          <w:color w:val="C0392B"/>
          <w:sz w:val="24"/>
        </w:rPr>
        <w:t>4.4 Diagramme de cas d'utilisation (Figure 4)</w:t>
      </w:r>
    </w:p>
    <w:p>
      <w:pPr>
        <w:spacing w:after="100"/>
        <w:ind w:left="0"/>
        <w:jc w:val="both"/>
      </w:pPr>
      <w:r>
        <w:rPr>
          <w:sz w:val="21"/>
        </w:rPr>
        <w:t>Structure : trois acteurs et leurs cas d'usage, avec les cas communs distingués des cas spécifiques.</w:t>
      </w:r>
    </w:p>
    <w:p>
      <w:pPr>
        <w:spacing w:after="140"/>
        <w:ind w:left="227"/>
      </w:pPr>
      <w:r>
        <w:rPr>
          <w:b/>
          <w:color w:val="C0392B"/>
          <w:sz w:val="21"/>
        </w:rPr>
        <w:t xml:space="preserve">À dire : </w:t>
      </w:r>
      <w:r>
        <w:rPr>
          <w:i/>
          <w:sz w:val="21"/>
        </w:rPr>
        <w:t>« Trois acteurs : l'Administrateur qui gère la structure, le Délégué qui publie, l'Étudiant qui consulte. Le point remarquable est une absence : il n'y a pas de cas « Valider une ressource ». Cette absence est la traduction fonctionnelle du choix de la publication directe. »</w:t>
      </w:r>
    </w:p>
    <w:p>
      <w:pPr>
        <w:spacing w:before="260" w:after="60"/>
      </w:pPr>
      <w:r>
        <w:rPr>
          <w:b/>
          <w:color w:val="C0392B"/>
          <w:sz w:val="24"/>
        </w:rPr>
        <w:t>4.5 Diagrammes de séquence (Figures 6 à 8)</w:t>
      </w:r>
    </w:p>
    <w:p>
      <w:pPr>
        <w:spacing w:after="100"/>
        <w:ind w:left="0"/>
        <w:jc w:val="both"/>
      </w:pPr>
      <w:r>
        <w:rPr>
          <w:sz w:val="21"/>
        </w:rPr>
        <w:t>Structure : les échanges chronologiques entre participants, avec les cas d'échec.</w:t>
      </w:r>
    </w:p>
    <w:p>
      <w:pPr>
        <w:spacing w:after="140"/>
        <w:ind w:left="227"/>
      </w:pPr>
      <w:r>
        <w:rPr>
          <w:b/>
          <w:color w:val="C0392B"/>
          <w:sz w:val="21"/>
        </w:rPr>
        <w:t xml:space="preserve">À dire : </w:t>
      </w:r>
      <w:r>
        <w:rPr>
          <w:i/>
          <w:sz w:val="21"/>
        </w:rPr>
        <w:t>« Le diagramme d'authentification montre le parcours complet : vérification du mot de passe haché, envoi du code à usage unique si la double authentification est active, puis délivrance du jeton Sanctum. Deux cas d'échec y figurent : le code 422 quand les identifiants sont invalides, le 401 quand aucun jeton valide n'accompagne la requête. Celui de la publication montre où intervient la Policy, et le 403 renvoyé si le périmètre n'est pas respecté. »</w:t>
      </w:r>
    </w:p>
    <w:p>
      <w:pPr>
        <w:spacing w:before="400" w:after="120"/>
      </w:pPr>
      <w:r>
        <w:rPr>
          <w:b/>
          <w:color w:val="14213D"/>
          <w:sz w:val="30"/>
        </w:rPr>
        <w:t>MÉMO — LES DIX PHRASES QUI FONT LA DIFFÉRENCE</w:t>
      </w:r>
    </w:p>
    <w:p>
      <w:pPr>
        <w:spacing w:after="80"/>
        <w:ind w:left="227"/>
      </w:pPr>
      <w:r>
        <w:rPr>
          <w:b/>
          <w:color w:val="14213D"/>
          <w:sz w:val="21"/>
        </w:rPr>
        <w:t xml:space="preserve">1. </w:t>
      </w:r>
      <w:r>
        <w:rPr>
          <w:sz w:val="21"/>
        </w:rPr>
        <w:t>La restriction d'accès est appliquée côté serveur, dans la requête, pas dans l'interface.</w:t>
      </w:r>
    </w:p>
    <w:p>
      <w:pPr>
        <w:spacing w:after="80"/>
        <w:ind w:left="227"/>
      </w:pPr>
      <w:r>
        <w:rPr>
          <w:b/>
          <w:color w:val="14213D"/>
          <w:sz w:val="21"/>
        </w:rPr>
        <w:t xml:space="preserve">2. </w:t>
      </w:r>
      <w:r>
        <w:rPr>
          <w:sz w:val="21"/>
        </w:rPr>
        <w:t>L'attribut ordre sur Niveau est ce qui rend la hiérarchie calculable.</w:t>
      </w:r>
    </w:p>
    <w:p>
      <w:pPr>
        <w:spacing w:after="80"/>
        <w:ind w:left="227"/>
      </w:pPr>
      <w:r>
        <w:rPr>
          <w:b/>
          <w:color w:val="14213D"/>
          <w:sz w:val="21"/>
        </w:rPr>
        <w:t xml:space="preserve">3. </w:t>
      </w:r>
      <w:r>
        <w:rPr>
          <w:sz w:val="21"/>
        </w:rPr>
        <w:t>L'absence d'attribut statut sur Ressource est la traduction, dans le modèle, du choix de la publication directe.</w:t>
      </w:r>
    </w:p>
    <w:p>
      <w:pPr>
        <w:spacing w:after="80"/>
        <w:ind w:left="227"/>
      </w:pPr>
      <w:r>
        <w:rPr>
          <w:b/>
          <w:color w:val="14213D"/>
          <w:sz w:val="21"/>
        </w:rPr>
        <w:t xml:space="preserve">4. </w:t>
      </w:r>
      <w:r>
        <w:rPr>
          <w:sz w:val="21"/>
        </w:rPr>
        <w:t>La filière d'une ressource n'est jamais stockée : elle se déduit par la chaîne matière → niveau → filière.</w:t>
      </w:r>
    </w:p>
    <w:p>
      <w:pPr>
        <w:spacing w:after="80"/>
        <w:ind w:left="227"/>
      </w:pPr>
      <w:r>
        <w:rPr>
          <w:b/>
          <w:color w:val="14213D"/>
          <w:sz w:val="21"/>
        </w:rPr>
        <w:t xml:space="preserve">5. </w:t>
      </w:r>
      <w:r>
        <w:rPr>
          <w:sz w:val="21"/>
        </w:rPr>
        <w:t>Le middleware protège une route ; la Policy protège un objet.</w:t>
      </w:r>
    </w:p>
    <w:p>
      <w:pPr>
        <w:spacing w:after="80"/>
        <w:ind w:left="227"/>
      </w:pPr>
      <w:r>
        <w:rPr>
          <w:b/>
          <w:color w:val="14213D"/>
          <w:sz w:val="21"/>
        </w:rPr>
        <w:t xml:space="preserve">6. </w:t>
      </w:r>
      <w:r>
        <w:rPr>
          <w:sz w:val="21"/>
        </w:rPr>
        <w:t>Le délégué publie dans sa classe, pas dans toute sa filière.</w:t>
      </w:r>
    </w:p>
    <w:p>
      <w:pPr>
        <w:spacing w:after="80"/>
        <w:ind w:left="227"/>
      </w:pPr>
      <w:r>
        <w:rPr>
          <w:b/>
          <w:color w:val="14213D"/>
          <w:sz w:val="21"/>
        </w:rPr>
        <w:t xml:space="preserve">7. </w:t>
      </w:r>
      <w:r>
        <w:rPr>
          <w:sz w:val="21"/>
        </w:rPr>
        <w:t>Le jeton Sanctum est révocable parce qu'il est stocké côté serveur, contrairement à un JWT.</w:t>
      </w:r>
    </w:p>
    <w:p>
      <w:pPr>
        <w:spacing w:after="80"/>
        <w:ind w:left="227"/>
      </w:pPr>
      <w:r>
        <w:rPr>
          <w:b/>
          <w:color w:val="14213D"/>
          <w:sz w:val="21"/>
        </w:rPr>
        <w:t xml:space="preserve">8. </w:t>
      </w:r>
      <w:r>
        <w:rPr>
          <w:sz w:val="21"/>
        </w:rPr>
        <w:t>SQLite embarquée permet de filtrer et de rechercher hors connexion, ce qu'un stockage clé-valeur ne permet pas.</w:t>
      </w:r>
    </w:p>
    <w:p>
      <w:pPr>
        <w:spacing w:after="80"/>
        <w:ind w:left="227"/>
      </w:pPr>
      <w:r>
        <w:rPr>
          <w:b/>
          <w:color w:val="14213D"/>
          <w:sz w:val="21"/>
        </w:rPr>
        <w:t xml:space="preserve">9. </w:t>
      </w:r>
      <w:r>
        <w:rPr>
          <w:sz w:val="21"/>
        </w:rPr>
        <w:t>Le monolithe structuré est un choix assumé : les microservices résolvent un problème d'organisation que ce projet n'a pas.</w:t>
      </w:r>
    </w:p>
    <w:p>
      <w:pPr>
        <w:spacing w:after="80"/>
        <w:ind w:left="227"/>
      </w:pPr>
      <w:r>
        <w:rPr>
          <w:b/>
          <w:color w:val="14213D"/>
          <w:sz w:val="21"/>
        </w:rPr>
        <w:t xml:space="preserve">10. </w:t>
      </w:r>
      <w:r>
        <w:rPr>
          <w:sz w:val="21"/>
        </w:rPr>
        <w:t>Une seule classe User avec un attribut role évite de dupliquer nom, e-mail et mot de passe.</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