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34"/>
        </w:rPr>
        <w:t>Journal des modifications — Mémoire AFI-DOCS</w:t>
      </w:r>
    </w:p>
    <w:p>
      <w:r>
        <w:rPr>
          <w:color w:val="606060"/>
          <w:sz w:val="20"/>
        </w:rPr>
        <w:t>De la version de départ (v11, avant les analyses critiques) à la version finale (v14)</w:t>
        <w:br/>
        <w:t>669 → 708 paragraphes · 18 418 → 21 375 mots · 4 → 7 tableaux · 29 blocs modifiés</w:t>
      </w:r>
    </w:p>
    <w:p>
      <w:pPr>
        <w:spacing w:before="260"/>
      </w:pPr>
      <w:r>
        <w:rPr>
          <w:b/>
          <w:color w:val="14213D"/>
          <w:sz w:val="23"/>
        </w:rPr>
        <w:t>1. MODIFICATION — (pages liminaires)</w:t>
      </w:r>
    </w:p>
    <w:p>
      <w:r>
        <w:rPr>
          <w:b/>
          <w:color w:val="C0392B"/>
          <w:sz w:val="19"/>
        </w:rPr>
        <w:t>AVANT :</w:t>
      </w:r>
    </w:p>
    <w:p>
      <w:pPr>
        <w:ind w:left="340"/>
      </w:pPr>
      <w:r>
        <w:rPr>
          <w:i/>
          <w:sz w:val="19"/>
        </w:rPr>
        <w:t>AFI est une école de formation crée en 1993 par Monsieur Pape Samba COULIBALY.</w:t>
        <w:br/>
        <w:t>Le groupe AFI/l’UE est un groupe d’écoles et des Instituts supérieurs professionnels au</w:t>
        <w:br/>
        <w:t>Sénégal et agrée par L’État sous l’arrêté Ministériel n°006176/MEN-MDCETFP/DFP.</w:t>
        <w:br/>
        <w:t>Avec ces 31 ans d’expérience acquise, le groupe AFI/l’UE a reçu le trophée de Bizz</w:t>
        <w:br/>
        <w:t>Awards Africa de la Word Confédération Businesse qui lui confère meilleure Université</w:t>
        <w:br/>
        <w:t>privée d’Afrique.</w:t>
        <w:br/>
        <w:t>Le groupe AFI/l’UE est un membre de la Fédération Européenne des École (FEEDE),</w:t>
        <w:br/>
        <w:t>centre de formation et d’examen pour les diplômes européens qui sont reconnus dans les 46</w:t>
        <w:br/>
        <w:t>pays du conseil de l’Europe et dont les crédits sont transférables aux États Unis et au Canada.</w:t>
        <w:br/>
        <w:t>En effet, sans sortir du Sénégal, on suit le même cursus et on passe les mêmes examens</w:t>
        <w:br/>
        <w:t>pour obtenir les mêmes diplômes que les étudiants européens.</w:t>
        <w:br/>
        <w:t>Le groupe AFI/l’UE a adopté le système LMD (Licence Master Doctorat) qui comporte</w:t>
        <w:br/>
        <w:t>les filières suivantes :</w:t>
      </w:r>
    </w:p>
    <w:p>
      <w:pPr>
        <w:ind w:left="340"/>
      </w:pPr>
      <w:r>
        <w:rPr>
          <w:i/>
          <w:sz w:val="19"/>
        </w:rPr>
        <w:t>BAF (Banque Assurance Finance) ;</w:t>
      </w:r>
    </w:p>
    <w:p>
      <w:pPr>
        <w:ind w:left="340"/>
      </w:pPr>
      <w:r>
        <w:rPr>
          <w:i/>
          <w:sz w:val="19"/>
        </w:rPr>
        <w:t>GSE (Gestion et Stratégie d’Entreprise) ;</w:t>
      </w:r>
    </w:p>
    <w:p>
      <w:pPr>
        <w:ind w:left="340"/>
      </w:pPr>
      <w:r>
        <w:rPr>
          <w:i/>
          <w:sz w:val="19"/>
        </w:rPr>
        <w:t>GRH (Gestion des Ressources Humaines) ;</w:t>
      </w:r>
    </w:p>
    <w:p>
      <w:pPr>
        <w:ind w:left="340"/>
      </w:pPr>
      <w:r>
        <w:rPr>
          <w:i/>
          <w:sz w:val="19"/>
        </w:rPr>
        <w:t>IR (Informatique et Réseau) ;</w:t>
      </w:r>
    </w:p>
    <w:p>
      <w:pPr>
        <w:ind w:left="340"/>
      </w:pPr>
      <w:r>
        <w:rPr>
          <w:i/>
          <w:sz w:val="19"/>
        </w:rPr>
        <w:t>MJF (Management Juridique et Fiscal) ;</w:t>
      </w:r>
    </w:p>
    <w:p>
      <w:pPr>
        <w:ind w:left="340"/>
      </w:pPr>
      <w:r>
        <w:rPr>
          <w:i/>
          <w:sz w:val="19"/>
        </w:rPr>
        <w:t>MMC (Management Markéting et Communication) ;</w:t>
      </w:r>
    </w:p>
    <w:p>
      <w:pPr>
        <w:ind w:left="340"/>
      </w:pPr>
      <w:r>
        <w:rPr>
          <w:i/>
          <w:sz w:val="19"/>
        </w:rPr>
        <w:t>MAI (Management des Affaires Internationales) ;</w:t>
      </w:r>
    </w:p>
    <w:p>
      <w:pPr>
        <w:ind w:left="340"/>
      </w:pPr>
      <w:r>
        <w:rPr>
          <w:i/>
          <w:sz w:val="19"/>
        </w:rPr>
        <w:t>GL (Génie Logistique).</w:t>
      </w:r>
    </w:p>
    <w:p>
      <w:r>
        <w:rPr>
          <w:b/>
          <w:color w:val="146C43"/>
          <w:sz w:val="19"/>
        </w:rPr>
        <w:t>APRÈS :</w:t>
      </w:r>
    </w:p>
    <w:p>
      <w:pPr>
        <w:ind w:left="340"/>
      </w:pPr>
      <w:r>
        <w:rPr>
          <w:sz w:val="19"/>
        </w:rPr>
        <w:t>Créé en 1993 par Monsieur et Madame Coulibaly, le Groupe AFI-L’Université de l’Entreprise (AFI-L’UE) est un établissement d’enseignement supérieur privé situé à la Zone B de Dakar. Fort de plus de trente années d’expérience, il s’est imposé comme un acteur majeur de la formation professionnelle et universitaire au Sénégal et en Afrique. Le groupe a d’ailleurs reçu le trophée Bizz Awards Africa de la World Confederation of Businesses (WORLDCOB), le consacrant meilleure université africaine.</w:t>
      </w:r>
    </w:p>
    <w:p>
      <w:pPr>
        <w:ind w:left="340"/>
      </w:pPr>
      <w:r>
        <w:rPr>
          <w:sz w:val="19"/>
        </w:rPr>
        <w:t>Le Groupe AFI-L’UE est autorisé par arrêté ministériel n° 066176/MEN/DEP et agréé pour l’enseignement supérieur sous le n° A250/MEN/DES. Il délivre des licences (plus de 130 options) et des masters (plus de 20 spécialisations) dans des domaines tels que le management, les sciences juridiques et fiscales, la qualité, la sécurité, l’environnement et les technologies de l’information.</w:t>
      </w:r>
    </w:p>
    <w:p>
      <w:pPr>
        <w:ind w:left="340"/>
      </w:pPr>
      <w:r>
        <w:rPr>
          <w:sz w:val="19"/>
        </w:rPr>
        <w:t>Il regroupe plusieurs écoles et instituts, dont le Centre Canadien pour la Formation Professionnelle en Afrique (CCPA), l’École Supérieure des Métiers du Droit (ESMD), l’École des Technologies de l’Information et de la Communication (ETIC), l’Institut de Formation à Distance (EFAD), l’Institut International de Management et de Gestion (IMG) et l’École Préparatoire aux Études Supérieures (PRESUP).</w:t>
      </w:r>
    </w:p>
    <w:p>
      <w:pPr>
        <w:ind w:left="340"/>
      </w:pPr>
      <w:r>
        <w:rPr>
          <w:sz w:val="19"/>
        </w:rPr>
        <w:t>La pédagogie d’AFI-L’UE repose sur une approche professionnalisante, axée sur la créativité, le professionnalisme et la bonne gouvernance. L’institution propose des formations initiales, continues et à distance, permettant aux étudiants et aux professionnels d’acquérir des compétences adaptées aux exigences du marché du travail.</w:t>
      </w:r>
    </w:p>
    <w:p>
      <w:pPr>
        <w:ind w:left="340"/>
      </w:pPr>
      <w:r>
        <w:rPr>
          <w:sz w:val="19"/>
        </w:rPr>
        <w:t>Son objectif est clair : faire partie des business schools les plus influentes du continent africain, tout en renforçant les capacités des jeunes à travers des formations pratiques en QHSE, management, transport-logistique, commerce international, comptabilité et technologies numériques. Le groupe AFI-L’UE incarne ainsi l’excellence académique et la volonté d’accompagner le développement économique et social de l’Afrique.</w:t>
      </w:r>
    </w:p>
    <w:p>
      <w:pPr>
        <w:spacing w:before="260"/>
      </w:pPr>
      <w:r>
        <w:rPr>
          <w:b/>
          <w:color w:val="14213D"/>
          <w:sz w:val="23"/>
        </w:rPr>
        <w:t>2. MODIFICATION — (pages liminaires)</w:t>
      </w:r>
    </w:p>
    <w:p>
      <w:r>
        <w:rPr>
          <w:b/>
          <w:color w:val="C0392B"/>
          <w:sz w:val="19"/>
        </w:rPr>
        <w:t>AVANT :</w:t>
      </w:r>
    </w:p>
    <w:p>
      <w:pPr>
        <w:ind w:left="340"/>
      </w:pPr>
      <w:r>
        <w:rPr>
          <w:i/>
          <w:sz w:val="19"/>
        </w:rPr>
        <w:t>Figure 1 : Diagramme de classes UML – Plateforme AFI (12 classes, relations Eloquent, sans attribut statut). Source : Paul BONGUE, 2026.</w:t>
        <w:tab/>
        <w:t>26</w:t>
      </w:r>
    </w:p>
    <w:p>
      <w:pPr>
        <w:ind w:left="340"/>
      </w:pPr>
      <w:r>
        <w:rPr>
          <w:i/>
          <w:sz w:val="19"/>
        </w:rPr>
        <w:t>Figure 2 : Schéma de la base de données MySQL 8 – Plateforme AFI (dérivé du diagramme de classes UML). Source : Paul BONGUE, 2026.</w:t>
        <w:tab/>
        <w:t>28</w:t>
      </w:r>
    </w:p>
    <w:p>
      <w:pPr>
        <w:ind w:left="340"/>
      </w:pPr>
      <w:r>
        <w:rPr>
          <w:i/>
          <w:sz w:val="19"/>
        </w:rPr>
        <w:t>Figure 3 : Diagramme de composants UML – Plateforme AFI (backend Laravel 11, clients web et mobile, services : MySQL, Sanctum, stockage, SMTP, Expo/FCM). Source : Paul BONGUE, 2026.</w:t>
        <w:tab/>
        <w:t>30</w:t>
      </w:r>
    </w:p>
    <w:p>
      <w:pPr>
        <w:ind w:left="340"/>
      </w:pPr>
      <w:r>
        <w:rPr>
          <w:i/>
          <w:sz w:val="19"/>
        </w:rPr>
        <w:t>Figure 4 : Diagramme de cas d’utilisation UML – Plateforme AFI (trois acteurs, publication directe). Source : Paul BONGUE, 2026.</w:t>
        <w:tab/>
        <w:t>32</w:t>
      </w:r>
    </w:p>
    <w:p>
      <w:pPr>
        <w:ind w:left="340"/>
      </w:pPr>
      <w:r>
        <w:rPr>
          <w:i/>
          <w:sz w:val="19"/>
        </w:rPr>
        <w:t>Figure 5 : Diagramme de classes UML détaillé – Plateforme AFI. Source Paul BONGUE, 2026.</w:t>
        <w:tab/>
        <w:t>33</w:t>
      </w:r>
    </w:p>
    <w:p>
      <w:pPr>
        <w:ind w:left="340"/>
      </w:pPr>
      <w:r>
        <w:rPr>
          <w:i/>
          <w:sz w:val="19"/>
        </w:rPr>
        <w:t>Figure 6 : Diagramme de séquence – Authentification (login, OTP par e-mail, jeton Sanctum, cas d'échec 401). Source : Paul BONGUE, 2026.</w:t>
        <w:tab/>
        <w:t>34</w:t>
      </w:r>
    </w:p>
    <w:p>
      <w:pPr>
        <w:ind w:left="340"/>
      </w:pPr>
      <w:r>
        <w:rPr>
          <w:i/>
          <w:sz w:val="19"/>
        </w:rPr>
        <w:t>Figure 7 : Diagramme de séquence – Publication directe d'une ressource par le Délégué (Policy filière, cas d'échec 403). Source : Paul BONGUE, 2026.</w:t>
        <w:tab/>
        <w:t>35</w:t>
      </w:r>
    </w:p>
    <w:p>
      <w:pPr>
        <w:ind w:left="340"/>
      </w:pPr>
      <w:r>
        <w:rPr>
          <w:i/>
          <w:sz w:val="19"/>
        </w:rPr>
        <w:t>Figure 8 : Diagramme de séquence – Consultation et recherche filtrée par filière et niveau (Étudiant). Source : Paul BONGUE, 2026.</w:t>
        <w:tab/>
        <w:t>36</w:t>
      </w:r>
    </w:p>
    <w:p>
      <w:pPr>
        <w:ind w:left="340"/>
      </w:pPr>
      <w:r>
        <w:rPr>
          <w:i/>
          <w:sz w:val="19"/>
        </w:rPr>
        <w:t>Figure 9 : Écran de connexion – saisie de lʼidentifiant et du mot de passe (charte AFI-DOCS). Source : Paul BONGUE, 2026.</w:t>
        <w:tab/>
        <w:t>37</w:t>
      </w:r>
    </w:p>
    <w:p>
      <w:pPr>
        <w:ind w:left="340"/>
      </w:pPr>
      <w:r>
        <w:rPr>
          <w:i/>
          <w:sz w:val="19"/>
        </w:rPr>
        <w:t>Figure 10 : Tableau de bord de lʼétudiant – indicateurs personnels et ressources récentes. Source : Paul BONGUE, 2026.</w:t>
        <w:tab/>
        <w:t>37</w:t>
      </w:r>
    </w:p>
    <w:p>
      <w:pPr>
        <w:ind w:left="340"/>
      </w:pPr>
      <w:r>
        <w:rPr>
          <w:i/>
          <w:sz w:val="19"/>
        </w:rPr>
        <w:t>Figure 11 : Détail dʼune ressource – fil dʼAriane, aperçu / téléchargement et fil de commentaires. Source : Paul BONGUE, 2026.</w:t>
        <w:tab/>
        <w:t>38</w:t>
      </w:r>
    </w:p>
    <w:p>
      <w:pPr>
        <w:ind w:left="340"/>
      </w:pPr>
      <w:r>
        <w:rPr>
          <w:i/>
          <w:sz w:val="19"/>
        </w:rPr>
        <w:t>Figure 12 : Accès à la recherche – point dʼentrée vers le formulaire de filtrage (cours, TP/TD, devoirs, examens). Source : Paul BONGUE, 2026.</w:t>
        <w:tab/>
        <w:t>38</w:t>
      </w:r>
    </w:p>
    <w:p>
      <w:pPr>
        <w:ind w:left="340"/>
      </w:pPr>
      <w:r>
        <w:rPr>
          <w:i/>
          <w:sz w:val="19"/>
        </w:rPr>
        <w:t>Figure 13 : Formulaire de publication du Délégué – filière verrouillée, dépôt de fichier et métadonnées. Source : Paul BONGUE, 2026.</w:t>
        <w:tab/>
        <w:t>39</w:t>
      </w:r>
    </w:p>
    <w:p>
      <w:pPr>
        <w:ind w:left="340"/>
      </w:pPr>
      <w:r>
        <w:rPr>
          <w:i/>
          <w:sz w:val="19"/>
        </w:rPr>
        <w:t>Figure 14 : Tableau de bord de lʼAdministrateur – en-tête bleu marine et indicateurs globaux. Source : Paul BONGUE, 2026.</w:t>
        <w:tab/>
        <w:t>39</w:t>
      </w:r>
    </w:p>
    <w:p>
      <w:pPr>
        <w:ind w:left="340"/>
      </w:pPr>
      <w:r>
        <w:rPr>
          <w:i/>
          <w:sz w:val="19"/>
        </w:rPr>
        <w:t>Figure 15: capture d’écran de la page de connexion (version déployée) Source : Paul BONGUE, 2026.</w:t>
        <w:tab/>
        <w:t>47</w:t>
      </w:r>
    </w:p>
    <w:p>
      <w:pPr>
        <w:ind w:left="340"/>
      </w:pPr>
      <w:r>
        <w:rPr>
          <w:i/>
          <w:sz w:val="19"/>
        </w:rPr>
        <w:t>Figure 16: Capture d’écran du tableau de bord Administrateur (actions rapides, statistiques, activité web/mobile). Source : Paul BONGUE, 2026.</w:t>
        <w:tab/>
        <w:t>48</w:t>
      </w:r>
    </w:p>
    <w:p>
      <w:pPr>
        <w:ind w:left="340"/>
      </w:pPr>
      <w:r>
        <w:rPr>
          <w:i/>
          <w:sz w:val="19"/>
        </w:rPr>
        <w:t>Figure 17: Capture d’écran de la gestion pédagogique; Source : Paul BONGUE, 2026.</w:t>
        <w:tab/>
        <w:t>48</w:t>
      </w:r>
    </w:p>
    <w:p>
      <w:pPr>
        <w:ind w:left="340"/>
      </w:pPr>
      <w:r>
        <w:rPr>
          <w:i/>
          <w:sz w:val="19"/>
        </w:rPr>
        <w:t>Figure 18: Capture d’écran du formulaire de création de compte. Source : Paul BONGUE, 2026.</w:t>
        <w:tab/>
        <w:t>49</w:t>
      </w:r>
    </w:p>
    <w:p>
      <w:pPr>
        <w:ind w:left="340"/>
      </w:pPr>
      <w:r>
        <w:rPr>
          <w:i/>
          <w:sz w:val="19"/>
        </w:rPr>
        <w:t>Figure 19: Capture d’écran de la moderation. Source : Paul BONGUE, 2026.</w:t>
        <w:tab/>
        <w:t>49</w:t>
      </w:r>
    </w:p>
    <w:p>
      <w:pPr>
        <w:ind w:left="340"/>
      </w:pPr>
      <w:r>
        <w:rPr>
          <w:i/>
          <w:sz w:val="19"/>
        </w:rPr>
        <w:t>Figure 20: Capture d’écran de la génération du rapport d’activité (CSV, période, web/mobile) Source : Paul BONGUE, 2026.</w:t>
        <w:tab/>
        <w:t>50</w:t>
      </w:r>
    </w:p>
    <w:p>
      <w:pPr>
        <w:ind w:left="340"/>
      </w:pPr>
      <w:r>
        <w:rPr>
          <w:i/>
          <w:sz w:val="19"/>
        </w:rPr>
        <w:t>Figure 21: Capture d’écran de l’espace Délégué (liste de ses ressources). Source : Paul BONGUE, 2026.</w:t>
        <w:tab/>
        <w:t>51</w:t>
      </w:r>
    </w:p>
    <w:p>
      <w:pPr>
        <w:ind w:left="340"/>
      </w:pPr>
      <w:r>
        <w:rPr>
          <w:i/>
          <w:sz w:val="19"/>
        </w:rPr>
        <w:t>Figure 22: Capture d’écran du formulaire de publication à filière verrouillée. Source : Paul BONGUE, 2026.</w:t>
        <w:tab/>
        <w:t>51</w:t>
      </w:r>
    </w:p>
    <w:p>
      <w:pPr>
        <w:ind w:left="340"/>
      </w:pPr>
      <w:r>
        <w:rPr>
          <w:i/>
          <w:sz w:val="19"/>
        </w:rPr>
        <w:t>Figure 23: Capture du tableau de bord Étudiant. Source : Paul BONGUE, 2026.</w:t>
        <w:tab/>
        <w:t>52</w:t>
      </w:r>
    </w:p>
    <w:p>
      <w:pPr>
        <w:ind w:left="340"/>
      </w:pPr>
      <w:r>
        <w:rPr>
          <w:i/>
          <w:sz w:val="19"/>
        </w:rPr>
        <w:t>Figure 24: Capture de la page de détail avec commentaires. Source : Paul BONGUE, 2026.</w:t>
        <w:tab/>
        <w:t>52</w:t>
      </w:r>
    </w:p>
    <w:p>
      <w:pPr>
        <w:ind w:left="340"/>
      </w:pPr>
      <w:r>
        <w:rPr>
          <w:i/>
          <w:sz w:val="19"/>
        </w:rPr>
        <w:t>Figure 25: Capture de la cloche de notifications (web). Source : Paul BONGUE, 2026.</w:t>
        <w:tab/>
        <w:t>53</w:t>
      </w:r>
    </w:p>
    <w:p>
      <w:pPr>
        <w:ind w:left="340"/>
      </w:pPr>
      <w:r>
        <w:rPr>
          <w:i/>
          <w:sz w:val="19"/>
        </w:rPr>
        <w:t>Figure 26: Capture des notifications (mobile). Source : Paul BONGUE, 2026.</w:t>
        <w:tab/>
        <w:t>54</w:t>
      </w:r>
    </w:p>
    <w:p>
      <w:pPr>
        <w:ind w:left="340"/>
      </w:pPr>
      <w:r>
        <w:rPr>
          <w:i/>
          <w:sz w:val="19"/>
        </w:rPr>
        <w:t>Figure 27: Capture de la section « E-mail de sécurité » du profil Source : Paul BONGUE, 2026.</w:t>
        <w:tab/>
        <w:t>55</w:t>
      </w:r>
    </w:p>
    <w:p>
      <w:pPr>
        <w:ind w:left="340"/>
      </w:pPr>
      <w:r>
        <w:rPr>
          <w:i/>
          <w:sz w:val="19"/>
        </w:rPr>
        <w:t>Figure 28: Captures mobiles de l’écran hors-ligne. Source : Paul BONGUE, 2026.</w:t>
        <w:tab/>
        <w:t>56</w:t>
      </w:r>
    </w:p>
    <w:p>
      <w:pPr>
        <w:ind w:left="340"/>
      </w:pPr>
      <w:r>
        <w:rPr>
          <w:i/>
          <w:sz w:val="19"/>
        </w:rPr>
        <w:t>Figure 29: Captures de la grille d’évaluation côté Étudiant Source : Paul BONGUE, 2026.</w:t>
        <w:tab/>
        <w:t>57</w:t>
      </w:r>
    </w:p>
    <w:p>
      <w:pPr>
        <w:ind w:left="340"/>
      </w:pPr>
      <w:r>
        <w:rPr>
          <w:i/>
          <w:sz w:val="19"/>
        </w:rPr>
        <w:t>Figure 30: Captures du tableau des résultats agrégés côté Administrateur Source : Paul BONGUE, 2026.</w:t>
        <w:tab/>
        <w:t>57</w:t>
      </w:r>
    </w:p>
    <w:p>
      <w:r>
        <w:rPr>
          <w:b/>
          <w:color w:val="146C43"/>
          <w:sz w:val="19"/>
        </w:rPr>
        <w:t>APRÈS :</w:t>
      </w:r>
    </w:p>
    <w:p>
      <w:pPr>
        <w:ind w:left="340"/>
      </w:pPr>
      <w:r>
        <w:rPr>
          <w:sz w:val="19"/>
        </w:rPr>
        <w:t>Figure 1 : Diagramme de classes UML – Plateforme AFI (12 classes, relations Eloquent, sans attribut statut). Source : Paul BONGUE, 2026.</w:t>
        <w:tab/>
        <w:t>28</w:t>
      </w:r>
    </w:p>
    <w:p>
      <w:pPr>
        <w:ind w:left="340"/>
      </w:pPr>
      <w:r>
        <w:rPr>
          <w:sz w:val="19"/>
        </w:rPr>
        <w:t>Figure 2 : Schéma de la base de données MySQL 8 – Plateforme AFI (dérivé du diagramme de classes UML). Source : Paul BONGUE, 2026.</w:t>
        <w:tab/>
        <w:t>30</w:t>
      </w:r>
    </w:p>
    <w:p>
      <w:pPr>
        <w:ind w:left="340"/>
      </w:pPr>
      <w:r>
        <w:rPr>
          <w:sz w:val="19"/>
        </w:rPr>
        <w:t>Figure 3 : Diagramme de composants UML – Plateforme AFI (backend Laravel 11, clients web et mobile, services : MySQL, Sanctum, stockage, SMTP, Expo/FCM). Source : Paul BONGUE, 2026.</w:t>
        <w:tab/>
        <w:t>32</w:t>
      </w:r>
    </w:p>
    <w:p>
      <w:pPr>
        <w:ind w:left="340"/>
      </w:pPr>
      <w:r>
        <w:rPr>
          <w:sz w:val="19"/>
        </w:rPr>
        <w:t>Figure 4 : Diagramme de cas d’utilisation UML – Plateforme AFI (trois acteurs, publication directe). Source : Paul BONGUE, 2026.</w:t>
        <w:tab/>
        <w:t>34</w:t>
      </w:r>
    </w:p>
    <w:p>
      <w:pPr>
        <w:ind w:left="340"/>
      </w:pPr>
      <w:r>
        <w:rPr>
          <w:sz w:val="19"/>
        </w:rPr>
        <w:t>Figure 5 : Diagramme de classes UML détaillé – Plateforme AFI. Source Paul BONGUE, 2026.</w:t>
        <w:tab/>
        <w:t>35</w:t>
      </w:r>
    </w:p>
    <w:p>
      <w:pPr>
        <w:ind w:left="340"/>
      </w:pPr>
      <w:r>
        <w:rPr>
          <w:sz w:val="19"/>
        </w:rPr>
        <w:t>Figure 6 : Diagramme de séquence – Authentification (login, OTP par e-mail, jeton Sanctum, cas d'échec 401). Source : Paul BONGUE, 2026.</w:t>
        <w:tab/>
        <w:t>36</w:t>
      </w:r>
    </w:p>
    <w:p>
      <w:pPr>
        <w:ind w:left="340"/>
      </w:pPr>
      <w:r>
        <w:rPr>
          <w:sz w:val="19"/>
        </w:rPr>
        <w:t>Figure 7 : Diagramme de séquence – Publication directe d'une ressource par le Délégué (Policy filière, cas d'échec 403). Source : Paul BONGUE, 2026.</w:t>
        <w:tab/>
        <w:t>37</w:t>
      </w:r>
    </w:p>
    <w:p>
      <w:pPr>
        <w:ind w:left="340"/>
      </w:pPr>
      <w:r>
        <w:rPr>
          <w:sz w:val="19"/>
        </w:rPr>
        <w:t>Figure 8 : Diagramme de séquence – Consultation et recherche filtrée par filière et niveau (Étudiant). Source : Paul BONGUE, 2026.</w:t>
        <w:tab/>
        <w:t>38</w:t>
      </w:r>
    </w:p>
    <w:p>
      <w:pPr>
        <w:ind w:left="340"/>
      </w:pPr>
      <w:r>
        <w:rPr>
          <w:sz w:val="19"/>
        </w:rPr>
        <w:t>Figure 9 : Écran de connexion – saisie de lʼidentifiant et du mot de passe (charte AFI-DOCS). Source : Paul BONGUE, 2026.</w:t>
        <w:tab/>
        <w:t>39</w:t>
      </w:r>
    </w:p>
    <w:p>
      <w:pPr>
        <w:ind w:left="340"/>
      </w:pPr>
      <w:r>
        <w:rPr>
          <w:sz w:val="19"/>
        </w:rPr>
        <w:t>Figure 10 : Tableau de bord de lʼétudiant – indicateurs personnels et ressources récentes. Source : Paul BONGUE, 2026.</w:t>
        <w:tab/>
        <w:t>39</w:t>
      </w:r>
    </w:p>
    <w:p>
      <w:pPr>
        <w:ind w:left="340"/>
      </w:pPr>
      <w:r>
        <w:rPr>
          <w:sz w:val="19"/>
        </w:rPr>
        <w:t>Figure 11 : Détail dʼune ressource – fil dʼAriane, aperçu / téléchargement et fil de commentaires. Source : Paul BONGUE, 2026.</w:t>
        <w:tab/>
        <w:t>40</w:t>
      </w:r>
    </w:p>
    <w:p>
      <w:pPr>
        <w:ind w:left="340"/>
      </w:pPr>
      <w:r>
        <w:rPr>
          <w:sz w:val="19"/>
        </w:rPr>
        <w:t>Figure 12 : Accès à la recherche – point dʼentrée vers le formulaire de filtrage (cours, TP/TD, devoirs, examens). Source : Paul BONGUE, 2026.</w:t>
        <w:tab/>
        <w:t>40</w:t>
      </w:r>
    </w:p>
    <w:p>
      <w:pPr>
        <w:ind w:left="340"/>
      </w:pPr>
      <w:r>
        <w:rPr>
          <w:sz w:val="19"/>
        </w:rPr>
        <w:t>Figure 13 : Formulaire de publication du Délégué – filière verrouillée, dépôt de fichier et métadonnées. Source : Paul BONGUE, 2026.</w:t>
        <w:tab/>
        <w:t>41</w:t>
      </w:r>
    </w:p>
    <w:p>
      <w:pPr>
        <w:ind w:left="340"/>
      </w:pPr>
      <w:r>
        <w:rPr>
          <w:sz w:val="19"/>
        </w:rPr>
        <w:t>Figure 14 : Tableau de bord de lʼAdministrateur – en-tête bleu marine et indicateurs globaux. Source : Paul BONGUE, 2026.</w:t>
        <w:tab/>
        <w:t>41</w:t>
      </w:r>
    </w:p>
    <w:p>
      <w:pPr>
        <w:ind w:left="340"/>
      </w:pPr>
      <w:r>
        <w:rPr>
          <w:sz w:val="19"/>
        </w:rPr>
        <w:t>Figure 15: capture d’écran de la page de connexion (version déployée) Source : Paul BONGUE, 2026.</w:t>
        <w:tab/>
        <w:t>51</w:t>
      </w:r>
    </w:p>
    <w:p>
      <w:pPr>
        <w:ind w:left="340"/>
      </w:pPr>
      <w:r>
        <w:rPr>
          <w:sz w:val="19"/>
        </w:rPr>
        <w:t>Figure 16: Capture d’écran du tableau de bord Administrateur (actions rapides, statistiques, activité web/mobile). Source : Paul BONGUE, 2026.</w:t>
        <w:tab/>
        <w:t>52</w:t>
      </w:r>
    </w:p>
    <w:p>
      <w:pPr>
        <w:ind w:left="340"/>
      </w:pPr>
      <w:r>
        <w:rPr>
          <w:sz w:val="19"/>
        </w:rPr>
        <w:t>Figure 17: Capture d’écran de la gestion pédagogique; Source : Paul BONGUE, 2026.</w:t>
        <w:tab/>
        <w:t>52</w:t>
      </w:r>
    </w:p>
    <w:p>
      <w:pPr>
        <w:ind w:left="340"/>
      </w:pPr>
      <w:r>
        <w:rPr>
          <w:sz w:val="19"/>
        </w:rPr>
        <w:t>Figure 18: Capture d’écran du formulaire de création de compte. Source : Paul BONGUE, 2026.</w:t>
        <w:tab/>
        <w:t>53</w:t>
      </w:r>
    </w:p>
    <w:p>
      <w:pPr>
        <w:ind w:left="340"/>
      </w:pPr>
      <w:r>
        <w:rPr>
          <w:sz w:val="19"/>
        </w:rPr>
        <w:t>Figure 19: Capture d’écran de la moderation. Source : Paul BONGUE, 2026.</w:t>
        <w:tab/>
        <w:t>53</w:t>
      </w:r>
    </w:p>
    <w:p>
      <w:pPr>
        <w:ind w:left="340"/>
      </w:pPr>
      <w:r>
        <w:rPr>
          <w:sz w:val="19"/>
        </w:rPr>
        <w:t>Figure 20: Capture d’écran de la génération du rapport d’activité (CSV, période, web/mobile) Source : Paul BONGUE, 2026.</w:t>
        <w:tab/>
        <w:t>54</w:t>
      </w:r>
    </w:p>
    <w:p>
      <w:pPr>
        <w:ind w:left="340"/>
      </w:pPr>
      <w:r>
        <w:rPr>
          <w:sz w:val="19"/>
        </w:rPr>
        <w:t>Figure 21: Capture d’écran de l’espace Délégué (liste de ses ressources). Source : Paul BONGUE, 2026.</w:t>
        <w:tab/>
        <w:t>55</w:t>
      </w:r>
    </w:p>
    <w:p>
      <w:pPr>
        <w:ind w:left="340"/>
      </w:pPr>
      <w:r>
        <w:rPr>
          <w:sz w:val="19"/>
        </w:rPr>
        <w:t>Figure 22: Capture d’écran du formulaire de publication à filière verrouillée. Source : Paul BONGUE, 2026.</w:t>
        <w:tab/>
        <w:t>55</w:t>
      </w:r>
    </w:p>
    <w:p>
      <w:pPr>
        <w:ind w:left="340"/>
      </w:pPr>
      <w:r>
        <w:rPr>
          <w:sz w:val="19"/>
        </w:rPr>
        <w:t>Figure 23: Capture du tableau de bord Étudiant. Source : Paul BONGUE, 2026.</w:t>
        <w:tab/>
        <w:t>56</w:t>
      </w:r>
    </w:p>
    <w:p>
      <w:pPr>
        <w:ind w:left="340"/>
      </w:pPr>
      <w:r>
        <w:rPr>
          <w:sz w:val="19"/>
        </w:rPr>
        <w:t>Figure 24: Capture de la page de détail avec commentaires. Source : Paul BONGUE, 2026.</w:t>
        <w:tab/>
        <w:t>56</w:t>
      </w:r>
    </w:p>
    <w:p>
      <w:pPr>
        <w:ind w:left="340"/>
      </w:pPr>
      <w:r>
        <w:rPr>
          <w:sz w:val="19"/>
        </w:rPr>
        <w:t>Figure 25: Capture de la cloche de notifications (web). Source : Paul BONGUE, 2026.</w:t>
        <w:tab/>
        <w:t>57</w:t>
      </w:r>
    </w:p>
    <w:p>
      <w:pPr>
        <w:ind w:left="340"/>
      </w:pPr>
      <w:r>
        <w:rPr>
          <w:sz w:val="19"/>
        </w:rPr>
        <w:t>Figure 26: Capture des notifications (mobile). Source : Paul BONGUE, 2026.</w:t>
        <w:tab/>
        <w:t>58</w:t>
      </w:r>
    </w:p>
    <w:p>
      <w:pPr>
        <w:ind w:left="340"/>
      </w:pPr>
      <w:r>
        <w:rPr>
          <w:sz w:val="19"/>
        </w:rPr>
        <w:t>Figure 27: Capture de la section « E-mail de sécurité » du profil Source : Paul BONGUE, 2026.</w:t>
        <w:tab/>
        <w:t>59</w:t>
      </w:r>
    </w:p>
    <w:p>
      <w:pPr>
        <w:ind w:left="340"/>
      </w:pPr>
      <w:r>
        <w:rPr>
          <w:sz w:val="19"/>
        </w:rPr>
        <w:t>Figure 28: Captures mobiles de l’écran hors-ligne. Source : Paul BONGUE, 2026.</w:t>
        <w:tab/>
        <w:t>60</w:t>
      </w:r>
    </w:p>
    <w:p>
      <w:pPr>
        <w:ind w:left="340"/>
      </w:pPr>
      <w:r>
        <w:rPr>
          <w:sz w:val="19"/>
        </w:rPr>
        <w:t>Figure 29: Captures de la grille d’évaluation côté Étudiant Source : Paul BONGUE, 2026.</w:t>
        <w:tab/>
        <w:t>61</w:t>
      </w:r>
    </w:p>
    <w:p>
      <w:pPr>
        <w:ind w:left="340"/>
      </w:pPr>
      <w:r>
        <w:rPr>
          <w:sz w:val="19"/>
        </w:rPr>
        <w:t>Figure 30: Captures du tableau des résultats agrégés côté Administrateur Source : Paul BONGUE, 2026.</w:t>
        <w:tab/>
        <w:t>62</w:t>
      </w:r>
    </w:p>
    <w:p>
      <w:pPr>
        <w:spacing w:before="260"/>
      </w:pPr>
      <w:r>
        <w:rPr>
          <w:b/>
          <w:color w:val="14213D"/>
          <w:sz w:val="23"/>
        </w:rPr>
        <w:t>3. MODIFICATION — (pages liminaires)</w:t>
      </w:r>
    </w:p>
    <w:p>
      <w:r>
        <w:rPr>
          <w:b/>
          <w:color w:val="C0392B"/>
          <w:sz w:val="19"/>
        </w:rPr>
        <w:t>AVANT :</w:t>
      </w:r>
    </w:p>
    <w:p>
      <w:pPr>
        <w:ind w:left="340"/>
      </w:pPr>
      <w:r>
        <w:rPr>
          <w:i/>
          <w:sz w:val="19"/>
        </w:rPr>
        <w:t>Tableau 1: Matrice des droits par fonctionnalité et par rôle – Plateforme AFI. Source : Paul BONGUE, 2026.</w:t>
        <w:tab/>
        <w:t>40</w:t>
      </w:r>
    </w:p>
    <w:p>
      <w:pPr>
        <w:ind w:left="340"/>
      </w:pPr>
      <w:r>
        <w:rPr>
          <w:i/>
          <w:sz w:val="19"/>
        </w:rPr>
        <w:t>Tableau 2: Organisation Scrum – Sprints de développement de la plateforme AFI. Source : Paul BONGUE, 2026.</w:t>
        <w:tab/>
        <w:t>43</w:t>
      </w:r>
    </w:p>
    <w:p>
      <w:pPr>
        <w:ind w:left="340"/>
      </w:pPr>
      <w:r>
        <w:rPr>
          <w:i/>
          <w:sz w:val="19"/>
        </w:rPr>
        <w:t>Tableau 3: Environnement de développement et de déploiement – Plateforme AFI. Source : Paul BONGUE, 2026.</w:t>
        <w:tab/>
        <w:t>44</w:t>
      </w:r>
    </w:p>
    <w:p>
      <w:pPr>
        <w:ind w:left="340"/>
      </w:pPr>
      <w:r>
        <w:rPr>
          <w:i/>
          <w:sz w:val="19"/>
        </w:rPr>
        <w:t>Tableau 4: Tableau des scénarios de tests fonctionnels – Plateforme AFI. Source : Paul BONGUE, 2026.</w:t>
        <w:tab/>
        <w:t>60</w:t>
      </w:r>
    </w:p>
    <w:p>
      <w:r>
        <w:rPr>
          <w:b/>
          <w:color w:val="146C43"/>
          <w:sz w:val="19"/>
        </w:rPr>
        <w:t>APRÈS :</w:t>
      </w:r>
    </w:p>
    <w:p>
      <w:pPr>
        <w:ind w:left="340"/>
      </w:pPr>
      <w:r>
        <w:rPr>
          <w:sz w:val="19"/>
        </w:rPr>
        <w:t>Tableau 1 : Comparaison des solutions existantes au regard des besoins de lʼAFI-LʼUE. Source : Paul BONGUE, 2026.</w:t>
        <w:tab/>
        <w:t>21</w:t>
      </w:r>
    </w:p>
    <w:p>
      <w:pPr>
        <w:ind w:left="340"/>
      </w:pPr>
      <w:r>
        <w:rPr>
          <w:sz w:val="19"/>
        </w:rPr>
        <w:t>Tableau 2 : Matrice des droits par fonctionnalité et par rôle – Plateforme AFI. Source : Paul BONGUE, 2026.</w:t>
        <w:tab/>
        <w:t>42</w:t>
      </w:r>
    </w:p>
    <w:p>
      <w:pPr>
        <w:ind w:left="340"/>
      </w:pPr>
      <w:r>
        <w:rPr>
          <w:sz w:val="19"/>
        </w:rPr>
        <w:t>Tableau 3 : Organisation Scrum – Sprints de développement de la plateforme AFI. Source : Paul BONGUE, 2026.</w:t>
        <w:tab/>
        <w:t>45</w:t>
      </w:r>
    </w:p>
    <w:p>
      <w:pPr>
        <w:ind w:left="340"/>
      </w:pPr>
      <w:r>
        <w:rPr>
          <w:sz w:val="19"/>
        </w:rPr>
        <w:t>Tableau 4 : Environnement de développement et de déploiement – Plateforme AFI. Source : Paul BONGUE, 2026.</w:t>
        <w:tab/>
        <w:t>46</w:t>
      </w:r>
    </w:p>
    <w:p>
      <w:pPr>
        <w:ind w:left="340"/>
      </w:pPr>
      <w:r>
        <w:rPr>
          <w:sz w:val="19"/>
        </w:rPr>
        <w:t>Tableau 5 : Correspondance entre les phases du Design Science Research et la structure du mémoire. Source : Paul BONGUE, 2026, dʼaprès Peffers et al. (2007).</w:t>
        <w:tab/>
        <w:t>47</w:t>
      </w:r>
    </w:p>
    <w:p>
      <w:pPr>
        <w:ind w:left="340"/>
      </w:pPr>
      <w:r>
        <w:rPr>
          <w:sz w:val="19"/>
        </w:rPr>
        <w:t>Tableau 6 : Critères de validation retenus pour chaque hypothèse de recherche. Source : Paul BONGUE, 2026.</w:t>
        <w:tab/>
        <w:t>48</w:t>
      </w:r>
    </w:p>
    <w:p>
      <w:pPr>
        <w:ind w:left="340"/>
      </w:pPr>
      <w:r>
        <w:rPr>
          <w:sz w:val="19"/>
        </w:rPr>
        <w:t>Tableau 7 : Tableau des scénarios de tests fonctionnels – Plateforme AFI. Source : Paul BONGUE, 2026.</w:t>
        <w:tab/>
        <w:t>64</w:t>
      </w:r>
    </w:p>
    <w:p>
      <w:pPr>
        <w:spacing w:before="260"/>
      </w:pPr>
      <w:r>
        <w:rPr>
          <w:b/>
          <w:color w:val="14213D"/>
          <w:sz w:val="23"/>
        </w:rPr>
        <w:t>4. MODIFICATION — (pages liminaires)</w:t>
      </w:r>
    </w:p>
    <w:p>
      <w:r>
        <w:rPr>
          <w:b/>
          <w:color w:val="C0392B"/>
          <w:sz w:val="19"/>
        </w:rPr>
        <w:t>AVANT :</w:t>
      </w:r>
    </w:p>
    <w:p>
      <w:pPr>
        <w:ind w:left="340"/>
      </w:pPr>
      <w:r>
        <w:rPr>
          <w:i/>
          <w:sz w:val="19"/>
        </w:rPr>
        <w:t>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Des espaces d’échange, l’évaluation des enseignants.</w:t>
      </w:r>
    </w:p>
    <w:p>
      <w:r>
        <w:rPr>
          <w:b/>
          <w:color w:val="146C43"/>
          <w:sz w:val="19"/>
        </w:rPr>
        <w:t>APRÈS :</w:t>
      </w:r>
    </w:p>
    <w:p>
      <w:pPr>
        <w:ind w:left="340"/>
      </w:pPr>
      <w:r>
        <w:rPr>
          <w:sz w:val="19"/>
        </w:rPr>
        <w:t>La démarche associe une revue conceptuelle et critique (systèmes de gestion de l’apprentissage, plateformes collaboratives, architectures REST, approche offline-first), une modélisation UML, un développement itératif selon la méthode Agile Scrum, une enquête par questionnaire auprès de la communauté AFI et une campagne de tests fonctionnels sur la plateforme déployée. Les résultats montrent qu’AFI-DOCS répond aux défaillances identifiées : centralisation pérenne, classification hiérarchique (filière, niveau, matière, semestre, année), accès restreint et pertinent selon la filière et le niveau, et disponibilité hors connexion. Des fonctionnalités additionnelles, telles que la sécurité renforcée, les notifications, les espaces dʼéchange et lʼévaluation des enseignants, complètent cet objectif principal.</w:t>
      </w:r>
    </w:p>
    <w:p>
      <w:pPr>
        <w:spacing w:before="260"/>
      </w:pPr>
      <w:r>
        <w:rPr>
          <w:b/>
          <w:color w:val="14213D"/>
          <w:sz w:val="23"/>
        </w:rPr>
        <w:t>5. MODIFICATION — (pages liminaires)</w:t>
      </w:r>
    </w:p>
    <w:p>
      <w:r>
        <w:rPr>
          <w:b/>
          <w:color w:val="C0392B"/>
          <w:sz w:val="19"/>
        </w:rPr>
        <w:t>AVANT :</w:t>
      </w:r>
    </w:p>
    <w:p>
      <w:pPr>
        <w:ind w:left="340"/>
      </w:pPr>
      <w:r>
        <w:rPr>
          <w:i/>
          <w:sz w:val="19"/>
        </w:rPr>
        <w:t>1.6 Diagrammes de séquence — Authentification · Publication directe ·</w:t>
        <w:tab/>
        <w:t>34</w:t>
      </w:r>
    </w:p>
    <w:p>
      <w:r>
        <w:rPr>
          <w:b/>
          <w:color w:val="146C43"/>
          <w:sz w:val="19"/>
        </w:rPr>
        <w:t>APRÈS :</w:t>
      </w:r>
    </w:p>
    <w:p>
      <w:pPr>
        <w:ind w:left="340"/>
      </w:pPr>
      <w:r>
        <w:rPr>
          <w:sz w:val="19"/>
        </w:rPr>
        <w:t>1.6 Diagrammes de séquence — Authentification · Publication directe ·</w:t>
        <w:tab/>
        <w:t>341.6 Diagrammes de séquence — Authentification · Publication directe · Consultation</w:t>
      </w:r>
    </w:p>
    <w:p>
      <w:pPr>
        <w:spacing w:before="260"/>
      </w:pPr>
      <w:r>
        <w:rPr>
          <w:b/>
          <w:color w:val="14213D"/>
          <w:sz w:val="23"/>
        </w:rPr>
        <w:t>6. MODIFICATION — CHAPITRE I: CADRE THÉORIQUE › Section 1 : Revue conceptuelle › 1.3 Les architectures logicielles modernes (REST, API)</w:t>
      </w:r>
    </w:p>
    <w:p>
      <w:r>
        <w:rPr>
          <w:b/>
          <w:color w:val="C0392B"/>
          <w:sz w:val="19"/>
        </w:rPr>
        <w:t>AVANT :</w:t>
      </w:r>
    </w:p>
    <w:p>
      <w:pPr>
        <w:ind w:left="340"/>
      </w:pPr>
      <w:r>
        <w:rPr>
          <w:i/>
          <w:sz w:val="19"/>
        </w:rPr>
        <w:t>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w:t>
      </w:r>
    </w:p>
    <w:p>
      <w:r>
        <w:rPr>
          <w:b/>
          <w:color w:val="146C43"/>
          <w:sz w:val="19"/>
        </w:rPr>
        <w:t>APRÈS :</w:t>
      </w:r>
    </w:p>
    <w:p>
      <w:pPr>
        <w:ind w:left="340"/>
      </w:pPr>
      <w:r>
        <w:rPr>
          <w:sz w:val="19"/>
        </w:rPr>
        <w:t>C’est pourquoi la plateforme AFI-DOCS retient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directement lié à l’objectif d’équité dans l’accès au savoir. Il convient toutefois de préciser le périmètre effectivement mis en œuvre : parmi les trois piliers rappelés ci-dessus, AFI-DOCS implémente le stockage local persistant et la resynchronisation au retour du réseau, mais non la résolution de conflits, puisque le mode hors connexion est ici strictement consultatif. Lʼétudiant lit hors ligne des ressources quʼil ne modifie pas ; aucune écriture concurrente nʼest donc possible. Il sʼagit, à proprement parler, dʼune consultation hors connexion en lecture seule plutôt que dʼun offline-first complet au sens de Kleppmann et al. (2019). Cette précision, loin dʼaffaiblir le dispositif, en délimite honnêtement la portée.</w:t>
      </w:r>
    </w:p>
    <w:p>
      <w:pPr>
        <w:spacing w:before="260"/>
      </w:pPr>
      <w:r>
        <w:rPr>
          <w:b/>
          <w:color w:val="14213D"/>
          <w:sz w:val="23"/>
        </w:rPr>
        <w:t>7. AJOUT — CHAPITRE I: CADRE THÉORIQUE › Section 3 : Cadre légal et réglementaire › 2.4 Paradoxe de sur-fonctionnalité — Naveh et al. (2010)</w:t>
      </w:r>
    </w:p>
    <w:p>
      <w:r>
        <w:rPr>
          <w:b/>
          <w:color w:val="146C43"/>
          <w:sz w:val="19"/>
        </w:rPr>
        <w:t>TEXTE AJOUTÉ :</w:t>
      </w:r>
    </w:p>
    <w:p>
      <w:pPr>
        <w:ind w:left="340"/>
      </w:pPr>
      <w:r>
        <w:rPr>
          <w:sz w:val="19"/>
        </w:rPr>
        <w:t>Section 3 : Cadre légal et réglementaire</w:t>
      </w:r>
    </w:p>
    <w:p>
      <w:pPr>
        <w:ind w:left="340"/>
      </w:pPr>
      <w:r>
        <w:rPr>
          <w:sz w:val="19"/>
        </w:rPr>
        <w:t>La conception dʼune plateforme qui centralise des documents pédagogiques et des données dʼétudiants ne relève pas seulement de choix techniques. Elle engage lʼétablissement sur le terrain du droit : protection des données à caractère personnel, propriété intellectuelle des supports diffusés et éthique du dispositif dʼévaluation. Cette section précise le cadre applicable au Sénégal et la manière dont il a été traduit dans lʼarchitecture dʼAFI-DOCS.</w:t>
      </w:r>
    </w:p>
    <w:p>
      <w:pPr>
        <w:ind w:left="340"/>
      </w:pPr>
      <w:r>
        <w:rPr>
          <w:sz w:val="19"/>
        </w:rPr>
        <w:t>3.1 La protection des données à caractère personnel</w:t>
      </w:r>
    </w:p>
    <w:p>
      <w:pPr>
        <w:ind w:left="340"/>
      </w:pPr>
      <w:r>
        <w:rPr>
          <w:sz w:val="19"/>
        </w:rPr>
        <w:t>Au Sénégal, le traitement des données personnelles est encadré par la loi n° 2008-12 du 25 janvier 2008 portant sur la protection des données à caractère personnel, qui institue la Commission de protection des données personnelles (CDP) comme autorité de contrôle. Ce texte impose notamment une finalité déterminée et légitime au traitement, la minimisation des données collectées, leur exactitude, une durée de conservation limitée, des mesures de sécurité appropriées, ainsi que le respect des droits dʼaccès et de rectification des personnes concernées.</w:t>
      </w:r>
    </w:p>
    <w:p>
      <w:pPr>
        <w:ind w:left="340"/>
      </w:pPr>
      <w:r>
        <w:rPr>
          <w:sz w:val="19"/>
        </w:rPr>
        <w:t>Ces principes ont orienté des décisions concrètes de conception. La finalité est strictement pédagogique : diffuser et consulter des ressources de cours au sein de lʼétablissement. La minimisation est appliquée de façon stricte : la plateforme ne collecte ni date de naissance, ni adresse postale, ni situation familiale, ni donnée de santé. Elle se limite au nom, à un identifiant de connexion généré, au rôle, au rattachement filière et niveau, à une adresse e-mail de sécurité facultative et à un jeton de notification mobile. La sécurité est assurée par le hachage des mots de passe (bcrypt), lʼauthentification par jeton Sanctum, la double authentification par code à usage unique, le chiffrement des échanges en HTTPS et une limitation des tentatives de connexion. Les droits dʼaccès et de rectification sʼexercent depuis lʼespace « Profil » pour les informations personnelles, et auprès de lʼadministration pour les données de rattachement.</w:t>
      </w:r>
    </w:p>
    <w:p>
      <w:pPr>
        <w:ind w:left="340"/>
      </w:pPr>
      <w:r>
        <w:rPr>
          <w:sz w:val="19"/>
        </w:rPr>
        <w:t>Deux points de vigilance doivent être signalés. Dʼune part, le journal dʼactivité conserve, pour chaque consultation ou téléchargement, lʼidentifiant de lʼutilisateur : il sʼagit dʼune donnée nominative dont la finalité (mesure dʼusage et supervision) et la durée de conservation devraient être formalisées dans une politique de confidentialité. Dʼautre part, la déclaration du traitement auprès de la CDP relève de lʼétablissement en tant que responsable de traitement ; elle constitue un préalable à une exploitation institutionnelle pérenne et figure à ce titre parmi les recommandations du chapitre V.</w:t>
      </w:r>
    </w:p>
    <w:p>
      <w:pPr>
        <w:ind w:left="340"/>
      </w:pPr>
      <w:r>
        <w:rPr>
          <w:sz w:val="19"/>
        </w:rPr>
        <w:t>3.2 Les droits dʼauteur sur les supports pédagogiques</w:t>
      </w:r>
    </w:p>
    <w:p>
      <w:pPr>
        <w:ind w:left="340"/>
      </w:pPr>
      <w:r>
        <w:rPr>
          <w:sz w:val="19"/>
        </w:rPr>
        <w:t>Un support de cours est une œuvre de lʼesprit. Au Sénégal, sa protection relève de la loi n° 2008-09 du 25 janvier 2008 sur le droit dʼauteur et les droits voisins, dans la ligne de la Convention de Berne. Lʼenseignant qui rédige un polycopié, un sujet dʼexamen ou un diaporama en est lʼauteur et conserve ses droits patrimoniaux et moraux. Il en résulte une conséquence directe pour la plateforme : le délégué qui dépose un document nʼen est pas lʼayant droit, et la diffusion ne peut être libre.</w:t>
      </w:r>
    </w:p>
    <w:p>
      <w:pPr>
        <w:ind w:left="340"/>
      </w:pPr>
      <w:r>
        <w:rPr>
          <w:sz w:val="19"/>
        </w:rPr>
        <w:t>Cette contrainte a été intégrée à lʼarchitecture plutôt quʼajoutée après coup. La diffusion sʼopère en cercle restreint : aucune ressource nʼest accessible publiquement, lʼauthentification est obligatoire et lʼaccès demeure borné à la filière et au niveau de lʼutilisateur. Chaque ressource conserve lʼidentité de son déposant, ce qui rend la responsabilité identifiable en cas de contestation. Enfin, la modération a posteriori permet le retrait immédiat dʼun document à la demande de son auteur, ce qui constitue la traduction opérationnelle du droit de retrait.</w:t>
      </w:r>
    </w:p>
    <w:p>
      <w:pPr>
        <w:ind w:left="340"/>
      </w:pPr>
      <w:r>
        <w:rPr>
          <w:sz w:val="19"/>
        </w:rPr>
        <w:t>Il reste que la plateforme ne recueille pas, en lʼétat, lʼaccord formel des enseignants pour la diffusion de leurs supports. Lʼadoption dʼune charte de publication, signée par les délégués et portée à la connaissance du corps enseignant, est donc recommandée : elle sécuriserait juridiquement le dispositif sans en compromettre la réactivité, qui constitue son principal apport.</w:t>
      </w:r>
    </w:p>
    <w:p>
      <w:pPr>
        <w:ind w:left="340"/>
      </w:pPr>
      <w:r>
        <w:rPr>
          <w:sz w:val="19"/>
        </w:rPr>
        <w:t>3.3 Éthique de la démarche et du dispositif dʼévaluation</w:t>
      </w:r>
    </w:p>
    <w:p>
      <w:pPr>
        <w:ind w:left="340"/>
      </w:pPr>
      <w:r>
        <w:rPr>
          <w:sz w:val="19"/>
        </w:rPr>
        <w:t>Sur le plan de la recherche, la participation au questionnaire a été volontaire et les réponses sont exploitées de manière agrégée : aucune donnée nominative de répondant ne figure dans ce mémoire. Le travail a par ailleurs été mené avec lʼaccord de lʼétablissement, qui a fourni le cadre et les données de référence.</w:t>
      </w:r>
    </w:p>
    <w:p>
      <w:pPr>
        <w:ind w:left="340"/>
      </w:pPr>
      <w:r>
        <w:rPr>
          <w:sz w:val="19"/>
        </w:rPr>
        <w:t>Le dispositif dʼévaluation des enseignants appelle une vigilance particulière, car il met en jeu lʼappréciation de personnes nommément identifiées. Trois garde-fous ont été retenus ou doivent lʼêtre : une finalité formative, orientée vers lʼamélioration des enseignements et non vers la sanction ; une restitution agrégée, qui ne laisse apparaître aucune réponse individuelle ; et un seuil de participation conditionnant lʼédition du rapport. Une limite subsiste néanmoins, déjà signalée au chapitre IV : dans une classe à faible effectif, ou lorsque le nombre de votants est très réduit, la confidentialité devient fragile. Un nombre minimal de répondants devrait donc être exigé, en plus du taux de participation, avant toute restitution nominative à un enseignant.</w:t>
      </w:r>
    </w:p>
    <w:p>
      <w:pPr>
        <w:spacing w:before="260"/>
      </w:pPr>
      <w:r>
        <w:rPr>
          <w:b/>
          <w:color w:val="14213D"/>
          <w:sz w:val="23"/>
        </w:rPr>
        <w:t>8. MODIFICATION — CHAPITRE II: CONTEXTE DE L’ÉTUDE › Section 2 : Contexte spécifique à l’AFI › 2.1 Présentation de l’AFI (historique, missions, filières)</w:t>
      </w:r>
    </w:p>
    <w:p>
      <w:r>
        <w:rPr>
          <w:b/>
          <w:color w:val="C0392B"/>
          <w:sz w:val="19"/>
        </w:rPr>
        <w:t>AVANT :</w:t>
      </w:r>
    </w:p>
    <w:p>
      <w:pPr>
        <w:ind w:left="340"/>
      </w:pPr>
      <w:r>
        <w:rPr>
          <w:i/>
          <w:sz w:val="19"/>
        </w:rPr>
        <w:t>Les 13 filières actuellement proposées par l’AFI-L’UE sont les suivantes :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r>
        <w:rPr>
          <w:b/>
          <w:color w:val="146C43"/>
          <w:sz w:val="19"/>
        </w:rPr>
        <w:t>APRÈS :</w:t>
      </w:r>
    </w:p>
    <w:p>
      <w:pPr>
        <w:ind w:left="340"/>
      </w:pPr>
      <w:r>
        <w:rPr>
          <w:sz w:val="19"/>
        </w:rPr>
        <w:t>Les douze filières actuellement proposées par lʼAFI-LʼUE sont les suivantes : BAF (Banque, Assurance et Finance), DWMD (Développement Web et Marketing Digital), GL (Génie Logiciel), GRH (Gestion des Ressources Humaines), GSE (Gestion et Stratégie des Entreprises), LEA (Langues Étrangères Appliquées à la Gestion), MAI (Management des Affaires Internationales), MJF (Management Juridique et Fiscal), MMC (Marketing, Management et Communication Digitale), QHSE (Qualité, Hygiène, Sécurité et Environnement), SRT (Systèmes, Réseaux et Télécommunications) et TL (Transport et Logistique).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pPr>
        <w:spacing w:before="260"/>
      </w:pPr>
      <w:r>
        <w:rPr>
          <w:b/>
          <w:color w:val="14213D"/>
          <w:sz w:val="23"/>
        </w:rPr>
        <w:t>9. MODIFICATION — CHAPITRE II: CONTEXTE DE L’ÉTUDE › Section 2 : Contexte spécifique à l’AFI › 2.3 Défaillances identifiées et besoins exprimés</w:t>
      </w:r>
    </w:p>
    <w:p>
      <w:r>
        <w:rPr>
          <w:b/>
          <w:color w:val="C0392B"/>
          <w:sz w:val="19"/>
        </w:rPr>
        <w:t>AVANT :</w:t>
      </w:r>
    </w:p>
    <w:p>
      <w:pPr>
        <w:ind w:left="340"/>
      </w:pPr>
      <w:r>
        <w:rPr>
          <w:i/>
          <w:sz w:val="19"/>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r>
        <w:rPr>
          <w:b/>
          <w:color w:val="146C43"/>
          <w:sz w:val="19"/>
        </w:rPr>
        <w:t>APRÈS :</w:t>
      </w:r>
    </w:p>
    <w:p>
      <w:pPr>
        <w:ind w:left="340"/>
      </w:pPr>
      <w:r>
        <w:rPr>
          <w:sz w:val="19"/>
        </w:rPr>
        <w:t>La plateforme AFI-DOCS répond point par point à ces besoins. 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pPr>
        <w:spacing w:before="260"/>
      </w:pPr>
      <w:r>
        <w:rPr>
          <w:b/>
          <w:color w:val="14213D"/>
          <w:sz w:val="23"/>
        </w:rPr>
        <w:t>10. AJOUT — CHAPITRE II: CONTEXTE DE L’ÉTUDE › Section 2 : Contexte spécifique à l’AFI › 2.4 Pourquoi ne pas déployer une solution existante?</w:t>
      </w:r>
    </w:p>
    <w:p>
      <w:r>
        <w:rPr>
          <w:b/>
          <w:color w:val="146C43"/>
          <w:sz w:val="19"/>
        </w:rPr>
        <w:t>TEXTE AJOUTÉ :</w:t>
      </w:r>
    </w:p>
    <w:p>
      <w:pPr>
        <w:ind w:left="340"/>
      </w:pPr>
      <w:r>
        <w:rPr>
          <w:sz w:val="19"/>
        </w:rPr>
        <w:t>2.4 Pourquoi ne pas déployer une solution existante?</w:t>
      </w:r>
    </w:p>
    <w:p>
      <w:pPr>
        <w:ind w:left="340"/>
      </w:pPr>
      <w:r>
        <w:rPr>
          <w:sz w:val="19"/>
        </w:rPr>
        <w:t>Avant de concevoir une plateforme, il fallait justifier de ne pas en adopter une. Des solutions matures, gratuites et éprouvées existent : les systèmes de gestion de lʼapprentissage comme Moodle ou Canvas, les plateformes collaboratives comme Google Classroom, et les outils de messagerie déjà utilisés à lʼAFI. Le tableau ci-après confronte ces solutions aux besoins identifiés à la section précédente.</w:t>
      </w:r>
    </w:p>
    <w:p>
      <w:pPr>
        <w:ind w:left="340"/>
      </w:pPr>
      <w:r>
        <w:rPr>
          <w:sz w:val="19"/>
        </w:rPr>
        <w:t>Tableau 1 : Comparaison des solutions existantes au regard des besoins de lʼAFI-LʼUE. Source : Paul BONGUE, 2026.</w:t>
      </w:r>
    </w:p>
    <w:p>
      <w:pPr>
        <w:ind w:left="340"/>
      </w:pPr>
      <w:r>
        <w:rPr>
          <w:sz w:val="19"/>
        </w:rPr>
        <w:t>Lʼhonnêteté impose une précision : AFI-DOCS ne prétend pas surpasser Moodle sur le plan fonctionnel. Un LMS mature offre bien davantage — parcours pédagogiques, quiz, suivi de progression, forums, notation. La comparaison ne porte donc pas sur la richesse fonctionnelle, mais sur lʼadéquation à un besoin précisément délimité, conformément à la mise en garde de Naveh et al. (2010) contre la sur-fonctionnalité.</w:t>
      </w:r>
    </w:p>
    <w:p>
      <w:pPr>
        <w:ind w:left="340"/>
      </w:pPr>
      <w:r>
        <w:rPr>
          <w:sz w:val="19"/>
        </w:rPr>
        <w:t>Trois arguments ont motivé le développement dʼune solution dédiée. Le premier tient au modèle de publication. Le besoin exprimé à lʼAFI est quʼun étudiant délégué publie directement, sans validation, mais dans un périmètre verrouillé. Or ce rôle nʼexiste dans aucune des solutions étudiées : dans un LMS, la publication est une prérogative de lʼenseignant, et accorder ce droit à un étudiant supposerait de détourner le modèle de rôles, au prix dʼune configuration fragile et difficile à maintenir. Le deuxième argument est celui du coût réel dʼexploitation. La gratuité de la licence Moodle ne dit rien du coût dʼadministration : montées de version, extensions, sauvegardes et paramétrage supposent une compétence dédiée que lʼétablissement ne possède pas aujourdʼhui. Le troisième argument est celui de la sobriété. Déployer un LMS complet pour un besoin de diffusion documentaire exposerait précisément au risque décrit par Naveh et al. : une interface surchargée de fonctions inutilisées, dissuasive pour des utilisateurs peu familiers des outils numériques.</w:t>
      </w:r>
    </w:p>
    <w:p>
      <w:pPr>
        <w:ind w:left="340"/>
      </w:pPr>
      <w:r>
        <w:rPr>
          <w:sz w:val="19"/>
        </w:rPr>
        <w:t>Le choix retenu est donc celui de la spécialisation : une plateforme volontairement restreinte à la diffusion structurée des ressources, à lʼaccès différencié par filière et par niveau, et à la consultation hors connexion. Ce positionnement délimite aussi la portée de la contribution : AFI-DOCS constitue une réponse contextualisée à un besoin institutionnel donné, et non une alternative généraliste aux plateformes existantes.</w:t>
      </w:r>
    </w:p>
    <w:p>
      <w:pPr>
        <w:spacing w:before="260"/>
      </w:pPr>
      <w:r>
        <w:rPr>
          <w:b/>
          <w:color w:val="14213D"/>
          <w:sz w:val="23"/>
        </w:rPr>
        <w:t>11. MODIFICATION — CHAPITRE III: CADRE MÉTHODOLOGIQUE</w:t>
      </w:r>
    </w:p>
    <w:p>
      <w:r>
        <w:rPr>
          <w:b/>
          <w:color w:val="C0392B"/>
          <w:sz w:val="19"/>
        </w:rPr>
        <w:t>AVANT :</w:t>
      </w:r>
    </w:p>
    <w:p>
      <w:pPr>
        <w:ind w:left="340"/>
      </w:pPr>
      <w:r>
        <w:rPr>
          <w:i/>
          <w:sz w:val="19"/>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r>
        <w:rPr>
          <w:b/>
          <w:color w:val="146C43"/>
          <w:sz w:val="19"/>
        </w:rPr>
        <w:t>APRÈS :</w:t>
      </w:r>
    </w:p>
    <w:p>
      <w:pPr>
        <w:ind w:left="340"/>
      </w:pPr>
      <w:r>
        <w:rPr>
          <w:sz w:val="19"/>
        </w:rPr>
        <w:t>La démarche méthodologique sʼinscrit dans le paradigme du Design Science Research, présenté à la section 2.4. Cʼest lui qui justifie quʼune plateforme conçue et évaluée avec rigueur constitue en elle-même une contribution.</w:t>
      </w:r>
    </w:p>
    <w:p>
      <w:pPr>
        <w:spacing w:before="260"/>
      </w:pPr>
      <w:r>
        <w:rPr>
          <w:b/>
          <w:color w:val="14213D"/>
          <w:sz w:val="23"/>
        </w:rPr>
        <w:t>12. MODIFICATION — CHAPITRE III: CADRE MÉTHODOLOGIQUE › Section 1: Implémentation et évaluation des modèles › 1.1 Diagramme de classes — structure des données et relations Eloquent</w:t>
      </w:r>
    </w:p>
    <w:p>
      <w:r>
        <w:rPr>
          <w:b/>
          <w:color w:val="C0392B"/>
          <w:sz w:val="19"/>
        </w:rPr>
        <w:t>AVANT :</w:t>
      </w:r>
    </w:p>
    <w:p>
      <w:pPr>
        <w:ind w:left="340"/>
      </w:pPr>
      <w:r>
        <w:rPr>
          <w:i/>
          <w:sz w:val="19"/>
        </w:rP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r>
        <w:rPr>
          <w:b/>
          <w:color w:val="146C43"/>
          <w:sz w:val="19"/>
        </w:rPr>
        <w:t>APRÈS :</w:t>
      </w:r>
    </w:p>
    <w:p>
      <w:pPr>
        <w:ind w:left="340"/>
      </w:pPr>
      <w:r>
        <w:rPr>
          <w:sz w:val="19"/>
        </w:rP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Il sʼagit donc, au sens strict, dʼun dispositif pseudonymisé plutôt quʼanonyme : lʼanonymat est garanti vis-à-vis de lʼenseignant et de lʼadministration, mais la levée du lien reste techniquement possible côté base de données. Elle expose les méthodes user(), matiere(), filiere(), niveau() et annee() [tous belongsTo].</w:t>
      </w:r>
    </w:p>
    <w:p>
      <w:pPr>
        <w:spacing w:before="260"/>
      </w:pPr>
      <w:r>
        <w:rPr>
          <w:b/>
          <w:color w:val="14213D"/>
          <w:sz w:val="23"/>
        </w:rPr>
        <w:t>13. MODIFICATION — CHAPITRE III: CADRE MÉTHODOLOGIQUE › Section 1: Implémentation et évaluation des modèles › 1.4 Diagramme de cas dʼutilisation</w:t>
      </w:r>
    </w:p>
    <w:p>
      <w:r>
        <w:rPr>
          <w:b/>
          <w:color w:val="C0392B"/>
          <w:sz w:val="19"/>
        </w:rPr>
        <w:t>AVANT :</w:t>
      </w:r>
    </w:p>
    <w:p>
      <w:pPr>
        <w:ind w:left="340"/>
      </w:pPr>
      <w:r>
        <w:rPr>
          <w:i/>
          <w:sz w:val="19"/>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r>
        <w:rPr>
          <w:b/>
          <w:color w:val="146C43"/>
          <w:sz w:val="19"/>
        </w:rPr>
        <w:t>APRÈS :</w:t>
      </w:r>
    </w:p>
    <w:p>
      <w:pPr>
        <w:ind w:left="340"/>
      </w:pPr>
      <w:r>
        <w:rPr>
          <w:i/>
        </w:rPr>
        <w:t>(passage supprimé)</w:t>
      </w:r>
    </w:p>
    <w:p>
      <w:pPr>
        <w:spacing w:before="260"/>
      </w:pPr>
      <w:r>
        <w:rPr>
          <w:b/>
          <w:color w:val="14213D"/>
          <w:sz w:val="23"/>
        </w:rPr>
        <w:t>14. MODIFICATION — CHAPITRE III: CADRE MÉTHODOLOGIQUE › Section 1: Implémentation et évaluation des modèles › 1.6 Diagrammes de séquence — Authentification · Publication directe · Consultation</w:t>
      </w:r>
    </w:p>
    <w:p>
      <w:r>
        <w:rPr>
          <w:b/>
          <w:color w:val="C0392B"/>
          <w:sz w:val="19"/>
        </w:rPr>
        <w:t>AVANT :</w:t>
      </w:r>
    </w:p>
    <w:p>
      <w:pPr>
        <w:ind w:left="340"/>
      </w:pPr>
      <w:r>
        <w:rPr>
          <w:i/>
          <w:sz w:val="19"/>
        </w:rPr>
        <w:t>1.6 Diagrammes de séquence — Authentification · Publication directe ·</w:t>
      </w:r>
    </w:p>
    <w:p>
      <w:r>
        <w:rPr>
          <w:b/>
          <w:color w:val="146C43"/>
          <w:sz w:val="19"/>
        </w:rPr>
        <w:t>APRÈS :</w:t>
      </w:r>
    </w:p>
    <w:p>
      <w:pPr>
        <w:ind w:left="340"/>
      </w:pPr>
      <w:r>
        <w:rPr>
          <w:sz w:val="19"/>
        </w:rPr>
        <w:t>1.6 Diagrammes de séquence — Authentification · Publication directe · Consultation</w:t>
      </w:r>
    </w:p>
    <w:p>
      <w:pPr>
        <w:spacing w:before="260"/>
      </w:pPr>
      <w:r>
        <w:rPr>
          <w:b/>
          <w:color w:val="14213D"/>
          <w:sz w:val="23"/>
        </w:rPr>
        <w:t>15. MODIFICATION — CHAPITRE III: CADRE MÉTHODOLOGIQUE › Section 1: Implémentation et évaluation des modèles › 1.6 Diagrammes de séquence — Authentification · Publication directe · Consultation</w:t>
      </w:r>
    </w:p>
    <w:p>
      <w:r>
        <w:rPr>
          <w:b/>
          <w:color w:val="C0392B"/>
          <w:sz w:val="19"/>
        </w:rPr>
        <w:t>AVANT :</w:t>
      </w:r>
    </w:p>
    <w:p>
      <w:pPr>
        <w:ind w:left="340"/>
      </w:pPr>
      <w:r>
        <w:rPr>
          <w:i/>
          <w:sz w:val="19"/>
        </w:rPr>
        <w:t>Figure 6 : Diagramme de séquence – Authentification (login, OTP par e-mail, jeton Sanctum, cas d'échec 401). Source : Paul BONGUE, 2026.</w:t>
      </w:r>
    </w:p>
    <w:p>
      <w:r>
        <w:rPr>
          <w:b/>
          <w:color w:val="146C43"/>
          <w:sz w:val="19"/>
        </w:rPr>
        <w:t>APRÈS :</w:t>
      </w:r>
    </w:p>
    <w:p>
      <w:pPr>
        <w:ind w:left="340"/>
      </w:pPr>
      <w:r>
        <w:rPr>
          <w:sz w:val="19"/>
        </w:rPr>
        <w:t>Figure 6 : Diagramme de séquence – Authentification (login, OTP par e-mail, jeton Sanctum). Deux cas dʼéchec distincts figurent sur le diagramme : le code 422 lorsque les identifiants saisis sont invalides (échec de validation, test T04) et le code 401 lorsque la requête ne présente aucun jeton valide. Source : Paul BONGUE, 2026.</w:t>
      </w:r>
    </w:p>
    <w:p>
      <w:pPr>
        <w:spacing w:before="260"/>
      </w:pPr>
      <w:r>
        <w:rPr>
          <w:b/>
          <w:color w:val="14213D"/>
          <w:sz w:val="23"/>
        </w:rPr>
        <w:t>16. MODIFICATION — CHAPITRE III: CADRE MÉTHODOLOGIQUE › Section 1: Implémentation et évaluation des modèles › 1.8 Acteurs et matrice des droits — Administrateur, Délégué, Étudiant</w:t>
      </w:r>
    </w:p>
    <w:p>
      <w:r>
        <w:rPr>
          <w:b/>
          <w:color w:val="C0392B"/>
          <w:sz w:val="19"/>
        </w:rPr>
        <w:t>AVANT :</w:t>
      </w:r>
    </w:p>
    <w:p>
      <w:pPr>
        <w:ind w:left="340"/>
      </w:pPr>
      <w:r>
        <w:rPr>
          <w:i/>
          <w:sz w:val="19"/>
        </w:rPr>
        <w:t>Tableau 1: Matrice des droits par fonctionnalité et par rôle – Plateforme AFI. Source : Paul BONGUE, 2026.</w:t>
      </w:r>
    </w:p>
    <w:p>
      <w:r>
        <w:rPr>
          <w:b/>
          <w:color w:val="146C43"/>
          <w:sz w:val="19"/>
        </w:rPr>
        <w:t>APRÈS :</w:t>
      </w:r>
    </w:p>
    <w:p>
      <w:pPr>
        <w:ind w:left="340"/>
      </w:pPr>
      <w:r>
        <w:rPr>
          <w:sz w:val="19"/>
        </w:rPr>
        <w:t>Tableau 2 : Matrice des droits par fonctionnalité et par rôle – Plateforme AFI. Source : Paul BONGUE, 2026.</w:t>
      </w:r>
    </w:p>
    <w:p>
      <w:pPr>
        <w:spacing w:before="260"/>
      </w:pPr>
      <w:r>
        <w:rPr>
          <w:b/>
          <w:color w:val="14213D"/>
          <w:sz w:val="23"/>
        </w:rPr>
        <w:t>17. MODIFICATION — CHAPITRE III: CADRE MÉTHODOLOGIQUE › Section 2 : Présentation et traitement des données › 2.1 Questionnaire utilisateurs — méthodologie et résultats</w:t>
      </w:r>
    </w:p>
    <w:p>
      <w:r>
        <w:rPr>
          <w:b/>
          <w:color w:val="C0392B"/>
          <w:sz w:val="19"/>
        </w:rPr>
        <w:t>AVANT :</w:t>
      </w:r>
    </w:p>
    <w:p>
      <w:pPr>
        <w:ind w:left="340"/>
      </w:pPr>
      <w:r>
        <w:rPr>
          <w:i/>
          <w:sz w:val="19"/>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pPr>
        <w:ind w:left="340"/>
      </w:pPr>
      <w:r>
        <w:rPr>
          <w:i/>
          <w:sz w:val="19"/>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pPr>
        <w:ind w:left="340"/>
      </w:pPr>
      <w:r>
        <w:rPr>
          <w:i/>
          <w:sz w:val="19"/>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pPr>
        <w:ind w:left="340"/>
      </w:pPr>
      <w:r>
        <w:rPr>
          <w:i/>
          <w:sz w:val="19"/>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r>
        <w:rPr>
          <w:b/>
          <w:color w:val="146C43"/>
          <w:sz w:val="19"/>
        </w:rPr>
        <w:t>APRÈS :</w:t>
      </w:r>
    </w:p>
    <w:p>
      <w:pPr>
        <w:ind w:left="340"/>
      </w:pPr>
      <w:r>
        <w:rPr>
          <w:sz w:val="19"/>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utilisent à la fois un smartphone et un ordinateur, ce qui confirme a posteriori le choix dʼune solution à la fois web et mobile. Le niveau de maîtrise des outils numériques est déclaré « bon » (4/6) ou « excellent » (2/6).</w:t>
      </w:r>
    </w:p>
    <w:p>
      <w:pPr>
        <w:ind w:left="340"/>
      </w:pPr>
      <w:r>
        <w:rPr>
          <w:sz w:val="19"/>
        </w:rPr>
        <w:t>Pratiques actuelles et difficultés. Les résultats confirment clairement les difficultés identifiées au chapitre II. La totalité des six répondants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pPr>
        <w:ind w:left="340"/>
      </w:pPr>
      <w:r>
        <w:rPr>
          <w:sz w:val="19"/>
        </w:rPr>
        <w:t>Besoins exprimés. Du côté des étudiants (cinq répondants), les fonctionnalités jugées indispensables sont, dans lʼordre, le téléchargement direct des cours (cinq sur cinq), la recherche par filière, matière ou niveau (quatre sur cinq) et la notification lors de lʼajout dʼun nouveau document (quatre sur cinq). La facilité de navigation est le critère de qualité le plus cité (cinq sur cinq). Un résultat mérite dʼêtre relevé pour sa portée critique : interrogés sur lʼintérêt dʼune consultation hors connexion, quatre étudiants sur cinq la jugent « parfois utile » et un seul « souvent utile », aucun ne la déclarant inutile. La demande explicite pour cette fonctionnalité est donc réelle mais modérée, alors même que le contexte de connectivité analysé au chapitre II en établit la nécessité objective ; cet écart entre besoin ressenti et besoin objectif sera discuté au chapitre V. Du côté des délégués, les deux répondants se disent à lʼaise pour publier sans validation administrative, à condition de disposer de lignes directrices claires, et soulignent tous deux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pPr>
        <w:ind w:left="340"/>
      </w:pPr>
      <w:r>
        <w:rPr>
          <w:sz w:val="19"/>
        </w:rPr>
        <w:t>Ces résultats ont directement guidé les priorités de conception : centralisation et classification hiérarchique, moteur de recherche et filtres, publication directe par le délégué, notifications et accès depuis un smartphone. La restriction de lʼaccès de chaque étudiant à son propre périmètre (filière, niveau et niveaux inférieurs) découle quant à elle de la priorité donnée par lʼadministration à une gestion des accès par filière et par niveau, ainsi que des exigences de sécurité exposées au chapitre III ; elle ne procède pas dʼune question posée aux étudiants. Le dépouillement complet du questionnaire figure en Annexe 1, et les résultats sont mobilisés au chapitre V pour la vérification des hypothèses.</w:t>
      </w:r>
    </w:p>
    <w:p>
      <w:pPr>
        <w:spacing w:before="260"/>
      </w:pPr>
      <w:r>
        <w:rPr>
          <w:b/>
          <w:color w:val="14213D"/>
          <w:sz w:val="23"/>
        </w:rPr>
        <w:t>18. MODIFICATION — CHAPITRE III: CADRE MÉTHODOLOGIQUE › Section 2 : Présentation et traitement des données › 2.2 Méthode Agile Scrum — organisation en sprints</w:t>
      </w:r>
    </w:p>
    <w:p>
      <w:r>
        <w:rPr>
          <w:b/>
          <w:color w:val="C0392B"/>
          <w:sz w:val="19"/>
        </w:rPr>
        <w:t>AVANT :</w:t>
      </w:r>
    </w:p>
    <w:p>
      <w:pPr>
        <w:ind w:left="340"/>
      </w:pPr>
      <w:r>
        <w:rPr>
          <w:i/>
          <w:sz w:val="19"/>
        </w:rPr>
        <w:t>Tableau 2: Organisation Scrum – Sprints de développement de la plateforme AFI. Source : Paul BONGUE, 2026.</w:t>
      </w:r>
    </w:p>
    <w:p>
      <w:r>
        <w:rPr>
          <w:b/>
          <w:color w:val="146C43"/>
          <w:sz w:val="19"/>
        </w:rPr>
        <w:t>APRÈS :</w:t>
      </w:r>
    </w:p>
    <w:p>
      <w:pPr>
        <w:ind w:left="340"/>
      </w:pPr>
      <w:r>
        <w:rPr>
          <w:sz w:val="19"/>
        </w:rPr>
        <w:t>Tableau 3 : Organisation Scrum – Sprints de développement de la plateforme AFI. Source : Paul BONGUE, 2026.</w:t>
      </w:r>
    </w:p>
    <w:p>
      <w:pPr>
        <w:spacing w:before="260"/>
      </w:pPr>
      <w:r>
        <w:rPr>
          <w:b/>
          <w:color w:val="14213D"/>
          <w:sz w:val="23"/>
        </w:rPr>
        <w:t>19. MODIFICATION — CHAPITRE III: CADRE MÉTHODOLOGIQUE › Section 2 : Présentation et traitement des données › 2.3 Environnement de développement et de déploiement</w:t>
      </w:r>
    </w:p>
    <w:p>
      <w:r>
        <w:rPr>
          <w:b/>
          <w:color w:val="C0392B"/>
          <w:sz w:val="19"/>
        </w:rPr>
        <w:t>AVANT :</w:t>
      </w:r>
    </w:p>
    <w:p>
      <w:pPr>
        <w:ind w:left="340"/>
      </w:pPr>
      <w:r>
        <w:rPr>
          <w:i/>
          <w:sz w:val="19"/>
        </w:rPr>
        <w:t>Tableau 3: Environnement de développement et de déploiement – Plateforme AFI. Source : Paul BONGUE, 2026.</w:t>
      </w:r>
    </w:p>
    <w:p>
      <w:r>
        <w:rPr>
          <w:b/>
          <w:color w:val="146C43"/>
          <w:sz w:val="19"/>
        </w:rPr>
        <w:t>APRÈS :</w:t>
      </w:r>
    </w:p>
    <w:p>
      <w:pPr>
        <w:ind w:left="340"/>
      </w:pPr>
      <w:r>
        <w:rPr>
          <w:sz w:val="19"/>
        </w:rPr>
        <w:t>Tableau 4 : Environnement de développement et de déploiement – Plateforme AFI. Source : Paul BONGUE, 2026.</w:t>
      </w:r>
    </w:p>
    <w:p>
      <w:pPr>
        <w:ind w:left="340"/>
      </w:pPr>
      <w:r>
        <w:rPr>
          <w:sz w:val="19"/>
        </w:rPr>
        <w:t>2.4 Positionnement scientifique : la démarche Design Science Research</w:t>
      </w:r>
    </w:p>
    <w:p>
      <w:pPr>
        <w:ind w:left="340"/>
      </w:pPr>
      <w:r>
        <w:rPr>
          <w:sz w:val="19"/>
        </w:rPr>
        <w:t>Un mémoire qui produit un logiciel doit expliciter ce qui le distingue dʼun simple projet de développement. Ce travail sʼinscrit dans le paradigme du Design Science Research, formalisé par Hevner et al. (2004) puis opérationnalisé par Peffers et al. (2007). Dans ce cadre, la connaissance ne se construit pas seulement par lʼobservation dʼun phénomène existant, mais par la conception dʼun artefact destiné à résoudre un problème organisationnel identifié, puis par son évaluation rigoureuse. Lʼartefact — ici la plateforme AFI-DOCS — est à la fois le résultat et lʼinstrument de la démarche.</w:t>
      </w:r>
    </w:p>
    <w:p>
      <w:pPr>
        <w:ind w:left="340"/>
      </w:pPr>
      <w:r>
        <w:rPr>
          <w:sz w:val="19"/>
        </w:rPr>
        <w:t>Trois exigences structurent ce paradigme. La pertinence, dʼabord : le problème traité doit être réel et documenté, ce qui a justifié le diagnostic contextuel et lʼenquête par questionnaire. La rigueur, ensuite : la conception doit sʼappuyer sur des connaissances établies, ce que garantissent la revue critique et le recours à des standards éprouvés (UML, REST, Scrum). Lʼévaluation, enfin : lʼartefact doit être confronté à des critères définis, ce à quoi répondent les tests et la vérification des hypothèses. Le tableau suivant explicite la correspondance entre les six phases de la démarche et lʼorganisation du mémoire.</w:t>
      </w:r>
    </w:p>
    <w:p>
      <w:pPr>
        <w:ind w:left="340"/>
      </w:pPr>
      <w:r>
        <w:rPr>
          <w:sz w:val="19"/>
        </w:rPr>
        <w:t>Tableau 5 : Correspondance entre les phases du Design Science Research et la structure du mémoire. Source : Paul BONGUE, 2026, dʼaprès Peffers et al. (2007).</w:t>
      </w:r>
    </w:p>
    <w:p>
      <w:pPr>
        <w:ind w:left="340"/>
      </w:pPr>
      <w:r>
        <w:rPr>
          <w:sz w:val="19"/>
        </w:rPr>
        <w:t>2.5 Critères de validation des hypothèses</w:t>
      </w:r>
    </w:p>
    <w:p>
      <w:pPr>
        <w:ind w:left="340"/>
      </w:pPr>
      <w:r>
        <w:rPr>
          <w:sz w:val="19"/>
        </w:rPr>
        <w:t>Pour éviter que la vérification des hypothèses ne se réduise à un commentaire a posteriori des résultats, les critères de corroboration ont été définis avant lʼévaluation. Le tableau ci-dessous précise, pour chaque hypothèse, lʼindicateur retenu, lʼinstrument de mesure mobilisé, le critère à partir duquel lʼhypothèse est considérée comme corroborée, et — point essentiel — ce que ce dispositif ne permet pas dʼétablir.</w:t>
      </w:r>
    </w:p>
    <w:p>
      <w:pPr>
        <w:ind w:left="340"/>
      </w:pPr>
      <w:r>
        <w:rPr>
          <w:sz w:val="19"/>
        </w:rPr>
        <w:t>Tableau 6 : Critères de validation retenus pour chaque hypothèse de recherche. Source : Paul BONGUE, 2026.</w:t>
      </w:r>
    </w:p>
    <w:p>
      <w:pPr>
        <w:ind w:left="340"/>
      </w:pPr>
      <w:r>
        <w:rPr>
          <w:sz w:val="19"/>
        </w:rPr>
        <w:t>Cette formalisation appelle une remarque de méthode qui engage la portée de lʼensemble du travail. Les instruments mobilisés — tests fonctionnels et questionnaire — permettent dʼétablir que les fonctions attendues existent, quʼelles fonctionnent conformément aux spécifications et quʼelles répondent à des besoins exprimés. Ils ne permettent pas, en revanche, de mesurer un effet causal sur les pratiques : démontrer quʼune fonction améliore réellement lʼaccès supposerait une mesure comparative avant et après la mise en service, sur une population suffisante. Cette limite est assumée et structure la formulation retenue au chapitre V, où les hypothèses sont dites corroborées sur le plan de la faisabilité et de la pertinence, et non démontrées quant à leurs effets.</w:t>
      </w:r>
    </w:p>
    <w:p>
      <w:pPr>
        <w:spacing w:before="260"/>
      </w:pPr>
      <w:r>
        <w:rPr>
          <w:b/>
          <w:color w:val="14213D"/>
          <w:sz w:val="23"/>
        </w:rPr>
        <w:t>20. MODIFICATION — CHAPITRE IV: DÉMONSTRATION DE L’APPLICATION</w:t>
      </w:r>
    </w:p>
    <w:p>
      <w:r>
        <w:rPr>
          <w:b/>
          <w:color w:val="C0392B"/>
          <w:sz w:val="19"/>
        </w:rPr>
        <w:t>AVANT :</w:t>
      </w:r>
    </w:p>
    <w:p>
      <w:pPr>
        <w:ind w:left="340"/>
      </w:pPr>
      <w:r>
        <w:rPr>
          <w:i/>
          <w:sz w:val="19"/>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propose parcours suivis, organisé par acteur, puis présente les fonctions transversales, notifications, double authentification, connexion Google, ainsi que l’application mobile et son mode hors connexion.</w:t>
      </w:r>
    </w:p>
    <w:p>
      <w:r>
        <w:rPr>
          <w:b/>
          <w:color w:val="146C43"/>
          <w:sz w:val="19"/>
        </w:rPr>
        <w:t>APRÈS :</w:t>
      </w:r>
    </w:p>
    <w:p>
      <w:pPr>
        <w:ind w:left="340"/>
      </w:pPr>
      <w:r>
        <w:rPr>
          <w:sz w:val="19"/>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présente les parcours suivis, organisés par acteur, puis présente les fonctions transversales, notifications, double authentification, connexion Google, ainsi que l’application mobile et son mode hors connexion.</w:t>
      </w:r>
    </w:p>
    <w:p>
      <w:pPr>
        <w:spacing w:before="260"/>
      </w:pPr>
      <w:r>
        <w:rPr>
          <w:b/>
          <w:color w:val="14213D"/>
          <w:sz w:val="23"/>
        </w:rPr>
        <w:t>21. MODIFICATION — CHAPITRE IV: DÉMONSTRATION DE L’APPLICATION › Section 1: Environnement et parcours par rôle › 1.2 Parcours Administrateur</w:t>
      </w:r>
    </w:p>
    <w:p>
      <w:r>
        <w:rPr>
          <w:b/>
          <w:color w:val="C0392B"/>
          <w:sz w:val="19"/>
        </w:rPr>
        <w:t>AVANT :</w:t>
      </w:r>
    </w:p>
    <w:p>
      <w:pPr>
        <w:ind w:left="340"/>
      </w:pPr>
      <w:r>
        <w:rPr>
          <w:i/>
          <w:sz w:val="19"/>
        </w:rPr>
        <w:t>Après authentification, l’Administrateur accède à son tableau de bord. Le bandeau supérieur présente des actions rapides (Ressources, Publier, Centre de contrôle, Utilisateurs, Rapport complet) et plusieurs indicateurs synthétiques,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r>
        <w:rPr>
          <w:b/>
          <w:color w:val="146C43"/>
          <w:sz w:val="19"/>
        </w:rPr>
        <w:t>APRÈS :</w:t>
      </w:r>
    </w:p>
    <w:p>
      <w:pPr>
        <w:ind w:left="340"/>
      </w:pPr>
      <w:r>
        <w:rPr>
          <w:sz w:val="19"/>
        </w:rPr>
        <w:t>Après authentification, l’Administrateur accède à son tableau de bord. Le bandeau supérieur présente des actions rapides (Ressources, Publier, Centre de contrôle, Utilisateurs, Rapport complet) et plusieurs indicateurs synthétiques, au moment de la capture : 9 ressources, 378 utilisateurs, 5 commentaires et 12 filières. Ces volumes traduisent une phase dʼamorçage : la plateforme venait dʼêtre mise en service et les comptes avaient été créés par import avant que les délégués nʼalimentent le fonds documentaire. Ils ne sauraient donc être lus comme une mesure dʼadoption. Un histogramme « Ressources par filière » et une courbe « Activité des étudiants par jour » (téléchargements, consultations, commentaires) distinguent l’activité en ligne (web) de l’activité mobile. L’ensemble offre une vue d’ensemble immédiate de la vie de la plateforme.</w:t>
      </w:r>
    </w:p>
    <w:p>
      <w:pPr>
        <w:spacing w:before="260"/>
      </w:pPr>
      <w:r>
        <w:rPr>
          <w:b/>
          <w:color w:val="14213D"/>
          <w:sz w:val="23"/>
        </w:rPr>
        <w:t>22. MODIFICATION — CHAPITRE IV: DÉMONSTRATION DE L’APPLICATION › Section 2 : Fonctions transversales et application mobile › 2.3 Application mobile et consultation hors connexion</w:t>
      </w:r>
    </w:p>
    <w:p>
      <w:r>
        <w:rPr>
          <w:b/>
          <w:color w:val="C0392B"/>
          <w:sz w:val="19"/>
        </w:rPr>
        <w:t>AVANT :</w:t>
      </w:r>
    </w:p>
    <w:p>
      <w:pPr>
        <w:ind w:left="340"/>
      </w:pPr>
      <w:r>
        <w:rPr>
          <w:i/>
          <w:sz w:val="19"/>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r>
        <w:rPr>
          <w:b/>
          <w:color w:val="146C43"/>
          <w:sz w:val="19"/>
        </w:rPr>
        <w:t>APRÈS :</w:t>
      </w:r>
    </w:p>
    <w:p>
      <w:pPr>
        <w:ind w:left="340"/>
      </w:pPr>
      <w:r>
        <w:rPr>
          <w:sz w:val="19"/>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l’équipement des répondants, dont cinq sur six disposent à la fois d’un smartphone et d’un ordinateur.</w:t>
      </w:r>
    </w:p>
    <w:p>
      <w:pPr>
        <w:spacing w:before="260"/>
      </w:pPr>
      <w:r>
        <w:rPr>
          <w:b/>
          <w:color w:val="14213D"/>
          <w:sz w:val="23"/>
        </w:rPr>
        <w:t>23. MODIFICATION — CHAPITRE IV: DÉMONSTRATION DE L’APPLICATION › Section 2 : Fonctions transversales et application mobile › 2.4 Évaluation des enseignants</w:t>
      </w:r>
    </w:p>
    <w:p>
      <w:r>
        <w:rPr>
          <w:b/>
          <w:color w:val="C0392B"/>
          <w:sz w:val="19"/>
        </w:rPr>
        <w:t>AVANT :</w:t>
      </w:r>
    </w:p>
    <w:p>
      <w:pPr>
        <w:ind w:left="340"/>
      </w:pPr>
      <w:r>
        <w:rPr>
          <w:i/>
          <w:sz w:val="19"/>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r>
        <w:rPr>
          <w:b/>
          <w:color w:val="146C43"/>
          <w:sz w:val="19"/>
        </w:rPr>
        <w:t>APRÈS :</w:t>
      </w:r>
    </w:p>
    <w:p>
      <w:pPr>
        <w:ind w:left="340"/>
      </w:pPr>
      <w:r>
        <w:rPr>
          <w:sz w:val="19"/>
        </w:rPr>
        <w:t>La plateforme intègre un dispositif dʼévaluation des enseignants reproduisant la grille officielle de lʼAFI-LʼUE : quinze indicateurs notés sur vingt. Depuis son espace, lʼÉtudiant retrouve les enseignements de sa classe et attribue une note à chaque critère, sans que son identité soit restituée dans les résultats. La plateforme calcule ensuite automatiquement la moyenne, qui constitue la note du module. Une même matière ne peut être évaluée quʼune fois par année académique. Du côté de lʼAdministrateur, un tableau de résultats agrège les notes par filière, niveau, semestre et année, puis calcule la note générale de chaque enseignant. Ce rapport peut être imprimé ou exporté au format PDF. Lʼimpression est possible dès quʼun seuil de participation de 80 % est atteint, afin dʼexploiter les résultats sans exiger la réponse de la totalité des étudiants. Deux précautions doivent être signalées. Dʼune part, lʼidentifiant de lʼétudiant est conservé en base pour empêcher un double vote : le dispositif est pseudonymisé et non anonyme au sens strict. Dʼautre part, dans une classe à faible effectif ou lorsque le nombre de votants est très réduit, la confidentialité des réponses devient fragile ; un nombre minimal de répondants devrait donc conditionner la restitution des résultats, indépendamment du taux de participation.</w:t>
      </w:r>
    </w:p>
    <w:p>
      <w:pPr>
        <w:spacing w:before="260"/>
      </w:pPr>
      <w:r>
        <w:rPr>
          <w:b/>
          <w:color w:val="14213D"/>
          <w:sz w:val="23"/>
        </w:rPr>
        <w:t>24. MODIFICATION — CHAPITRE V: CADRE ANALYTIQUE › Section 1 : Analyse des résultats › 1.1 Présentation des résultats — tests fonctionnels</w:t>
      </w:r>
    </w:p>
    <w:p>
      <w:r>
        <w:rPr>
          <w:b/>
          <w:color w:val="C0392B"/>
          <w:sz w:val="19"/>
        </w:rPr>
        <w:t>AVANT :</w:t>
      </w:r>
    </w:p>
    <w:p>
      <w:pPr>
        <w:ind w:left="340"/>
      </w:pPr>
      <w:r>
        <w:rPr>
          <w:i/>
          <w:sz w:val="19"/>
        </w:rPr>
        <w:t>Tableau 4: Tableau des scénarios de tests fonctionnels – Plateforme AFI. Source : Paul BONGUE, 2026.</w:t>
      </w:r>
    </w:p>
    <w:p>
      <w:r>
        <w:rPr>
          <w:b/>
          <w:color w:val="146C43"/>
          <w:sz w:val="19"/>
        </w:rPr>
        <w:t>APRÈS :</w:t>
      </w:r>
    </w:p>
    <w:p>
      <w:pPr>
        <w:ind w:left="340"/>
      </w:pPr>
      <w:r>
        <w:rPr>
          <w:sz w:val="19"/>
        </w:rPr>
        <w:t>Tableau 7 : Tableau des scénarios de tests fonctionnels – Plateforme AFI. Source : Paul BONGUE, 2026.</w:t>
      </w:r>
    </w:p>
    <w:p>
      <w:pPr>
        <w:spacing w:before="260"/>
      </w:pPr>
      <w:r>
        <w:rPr>
          <w:b/>
          <w:color w:val="14213D"/>
          <w:sz w:val="23"/>
        </w:rPr>
        <w:t>25. MODIFICATION — CHAPITRE V: CADRE ANALYTIQUE › Section 1 : Analyse des résultats › 1.2 Synthèse des résultats obtenus et discussion</w:t>
      </w:r>
    </w:p>
    <w:p>
      <w:r>
        <w:rPr>
          <w:b/>
          <w:color w:val="C0392B"/>
          <w:sz w:val="19"/>
        </w:rPr>
        <w:t>AVANT :</w:t>
      </w:r>
    </w:p>
    <w:p>
      <w:pPr>
        <w:ind w:left="340"/>
      </w:pPr>
      <w:r>
        <w:rPr>
          <w:i/>
          <w:sz w:val="19"/>
        </w:rPr>
        <w:t>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5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téléchargement direct (100 %) et recherche par filière/matière (80 %), sont précisément ceux que la solution met en œuvre. De même, la facilité de navigation, critère de qualité le plus cité (100 %), est au centre de la conception. L’hypothèse 1 est donc confirmée sur le plan de la pertinence et de la réalisation. En revanche, la mesure fine du gain de temps réel demanderait un suivi dʼusage sur une population plus large.</w:t>
      </w:r>
    </w:p>
    <w:p>
      <w:pPr>
        <w:ind w:left="340"/>
      </w:pPr>
      <w:r>
        <w:rPr>
          <w:i/>
          <w:sz w:val="19"/>
        </w:rPr>
        <w:t>La possibilité, pour le Délégué, de publier directement sans validation administrative favorise une mise à jour régulière et fréquente des ressources. La plateforme supprime tout circuit de validation : la publication est immediate, tout en restant limitée à la filière du Délégué grâce à la Policy serveur.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L’hypothèse 2 est confirmée sur le plan technique et sur celui de lʼacceptation par les délégués. Toutefois, la fréquence effective de publication dans la durée reste à mesurer dans un contexte réel dʼexploitation.</w:t>
      </w:r>
    </w:p>
    <w:p>
      <w:pPr>
        <w:ind w:left="340"/>
      </w:pPr>
      <w:r>
        <w:rPr>
          <w:i/>
          <w:sz w:val="19"/>
        </w:rPr>
        <w:t>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L’hypothèse 3 est donc confirmée sur le plan de la réalisation. La mesure de son effet réel sur la réussite des étudiants dans les zones de faible connectivité demanderait cependant un suivi dʼusage plus long.</w:t>
      </w:r>
    </w:p>
    <w:p>
      <w:pPr>
        <w:ind w:left="340"/>
      </w:pPr>
      <w:r>
        <w:rPr>
          <w:i/>
          <w:sz w:val="19"/>
        </w:rPr>
        <w:t>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dans lʼapplication, notification push et courrier électronique,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L’hypothèse 4 est donc confirmée pour sa dimension informationnelle, et partiellement pour sa dimension collaborative. La collaboration est bien possible et souhaitée par une partie des utilisateurs, mais son ampleur dépendra de lʼappropriation du dispositif dans la durée.</w:t>
      </w:r>
    </w:p>
    <w:p>
      <w:pPr>
        <w:ind w:left="340"/>
      </w:pPr>
      <w:r>
        <w:rPr>
          <w:i/>
          <w:sz w:val="19"/>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pPr>
        <w:ind w:left="340"/>
      </w:pPr>
      <w:r>
        <w:rPr>
          <w:i/>
          <w:sz w:val="19"/>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seul étudiant dans un cadre académique, certaines dimensions (tests automatisés, audit de sécurité approfondi, montée en charge) nʼont pas pu être traitées avec lʼampleur dʼun projet industriel.</w:t>
      </w:r>
    </w:p>
    <w:p>
      <w:r>
        <w:rPr>
          <w:b/>
          <w:color w:val="146C43"/>
          <w:sz w:val="19"/>
        </w:rPr>
        <w:t>APRÈS :</w:t>
      </w:r>
    </w:p>
    <w:p>
      <w:pPr>
        <w:ind w:left="340"/>
      </w:pPr>
      <w:r>
        <w:rPr>
          <w:sz w:val="19"/>
        </w:rPr>
        <w:t>H1 — La centralisation et la classification hiérarchique des ressources améliorent la facilité et la rapidité dʼaccès aux supports de cours. Le questionnaire établit dʼabord la réalité du problème : les six répondants déclarent avoir déjà perdu un document faute de stockage fiable, les six recourent aux groupes WhatsApp, et la moitié met plus de quinze minutes à retrouver un cours, aucun nʼy parvenant en moins de cinq minutes. La plateforme y répond par une classification hiérarchique filière → niveau → matière, un moteur de recherche et des filtres, dont les tests T08 à T10 vérifient le fonctionnement. Les besoins classés prioritaires par les étudiants — téléchargement direct (cinq sur cinq), recherche par filière ou matière (quatre sur cinq) et facilité de navigation (cinq sur cinq) — correspondent précisément aux fonctions réalisées. Conformément aux critères posés au chapitre III, H1 est donc corroborée sur le plan de la faisabilité et de la pertinence : la réponse technique existe, elle fonctionne et elle rencontre un besoin documenté. Elle nʼest pas démontrée quant à son effet : établir un gain de temps réel exigerait une mesure comparative, avant et après la mise en service, sur une tâche de recherche chronométrée.</w:t>
      </w:r>
    </w:p>
    <w:p>
      <w:pPr>
        <w:ind w:left="340"/>
      </w:pPr>
      <w:r>
        <w:rPr>
          <w:sz w:val="19"/>
        </w:rPr>
        <w:t>H2 — La publication directe par le Délégué, sans validation administrative, favorise une mise à jour régulière et fréquente des ressources. Lʼarchitecture supprime tout circuit de validation : lʼabsence dʼattribut statut dans la classe Ressource rend la publication immédiate, tout en la bornant à la filière du Délégué par une Policy appliquée côté serveur, dont les tests T06 et T07 vérifient lʼefficacité. Sur le plan de lʼacceptation, les deux délégués interrogés se disent à lʼaise pour publier sans validation, à condition de disposer de lignes directrices claires, et signalent tous deux le problème des « anciens fichiers introuvables ». H2 est donc corroborée quant à la faisabilité technique et à lʼacceptation déclarée. Deux réserves doivent être formulées. La première tient à lʼeffectif : deux répondants ne sauraient fonder une conclusion générale sur lʼacceptation du dispositif. La seconde tient à lʼobjet même de lʼhypothèse : la fréquence effective de publication ne pourra être établie quʼaprès observation dʼune année académique complète, ce que le calendrier de ce travail ne permettait pas.</w:t>
      </w:r>
    </w:p>
    <w:p>
      <w:pPr>
        <w:ind w:left="340"/>
      </w:pPr>
      <w:r>
        <w:rPr>
          <w:sz w:val="19"/>
        </w:rPr>
        <w:t>H3 — La disponibilité des ressources hors connexion améliore lʼaccès pour les étudiants confrontés à une connectivité limitée. Lʼapplication mobile conserve les ressources téléchargées dans une base SQLite embarquée et les rend consultables sans réseau ; le test T20 confirme ce comportement sur lʼapplication déployée. Le besoin objectif est établi par le contexte : lʼaccès à Internet demeure coûteux et inégal en Afrique subsaharienne (GSMA, 2024), et cinq répondants sur six disposent dʼun smartphone. Un résultat mérite toutefois dʼêtre relevé pour sa portée critique : interrogés sur lʼintérêt dʼune consultation hors connexion, quatre étudiants sur cinq la jugent seulement « parfois utile », un seul « souvent utile », aucun ne la déclarant inutile. La demande explicite est donc plus modérée que ne le laissait supposer le diagnostic contextuel. H3 est ainsi corroborée sur le plan de la réalisation technique, mais la demande déclarée invite à la prudence : il existe un écart entre le besoin objectif, établi par les données de connectivité, et le besoin ressenti, exprimé par des répondants majoritairement équipés et connectés. Cet écart constitue en soi un résultat, et il rejoint lʼavertissement de lʼUNESCO (2023) selon lequel une technologie éducative ne produit dʼeffet que si elle répond à un besoin effectivement perçu par ses utilisateurs.</w:t>
      </w:r>
    </w:p>
    <w:p>
      <w:pPr>
        <w:ind w:left="340"/>
      </w:pPr>
      <w:r>
        <w:rPr>
          <w:sz w:val="19"/>
        </w:rPr>
        <w:t>H4 — Les fonctionnalités dʼéchange et de notification renforcent la circulation de lʼinformation et la collaboration entre pairs. La plateforme met à disposition un espace de commentaires sur les ressources, une discussion réservée aux membres dʼune même classe et des annonces ciblées, complétés par des notifications in-app, push et par courrier électronique. Les tests T12 à T15 valident le fonctionnement des commentaires et de leur modération. Sur le versant informationnel, le besoin est net : quatre étudiants sur cinq jugent prioritaire la notification lors de lʼajout dʼun document. Sur le versant collaboratif, lʼadhésion est plus réservée, et les volumes observés sur lʼinstance de production demeurent faibles au moment de la rédaction. H4 est donc corroborée dans sa dimension informationnelle et seulement partiellement dans sa dimension collaborative. Ce résultat nuancé est cohérent avec la théorie mobilisée : Vygotsky (1978) montre que lʼinteraction soutient lʼapprentissage, mais un outil ne crée pas à lui seul une communauté dʼapprentissage. Il en fournit les conditions ; lʼappropriation relève des pratiques et du temps.</w:t>
      </w:r>
    </w:p>
    <w:p>
      <w:pPr>
        <w:ind w:left="340"/>
      </w:pPr>
      <w:r>
        <w:rPr>
          <w:sz w:val="19"/>
        </w:rPr>
        <w:t>En résumé, la plateforme apporte une réponse construite aux quatre défaillances identifiées au chapitre II : la centralisation pérenne corrige la volatilité de lʼinformation, la classification hiérarchique répond au désordre organisationnel, lʼaccès web et mobile avec consultation hors connexion réduit lʼexclusion numérique, et les espaces dʼéchange soutenus par les notifications ouvrent des possibilités de collaboration absentes des groupes de messagerie. Les quatre hypothèses sont corroborées sur le plan de la faisabilité et de la pertinence : les fonctions attendues existent, fonctionnent et répondent à des besoins documentés. Aucune ne peut être tenue pour démontrée quant à ses effets sur les pratiques, faute de mesure comparative et de recul temporel. Cette distinction, posée dès le chapitre III, nʼaffaiblit pas le résultat : elle en précise la portée et trace le programme dʼune évaluation ultérieure.</w:t>
      </w:r>
    </w:p>
    <w:p>
      <w:pPr>
        <w:ind w:left="340"/>
      </w:pPr>
      <w:r>
        <w:rPr>
          <w:sz w:val="19"/>
        </w:rPr>
        <w:t>Limites. Plusieurs limites doivent être clairement énoncées. La première tient à lʼéchantillon : six réponses ne permettent aucune généralisation statistique, et les résultats ont pour cette raison été exprimés en effectifs bruts plutôt quʼen pourcentages. La deuxième est méthodologique : lʼévaluation a été conçue, conduite et interprétée par le concepteur de la plateforme lui-même, sur son propre artefact, sans test dʼutilisabilité auprès dʼutilisateurs finaux ; cette position de juge et partie constitue un biais quʼil faut assumer, dʼautant plus net que le cadre théorique revendique une démarche centrée utilisateur (Norman, 2013). La troisième porte sur lʼabsence de mesure comparative : aucune donnée avant / après ne permet dʼétablir un gain effectif. La quatrième est temporelle : le recul est trop court pour observer lʼappropriation, en particulier pour H2 et H4. La cinquième concerne le mode hors connexion, strictement consultatif : il ne met en œuvre ni écriture locale ni résolution de conflits, et ne constitue donc pas un offline-first complet au sens de Kleppmann et al. (2019). La sixième est technique : les fichiers déposés sont servis par le serveur web à partir dʼun répertoire public, de sorte que le contrôle dʼaccès par filière sʼapplique à lʼinterface de programmation mais non aux fichiers eux-mêmes ; un stockage privé assorti dʼune route de téléchargement contrôlée constitue le correctif prioritaire. Sur le même plan, le jeton dʼauthentification est conservé dans le localStorage du navigateur, ce qui lʼexpose à une attaque par injection de script ; un cookie httpOnly offrirait une protection plus sûre. Enfin, le projet ayant été mené par un seul étudiant dans un cadre académique, les tests automatisés, lʼaudit de sécurité approfondi et les essais de montée en charge nʼont pas pu être conduits.</w:t>
      </w:r>
    </w:p>
    <w:p>
      <w:pPr>
        <w:ind w:left="340"/>
      </w:pPr>
      <w:r>
        <w:rPr>
          <w:sz w:val="19"/>
        </w:rPr>
        <w:t>1.3 Discussion : confrontation aux travaux de référence</w:t>
      </w:r>
    </w:p>
    <w:p>
      <w:pPr>
        <w:ind w:left="340"/>
      </w:pPr>
      <w:r>
        <w:rPr>
          <w:sz w:val="19"/>
        </w:rPr>
        <w:t>Au-delà de la vérification des hypothèses, les résultats obtenus peuvent être mis en regard des travaux mobilisés au chapitre I. Cette confrontation permet dʼapprécier ce que ce cas particulier confirme, nuance ou déplace.</w:t>
      </w:r>
    </w:p>
    <w:p>
      <w:pPr>
        <w:ind w:left="340"/>
      </w:pPr>
      <w:r>
        <w:rPr>
          <w:sz w:val="19"/>
        </w:rPr>
        <w:t>Les résultats corroborent lʼanalyse de lʼUNESCO (2023) : une technologie éducative ne produit dʼeffet que lorsquʼelle répond à un besoin clairement identifié. Cʼest précisément ce qui a conduit à écarter le déploiement dʼun LMS complet au profit dʼun outil délibérément restreint. Ils rejoignent également le constat de Mtebe et Raisamo (2014) sur les freins à lʼadoption des plateformes en Afrique subsaharienne : la simplicité dʼadministration a pesé autant que la richesse fonctionnelle dans le choix retenu.</w:t>
      </w:r>
    </w:p>
    <w:p>
      <w:pPr>
        <w:ind w:left="340"/>
      </w:pPr>
      <w:r>
        <w:rPr>
          <w:sz w:val="19"/>
        </w:rPr>
        <w:t>La mise en garde de Naveh et al. (2010) contre la sur-fonctionnalité mérite toutefois dʼêtre retournée contre ce travail lui-même. La plateforme livrée dépasse la seule diffusion documentaire : elle intègre annonces, discussion de classe, emplois du temps, double authentification et évaluation des enseignants. Certaines de ces fonctions procèdent directement des besoins exprimés — les notifications, la discussion de classe — mais dʼautres relèvent dʼune commande institutionnelle, en particulier lʼévaluation des enseignants, qui ne soutient pas la diffusion des ressources. La tension entre le principe de sobriété défendu au chapitre I et lʼétendue effective de lʼartefact doit être reconnue : maîtriser un périmètre fonctionnel sʼest révélé plus difficile en pratique quʼen théorie, ce qui constitue en soi un enseignement du projet.</w:t>
      </w:r>
    </w:p>
    <w:p>
      <w:pPr>
        <w:ind w:left="340"/>
      </w:pPr>
      <w:r>
        <w:rPr>
          <w:sz w:val="19"/>
        </w:rPr>
        <w:t>Le cadre socioconstructiviste de Vygotsky (1978) éclaire enfin le résultat le plus nuancé de lʼétude. Les espaces dʼéchange ont été conçus pour soutenir lʼapprentissage entre pairs, mais leur usage effectif demeure marginal à ce stade. Ce décalage confirme que la médiation sociale de lʼapprentissage suppose des conditions dʼappropriation qui excèdent la seule mise à disposition dʼun outil. Quant à la thèse de Fielding (2000) et à la recommandation de Newman (2015) en faveur dʼun monolithe structuré, elles se sont vérifiées à lʼusage : lʼarchitecture retenue a permis à un développeur unique de faire évoluer le système sans coût de coordination, ce qui aurait été improbable dans une architecture distribuée.</w:t>
      </w:r>
    </w:p>
    <w:p>
      <w:pPr>
        <w:spacing w:before="260"/>
      </w:pPr>
      <w:r>
        <w:rPr>
          <w:b/>
          <w:color w:val="14213D"/>
          <w:sz w:val="23"/>
        </w:rPr>
        <w:t>26. MODIFICATION — CHAPITRE V: CADRE ANALYTIQUE › Section 2 : Recommandations › 2.2 Améliorations et perspectives</w:t>
      </w:r>
    </w:p>
    <w:p>
      <w:r>
        <w:rPr>
          <w:b/>
          <w:color w:val="C0392B"/>
          <w:sz w:val="19"/>
        </w:rPr>
        <w:t>AVANT :</w:t>
      </w:r>
    </w:p>
    <w:p>
      <w:pPr>
        <w:ind w:left="340"/>
      </w:pPr>
      <w:r>
        <w:rPr>
          <w:i/>
          <w:sz w:val="19"/>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w:t>
      </w:r>
    </w:p>
    <w:p>
      <w:pPr>
        <w:ind w:left="340"/>
      </w:pPr>
      <w:r>
        <w:rPr>
          <w:i/>
          <w:sz w:val="19"/>
        </w:rPr>
        <w:t>À moyen et long terme, plusieurs évolutions restent possibles: un espace alumni ouvert aux anciens diplômés; une gestion des versions de documents avec historique;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r>
        <w:rPr>
          <w:b/>
          <w:color w:val="146C43"/>
          <w:sz w:val="19"/>
        </w:rPr>
        <w:t>APRÈS :</w:t>
      </w:r>
    </w:p>
    <w:p>
      <w:pPr>
        <w:ind w:left="340"/>
      </w:pPr>
      <w:r>
        <w:rPr>
          <w:sz w:val="19"/>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w:t>
      </w:r>
    </w:p>
    <w:p>
      <w:pPr>
        <w:ind w:left="340"/>
      </w:pPr>
      <w:r>
        <w:rPr>
          <w:sz w:val="19"/>
        </w:rPr>
        <w:t>À moyen et long terme, plusieurs évolutions restent possibles: un espace alumni ouvert aux anciens diplômés; une gestion des versions de documents avec historique;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 Trois chantiers méritent enfin dʼêtre distingués des simples évolutions fonctionnelles, car ils conditionnent la valeur scientifique et institutionnelle du dispositif : une évaluation dʼusage comparative, mesurant avant et après la mise en service le temps nécessaire pour retrouver un document et la satisfaction perçue au moyen dʼune échelle normalisée ; la sécurisation du stockage des fichiers par une route de téléchargement soumise au contrôle dʼaccès, complétée par un audit de sécurité indépendant ; et la mise en conformité réglementaire, avec déclaration du traitement auprès de la Commission de protection des données personnelles, publication dʼune politique de confidentialité et adoption dʼune charte de publication recueillant lʼaccord des enseignants.</w:t>
      </w:r>
    </w:p>
    <w:p>
      <w:pPr>
        <w:spacing w:before="260"/>
      </w:pPr>
      <w:r>
        <w:rPr>
          <w:b/>
          <w:color w:val="14213D"/>
          <w:sz w:val="23"/>
        </w:rPr>
        <w:t>27. AJOUT — BIBLIOGRAPHIE › 1. Livres et ouvrages</w:t>
      </w:r>
    </w:p>
    <w:p>
      <w:r>
        <w:rPr>
          <w:b/>
          <w:color w:val="146C43"/>
          <w:sz w:val="19"/>
        </w:rPr>
        <w:t>TEXTE AJOUTÉ :</w:t>
      </w:r>
    </w:p>
    <w:p>
      <w:pPr>
        <w:ind w:left="340"/>
      </w:pPr>
      <w:r>
        <w:rPr>
          <w:sz w:val="19"/>
        </w:rPr>
        <w:t>Wenger, E. (1998). Communities of practice: Learning, meaning, and identity. Cambridge University Press.</w:t>
      </w:r>
    </w:p>
    <w:p>
      <w:pPr>
        <w:spacing w:before="260"/>
      </w:pPr>
      <w:r>
        <w:rPr>
          <w:b/>
          <w:color w:val="14213D"/>
          <w:sz w:val="23"/>
        </w:rPr>
        <w:t>28. AJOUT — BIBLIOGRAPHIE › 2. Articles scientifiques</w:t>
      </w:r>
    </w:p>
    <w:p>
      <w:r>
        <w:rPr>
          <w:b/>
          <w:color w:val="146C43"/>
          <w:sz w:val="19"/>
        </w:rPr>
        <w:t>TEXTE AJOUTÉ :</w:t>
      </w:r>
    </w:p>
    <w:p>
      <w:pPr>
        <w:ind w:left="340"/>
      </w:pPr>
      <w:r>
        <w:rPr>
          <w:sz w:val="19"/>
        </w:rPr>
        <w:t>Hevner, A. R., March, S. T., Park, J., &amp; Ram, S. (2004). Design science in information systems research. MIS Quarterly, 28(1), 75-105. https://doi.org/10.2307/25148625</w:t>
      </w:r>
    </w:p>
    <w:p>
      <w:pPr>
        <w:ind w:left="340"/>
      </w:pPr>
      <w:r>
        <w:rPr>
          <w:sz w:val="19"/>
        </w:rPr>
        <w:t>Peffers, K., Tuunanen, T., Rothenberger, M. A., &amp; Chatterjee, S. (2007). A design science research methodology for information systems research. Journal of Management Information Systems, 24(3), 45-77. https://doi.org/10.2753/MIS0742-1222240302</w:t>
      </w:r>
    </w:p>
    <w:p>
      <w:pPr>
        <w:spacing w:before="260"/>
      </w:pPr>
      <w:r>
        <w:rPr>
          <w:b/>
          <w:color w:val="14213D"/>
          <w:sz w:val="23"/>
        </w:rPr>
        <w:t>29. AJOUT — BIBLIOGRAPHIE › 6. Textes législatifs et réglementaires</w:t>
      </w:r>
    </w:p>
    <w:p>
      <w:r>
        <w:rPr>
          <w:b/>
          <w:color w:val="146C43"/>
          <w:sz w:val="19"/>
        </w:rPr>
        <w:t>TEXTE AJOUTÉ :</w:t>
      </w:r>
    </w:p>
    <w:p>
      <w:pPr>
        <w:ind w:left="340"/>
      </w:pPr>
      <w:r>
        <w:rPr>
          <w:sz w:val="19"/>
        </w:rPr>
        <w:t>6. Textes législatifs et réglementaires</w:t>
      </w:r>
    </w:p>
    <w:p>
      <w:pPr>
        <w:ind w:left="340"/>
      </w:pPr>
      <w:r>
        <w:rPr>
          <w:sz w:val="19"/>
        </w:rPr>
        <w:t>République du Sénégal. (2008). Loi n° 2008-12 du 25 janvier 2008 portant sur la protection des données à caractère personnel. Journal officiel de la République du Sénégal.</w:t>
      </w:r>
    </w:p>
    <w:p>
      <w:pPr>
        <w:ind w:left="340"/>
      </w:pPr>
      <w:r>
        <w:rPr>
          <w:sz w:val="19"/>
        </w:rPr>
        <w:t>République du Sénégal. (2008). Loi n° 2008-09 du 25 janvier 2008 sur le droit dʼauteur et les droits voisins. Journal officiel de la République du Sénégal.</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