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36"/>
        </w:rPr>
        <w:t>Mémo de soutenance — AFI-DOCS</w:t>
      </w:r>
    </w:p>
    <w:p>
      <w:pPr>
        <w:spacing w:after="100"/>
        <w:ind w:left="0"/>
        <w:jc w:val="both"/>
      </w:pPr>
      <w:r>
        <w:rPr>
          <w:i/>
          <w:sz w:val="21"/>
        </w:rPr>
        <w:t>Ce que je dois savoir défendre. Document de travail — Paul Daryll BONGUE NDOUNGOU, 2026.</w:t>
      </w:r>
    </w:p>
    <w:p>
      <w:pPr>
        <w:spacing w:before="320" w:after="80"/>
      </w:pPr>
      <w:r>
        <w:rPr>
          <w:b/>
          <w:color w:val="14213D"/>
          <w:sz w:val="28"/>
        </w:rPr>
        <w:t>1. Le socle : trois phrases à connaître par cœur</w:t>
      </w:r>
    </w:p>
    <w:p>
      <w:pPr>
        <w:spacing w:before="220" w:after="40"/>
      </w:pPr>
      <w:r>
        <w:rPr>
          <w:b/>
          <w:color w:val="C0392B"/>
          <w:sz w:val="23"/>
        </w:rPr>
        <w:t>Le sujet</w:t>
      </w:r>
    </w:p>
    <w:p>
      <w:pPr>
        <w:spacing w:after="100"/>
        <w:ind w:left="0"/>
        <w:jc w:val="both"/>
      </w:pPr>
      <w:r>
        <w:rPr>
          <w:i w:val="0"/>
          <w:sz w:val="21"/>
        </w:rPr>
        <w:t>« J'ai conçu, développé et déployé AFI-DOCS, une plateforme web et mobile qui centralise les ressources pédagogiques de l'AFI, en donnant à chaque étudiant l'accès aux documents de sa filière et de son niveau, y compris hors connexion. »</w:t>
      </w:r>
    </w:p>
    <w:p>
      <w:pPr>
        <w:spacing w:before="220" w:after="40"/>
      </w:pPr>
      <w:r>
        <w:rPr>
          <w:b/>
          <w:color w:val="C0392B"/>
          <w:sz w:val="23"/>
        </w:rPr>
        <w:t>Le problème</w:t>
      </w:r>
    </w:p>
    <w:p>
      <w:pPr>
        <w:spacing w:after="100"/>
        <w:ind w:left="0"/>
        <w:jc w:val="both"/>
      </w:pPr>
      <w:r>
        <w:rPr>
          <w:i w:val="0"/>
          <w:sz w:val="21"/>
        </w:rPr>
        <w:t>« À l'AFI, les cours circulent par WhatsApp : les fichiers expirent, rien n'est classé, et les six personnes interrogées ont toutes déjà perdu un document. »</w:t>
      </w:r>
    </w:p>
    <w:p>
      <w:pPr>
        <w:spacing w:before="220" w:after="40"/>
      </w:pPr>
      <w:r>
        <w:rPr>
          <w:b/>
          <w:color w:val="C0392B"/>
          <w:sz w:val="23"/>
        </w:rPr>
        <w:t>Ce que j'ai démontré — la phrase la plus importante</w:t>
      </w:r>
    </w:p>
    <w:p>
      <w:pPr>
        <w:spacing w:after="100"/>
        <w:ind w:left="0"/>
        <w:jc w:val="both"/>
      </w:pPr>
      <w:r>
        <w:rPr>
          <w:i w:val="0"/>
          <w:sz w:val="21"/>
        </w:rPr>
        <w:t>« J'ai démontré qu'une réponse technique existe, qu'elle fonctionne et qu'elle correspond à des besoins documentés. Mesurer son effet réel sur les pratiques demanderait un protocole avant/après que le calendrier ne permettait pas : je le décris en perspective. »</w:t>
      </w:r>
    </w:p>
    <w:p>
      <w:pPr>
        <w:spacing w:after="100"/>
        <w:ind w:left="0"/>
        <w:jc w:val="both"/>
      </w:pPr>
      <w:r>
        <w:rPr>
          <w:i/>
          <w:sz w:val="21"/>
        </w:rPr>
        <w:t>Ne jamais dire « j'ai prouvé que la plateforme améliore l'accès ». Dire « corroboré sur le plan de la faisabilité et de la pertinence, pas démontré quant aux effets » — c'est la formulation du mémoire (ch. III, 2.5 et ch. V).</w:t>
      </w:r>
    </w:p>
    <w:p>
      <w:pPr>
        <w:spacing w:before="320" w:after="80"/>
      </w:pPr>
      <w:r>
        <w:rPr>
          <w:b/>
          <w:color w:val="14213D"/>
          <w:sz w:val="28"/>
        </w:rPr>
        <w:t>2. Les six questions difficiles, et quoi répondre</w:t>
      </w:r>
    </w:p>
    <w:p>
      <w:pPr>
        <w:spacing w:before="160" w:after="20"/>
      </w:pPr>
      <w:r>
        <w:rPr>
          <w:b/>
          <w:color w:val="14213D"/>
          <w:sz w:val="21"/>
        </w:rPr>
        <w:t>« Pourquoi ne pas avoir simplement installé Moodle ? C'est gratuit. »</w:t>
      </w:r>
    </w:p>
    <w:p>
      <w:pPr>
        <w:spacing w:after="100"/>
        <w:ind w:left="227"/>
        <w:jc w:val="both"/>
      </w:pPr>
      <w:r>
        <w:rPr>
          <w:i w:val="0"/>
          <w:sz w:val="21"/>
        </w:rPr>
        <w:t>Trois raisons. Le modèle de publication d'abord : le besoin de l'AFI est qu'un étudiant délégué publie directement, sans validation ; ce rôle n'existe dans aucun LMS, où publier est une prérogative de l'enseignant. Le coût réel ensuite : la licence est gratuite, pas l'administration — montées de version, extensions, sauvegardes — et l'établissement n'a pas d'administrateur dédié. La sobriété enfin : déployer un LMS complet pour un besoin de diffusion documentaire, c'est le risque de sur-fonctionnalité décrit par Naveh et al. (2010). Le tableau 1 du chapitre II compare les quatre solutions. Et j'assume que Moodle est fonctionnellement plus riche : je ne prétends pas le surpasser, je réponds à un besoin délimité.</w:t>
      </w:r>
    </w:p>
    <w:p>
      <w:pPr>
        <w:spacing w:before="160" w:after="20"/>
      </w:pPr>
      <w:r>
        <w:rPr>
          <w:b/>
          <w:color w:val="14213D"/>
          <w:sz w:val="21"/>
        </w:rPr>
        <w:t>« Six réponses au questionnaire, ce n'est pas un échantillon. »</w:t>
      </w:r>
    </w:p>
    <w:p>
      <w:pPr>
        <w:spacing w:after="100"/>
        <w:ind w:left="227"/>
        <w:jc w:val="both"/>
      </w:pPr>
      <w:r>
        <w:rPr>
          <w:i w:val="0"/>
          <w:sz w:val="21"/>
        </w:rPr>
        <w:t>C'est exact, et c'est pourquoi je ne présente aucun résultat en pourcentage : tout est en effectifs bruts (cinq sur six, quatre sur cinq). Ces réponses ne servent pas à généraliser mais à documenter un besoin, et elles convergent avec le diagnostic contextuel. C'est la première limite que j'énonce au chapitre V.</w:t>
      </w:r>
    </w:p>
    <w:p>
      <w:pPr>
        <w:spacing w:before="160" w:after="20"/>
      </w:pPr>
      <w:r>
        <w:rPr>
          <w:b/>
          <w:color w:val="14213D"/>
          <w:sz w:val="21"/>
        </w:rPr>
        <w:t>« Quatre étudiants sur cinq jugent le hors connexion seulement « parfois utile ». N'est-ce pas votre fonctionnalité principale ? »</w:t>
      </w:r>
    </w:p>
    <w:p>
      <w:pPr>
        <w:spacing w:after="100"/>
        <w:ind w:left="227"/>
        <w:jc w:val="both"/>
      </w:pPr>
      <w:r>
        <w:rPr>
          <w:i w:val="0"/>
          <w:sz w:val="21"/>
        </w:rPr>
        <w:t>Ce résultat est dans le mémoire, je ne l'ai pas dissimulé, et il est instructif. Il y a un écart entre le besoin ressenti et le besoin objectif : mes répondants sont majoritairement équipés et connectés, donc ils sous-estiment une contrainte que les données de connectivité établissent (GSMA, 2024). C'est ce que dit l'UNESCO (2023) : une technologie n'a d'effet que si le besoin est perçu. Conséquence pratique : il faut accompagner la fonctionnalité, pas seulement la livrer.</w:t>
      </w:r>
    </w:p>
    <w:p>
      <w:pPr>
        <w:spacing w:before="160" w:after="20"/>
      </w:pPr>
      <w:r>
        <w:rPr>
          <w:b/>
          <w:color w:val="14213D"/>
          <w:sz w:val="21"/>
        </w:rPr>
        <w:t>« Vous avez évalué votre propre travail. N'êtes-vous pas juge et partie ? »</w:t>
      </w:r>
    </w:p>
    <w:p>
      <w:pPr>
        <w:spacing w:after="100"/>
        <w:ind w:left="227"/>
        <w:jc w:val="both"/>
      </w:pPr>
      <w:r>
        <w:rPr>
          <w:i w:val="0"/>
          <w:sz w:val="21"/>
        </w:rPr>
        <w:t>Si, et je l'écris dans les limites. C'est pourquoi les tests de sécurité ont été exécutés côté serveur avec Postman, indépendamment de l'interface : les captures de l'annexe 3 montrent les codes 401 et 403 renvoyés par l'API, ce qui est vérifiable par un tiers. Ce qui manque, et que je désigne comme la première suite à donner, c'est un test d'utilisabilité auprès d'étudiants.</w:t>
      </w:r>
    </w:p>
    <w:p>
      <w:pPr>
        <w:spacing w:before="160" w:after="20"/>
      </w:pPr>
      <w:r>
        <w:rPr>
          <w:b/>
          <w:color w:val="14213D"/>
          <w:sz w:val="21"/>
        </w:rPr>
        <w:t>« Publier sans validation, n'est-ce pas dangereux ? »</w:t>
      </w:r>
    </w:p>
    <w:p>
      <w:pPr>
        <w:spacing w:after="100"/>
        <w:ind w:left="227"/>
        <w:jc w:val="both"/>
      </w:pPr>
      <w:r>
        <w:rPr>
          <w:i w:val="0"/>
          <w:sz w:val="21"/>
        </w:rPr>
        <w:t>C'est un arbitrage assumé : je perds le contrôle a priori, je regagne en réactivité. Les contreparties sont en place : le délégué ne peut publier que dans sa filière et c'est vérifié côté serveur (test T06, capture en annexe) ; chaque ressource garde l'identité de son déposant, donc la responsabilité est traçable ; la modération a posteriori permet le retrait immédiat. Les deux délégués interrogés se disent à l'aise, à condition d'avoir des lignes directrices — d'où ma recommandation d'une charte de publication.</w:t>
      </w:r>
    </w:p>
    <w:p>
      <w:pPr>
        <w:spacing w:before="160" w:after="20"/>
      </w:pPr>
      <w:r>
        <w:rPr>
          <w:b/>
          <w:color w:val="14213D"/>
          <w:sz w:val="21"/>
        </w:rPr>
        <w:t>« L'évaluation des enseignants n'a pas de rapport avec la diffusion de ressources. »</w:t>
      </w:r>
    </w:p>
    <w:p>
      <w:pPr>
        <w:spacing w:after="100"/>
        <w:ind w:left="227"/>
        <w:jc w:val="both"/>
      </w:pPr>
      <w:r>
        <w:rPr>
          <w:i w:val="0"/>
          <w:sz w:val="21"/>
        </w:rPr>
        <w:t>Vous avez raison, et je le reconnais dans la discussion du chapitre V : c'est une commande institutionnelle, pas une déduction de mon cadre théorique. Elle illustre une tension que j'analyse — maîtriser un périmètre fonctionnel est plus difficile en pratique qu'en théorie. Je l'ai traitée avec des garde-fous : finalité formative, restitution agrégée, seuil de participation ; et je signale que dans une classe à faible effectif la confidentialité reste fragile.</w:t>
      </w:r>
    </w:p>
    <w:p>
      <w:pPr>
        <w:spacing w:before="320" w:after="80"/>
      </w:pPr>
      <w:r>
        <w:rPr>
          <w:b/>
          <w:color w:val="14213D"/>
          <w:sz w:val="28"/>
        </w:rPr>
        <w:t>3. Les pièges techniques : reconnaître avant qu'on ne les trouve</w:t>
      </w:r>
    </w:p>
    <w:p>
      <w:pPr>
        <w:spacing w:before="220" w:after="40"/>
      </w:pPr>
      <w:r>
        <w:rPr>
          <w:b/>
          <w:color w:val="C0392B"/>
          <w:sz w:val="23"/>
        </w:rPr>
        <w:t>Le hors connexion n'est pas un offline-first complet</w:t>
      </w:r>
    </w:p>
    <w:p>
      <w:pPr>
        <w:spacing w:after="100"/>
        <w:ind w:left="0"/>
        <w:jc w:val="both"/>
      </w:pPr>
      <w:r>
        <w:rPr>
          <w:i w:val="0"/>
          <w:sz w:val="21"/>
        </w:rPr>
        <w:t>Trois piliers définissent l'offline-first : stockage local, synchronisation, résolution de conflits. J'implémente les deux premiers. Le mode hors connexion est consultatif : l'étudiant lit, il ne modifie pas, donc aucun conflit n'est possible. Je parle donc de consultation hors connexion en lecture seule (ch. I, 1.4).</w:t>
      </w:r>
    </w:p>
    <w:p>
      <w:pPr>
        <w:spacing w:before="220" w:after="40"/>
      </w:pPr>
      <w:r>
        <w:rPr>
          <w:b/>
          <w:color w:val="C0392B"/>
          <w:sz w:val="23"/>
        </w:rPr>
        <w:t>Les fichiers ne sont pas protégés par le contrôle d'accès</w:t>
      </w:r>
    </w:p>
    <w:p>
      <w:pPr>
        <w:spacing w:after="100"/>
        <w:ind w:left="0"/>
        <w:jc w:val="both"/>
      </w:pPr>
      <w:r>
        <w:rPr>
          <w:i w:val="0"/>
          <w:sz w:val="21"/>
        </w:rPr>
        <w:t>À reconnaître d'emblée si on vous interroge sur la sécurité : le contrôle par filière s'applique à l'API, pas aux fichiers, servis depuis un répertoire public. Une URL connue donne accès au document. Correctif identifié : stockage privé et route de téléchargement soumise à la Policy. C'est dans les limites du ch. V, avec le jeton conservé en localStorage (exposé au XSS ; un cookie httpOnly serait plus sûr).</w:t>
      </w:r>
    </w:p>
    <w:p>
      <w:pPr>
        <w:spacing w:before="220" w:after="40"/>
      </w:pPr>
      <w:r>
        <w:rPr>
          <w:b/>
          <w:color w:val="C0392B"/>
          <w:sz w:val="23"/>
        </w:rPr>
        <w:t>Les volumes affichés sont faibles</w:t>
      </w:r>
    </w:p>
    <w:p>
      <w:pPr>
        <w:spacing w:after="100"/>
        <w:ind w:left="0"/>
        <w:jc w:val="both"/>
      </w:pPr>
      <w:r>
        <w:rPr>
          <w:i w:val="0"/>
          <w:sz w:val="21"/>
        </w:rPr>
        <w:t>Neuf ressources, 378 comptes, cinq commentaires : phase d'amorçage, les comptes ayant été créés par import avant que les délégués n'alimentent le fonds. C'est précisé au ch. IV pour que ces chiffres ne soient pas lus comme une mesure d'adoption.</w:t>
      </w:r>
    </w:p>
    <w:p>
      <w:pPr>
        <w:spacing w:before="220" w:after="40"/>
      </w:pPr>
      <w:r>
        <w:rPr>
          <w:b/>
          <w:color w:val="C0392B"/>
          <w:sz w:val="23"/>
        </w:rPr>
        <w:t>Domaine et hébergement</w:t>
      </w:r>
    </w:p>
    <w:p>
      <w:pPr>
        <w:spacing w:after="100"/>
        <w:ind w:left="0"/>
        <w:jc w:val="both"/>
      </w:pPr>
      <w:r>
        <w:rPr>
          <w:i w:val="0"/>
          <w:sz w:val="21"/>
        </w:rPr>
        <w:t>afidocs.duckdns.org convient à un prototype, pas à un usage institutionnel : je recommande un sous-domaine de l'établissement. L'hébergement est un VPS OVH mutualisé, au coût annuel modeste.</w:t>
      </w:r>
    </w:p>
    <w:p>
      <w:pPr>
        <w:spacing w:before="320" w:after="80"/>
      </w:pPr>
      <w:r>
        <w:rPr>
          <w:b/>
          <w:color w:val="14213D"/>
          <w:sz w:val="28"/>
        </w:rPr>
        <w:t>4. Ce qui fait la valeur du travail — à placer si on vous laisse parler</w:t>
      </w:r>
    </w:p>
    <w:p>
      <w:pPr>
        <w:spacing w:after="100"/>
        <w:ind w:left="170"/>
        <w:jc w:val="both"/>
      </w:pPr>
      <w:r>
        <w:rPr>
          <w:i w:val="0"/>
          <w:sz w:val="21"/>
        </w:rPr>
        <w:t>• La plateforme est réellement déployée et utilisable en ligne : beaucoup de mémoires s'arrêtent au prototype.</w:t>
      </w:r>
    </w:p>
    <w:p>
      <w:pPr>
        <w:spacing w:after="100"/>
        <w:ind w:left="170"/>
        <w:jc w:val="both"/>
      </w:pPr>
      <w:r>
        <w:rPr>
          <w:i w:val="0"/>
          <w:sz w:val="21"/>
        </w:rPr>
        <w:t>• Chaque choix technique découle d'un auteur : Vygotsky pour les commentaires, Norman pour le pré-remplissage de la filière, Fielding et Newman pour le monolithe structuré, Naveh pour ce que je n'ai pas fait.</w:t>
      </w:r>
    </w:p>
    <w:p>
      <w:pPr>
        <w:spacing w:after="100"/>
        <w:ind w:left="170"/>
        <w:jc w:val="both"/>
      </w:pPr>
      <w:r>
        <w:rPr>
          <w:i w:val="0"/>
          <w:sz w:val="21"/>
        </w:rPr>
        <w:t>• La sécurité est vérifiée côté serveur, indépendamment de l'interface (annexe 3).</w:t>
      </w:r>
    </w:p>
    <w:p>
      <w:pPr>
        <w:spacing w:after="100"/>
        <w:ind w:left="170"/>
        <w:jc w:val="both"/>
      </w:pPr>
      <w:r>
        <w:rPr>
          <w:i w:val="0"/>
          <w:sz w:val="21"/>
        </w:rPr>
        <w:t>• Le fil est continu : quatre défaillances, quatre besoins, quatre hypothèses, quatre vérifications.</w:t>
      </w:r>
    </w:p>
    <w:p>
      <w:pPr>
        <w:spacing w:after="100"/>
        <w:ind w:left="170"/>
        <w:jc w:val="both"/>
      </w:pPr>
      <w:r>
        <w:rPr>
          <w:i w:val="0"/>
          <w:sz w:val="21"/>
        </w:rPr>
        <w:t>• Les critères de validation ont été définis avant l'évaluation (ch. III, 2.5), et non après.</w:t>
      </w:r>
    </w:p>
    <w:p>
      <w:pPr>
        <w:spacing w:after="100"/>
        <w:ind w:left="170"/>
        <w:jc w:val="both"/>
      </w:pPr>
      <w:r>
        <w:rPr>
          <w:i w:val="0"/>
          <w:sz w:val="21"/>
        </w:rPr>
        <w:t>• Le cadre légal est traité : loi 2008-12 sur les données personnelles, loi 2008-09 sur le droit d'auteur, éthique du dispositif d'évaluation.</w:t>
      </w:r>
    </w:p>
    <w:p>
      <w:pPr>
        <w:spacing w:before="320" w:after="80"/>
      </w:pPr>
      <w:r>
        <w:rPr>
          <w:b/>
          <w:color w:val="14213D"/>
          <w:sz w:val="28"/>
        </w:rPr>
        <w:t>5. Les trois choses à ne pas oublier de dire</w:t>
      </w:r>
    </w:p>
    <w:p>
      <w:pPr>
        <w:spacing w:after="100"/>
        <w:ind w:left="170"/>
        <w:jc w:val="both"/>
      </w:pPr>
      <w:r>
        <w:rPr>
          <w:i w:val="0"/>
          <w:sz w:val="21"/>
        </w:rPr>
        <w:t>1. La déclaration du traitement auprès de la CDP relève de l'établissement : c'est une de mes recommandations, elle conditionne un usage institutionnel pérenne.</w:t>
      </w:r>
    </w:p>
    <w:p>
      <w:pPr>
        <w:spacing w:after="100"/>
        <w:ind w:left="170"/>
        <w:jc w:val="both"/>
      </w:pPr>
      <w:r>
        <w:rPr>
          <w:i w:val="0"/>
          <w:sz w:val="21"/>
        </w:rPr>
        <w:t>2. La charte de publication, qui recueillerait l'accord des enseignants sur la diffusion de leurs supports, reste à adopter.</w:t>
      </w:r>
    </w:p>
    <w:p>
      <w:pPr>
        <w:spacing w:after="100"/>
        <w:ind w:left="170"/>
        <w:jc w:val="both"/>
      </w:pPr>
      <w:r>
        <w:rPr>
          <w:i w:val="0"/>
          <w:sz w:val="21"/>
        </w:rPr>
        <w:t>3. La suite immédiate du travail est une évaluation d'usage comparative : mesurer le temps nécessaire pour retrouver un document avant et après la mise en service.</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