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spacing w:line="360" w:lineRule="auto" w:after="120"/>
        <w:jc w:val="center"/>
      </w:pPr>
      <w:bookmarkStart w:id="20" w:name="introduction-générale"/>
      <w:r>
        <w:rPr>
          <w:rFonts w:ascii="Times New Roman" w:hAnsi="Times New Roman"/>
          <w:b/>
          <w:sz w:val="30"/>
        </w:rPr>
        <w:t xml:space="preserve">Introduction générale</w:t>
      </w:r>
      <w:bookmarkEnd w:id="20"/>
    </w:p>
    <w:p>
      <w:pPr>
        <w:pStyle w:val="FirstParagraph"/>
        <w:spacing w:line="360" w:lineRule="auto" w:after="120"/>
        <w:jc w:val="both"/>
      </w:pPr>
      <w:r>
        <w:rPr>
          <w:rFonts w:ascii="Times New Roman" w:hAnsi="Times New Roman"/>
          <w:sz w:val="24"/>
        </w:rPr>
        <w:t xml:space="preserve">L’enseignement supérieur africain connaît depuis plusieurs années une transformation numérique profonde, considérablement accélérée par la crise sanitaire de 2019. Cette rupture forcée avec les modalités d’enseignement en présentiel a mis en lumière à la fois le potentiel des outils numériques pour la diffusion du savoir et les fragilités structurelles des dispositifs existants, notamment dans les établissements d’enseignement supérieur privés d’Afrique subsaharienne. Selon l’UNESCO (2023), plus de 1,5 milliard d’apprenants ont été contraints de basculer vers des formes d’apprentissage à distance, révélant l’urgence de disposer d’environnements numériques fiables, accessibles et organisés.</w:t>
      </w:r>
    </w:p>
    <w:p>
      <w:pPr>
        <w:pStyle w:val="BodyText"/>
        <w:spacing w:line="360" w:lineRule="auto" w:after="120"/>
        <w:jc w:val="both"/>
      </w:pPr>
      <w:r>
        <w:rPr>
          <w:rFonts w:ascii="Times New Roman" w:hAnsi="Times New Roman"/>
          <w:sz w:val="24"/>
        </w:rPr>
        <w:t xml:space="preserve">Dans ce contexte, AFI — L’Université de l’Entreprise, école supérieure privée sénégalaise, accueille des étudiants en Licence et en Master dans des filières aussi diverses que le Génie Logiciel, la Banque-Assurance-Finance, la Gestion des Ressources Humaines, le Marketing ou le Management Juridique. Malgré la diversité de ces formations et la croissance régulière de ses effectifs, la diffusion des ressources pédagogiques — cours, supports de TD, annales, guides — repose encore sur des canaux informels et fragmentés : groupes WhatsApp par promotion, transferts directs de fichiers entre étudiants, ou partages ponctuels par messagerie électronique. Cette réalité, si elle présente une certaine souplesse opérationnelle, révèle des limites structurelles qui compromettent durablement la qualité et l’équité de l’accès au savoir au sein de l’institution.</w:t>
      </w:r>
    </w:p>
    <w:p>
      <w:pPr>
        <w:pStyle w:val="BodyText"/>
        <w:spacing w:line="360" w:lineRule="auto" w:after="120"/>
        <w:jc w:val="both"/>
      </w:pPr>
      <w:r>
        <w:rPr>
          <w:rFonts w:ascii="Times New Roman" w:hAnsi="Times New Roman"/>
          <w:sz w:val="24"/>
        </w:rPr>
        <w:t xml:space="preserve">L’observation du terrain à l’AFI révèle quatre défaillances majeures dans le système de diffusion des ressources pédagogiques actuellement en vigueur. Premièrement, la volatilité de l’information : les fichiers partagés via WhatsApp se noient sous des centaines de messages, et un changement d’appareil entraîne la perte définitive de plusieurs semestres de cours. Deuxièmement, le désordre organisationnel : l’absence de classification cohérente par filière, niveau, matière ou type de document transforme chaque révision en parcours du combattant. Troisièmement, l’exclusion numérique : les étudiants sans smartphone récent ou connexion stable sont mécaniquement désavantagés, portant atteinte au principe d’égalité des chances. Quatrièmement, l’absence de collaboration structurée : les échanges informels ne permettent ni la valorisation des meilleures contributions pédagogiques, ni la construction d’une base de connaissances pérenne et partagée.</w:t>
      </w:r>
    </w:p>
    <w:p>
      <w:pPr>
        <w:pStyle w:val="BodyText"/>
        <w:spacing w:line="360" w:lineRule="auto" w:after="120"/>
        <w:jc w:val="both"/>
      </w:pPr>
      <w:r>
        <w:rPr>
          <w:rFonts w:ascii="Times New Roman" w:hAnsi="Times New Roman"/>
          <w:sz w:val="24"/>
        </w:rPr>
        <w:t xml:space="preserve">La littérature scientifique sur les systèmes de gestion de l’apprentissage (LMS) offre plusieurs éclairages pertinents. Depover et al. (2007) soulignent que l’efficacité des dispositifs numériques repose fondamentalement sur la centralisation et l’organisation des contenus. Norman (2013), à travers le principe du design centré utilisateur, insiste sur la nécessité que l’outil soit adopté spontanément, sans formation préalable. Vygotsky (1978), dans sa théorie socioconstructiviste, établit que l’apprentissage se construit à travers les interactions sociales et la médiation par des outils partagés. Enfin, Naveh et al. (2010) mettent en garde contre le paradoxe de la sur-fonctionnalité : un LMS trop complexe génère un rejet de la part des utilisateurs. Ces apports théoriques convergent vers un même constat : une solution efficace doit être simple, centralisée, ergonomique et favoriser les échanges entre pairs. Or, aucun dispositif de ce type n’existe à ce jour à l’AFI, ce qui constitue le vide pratique et technique que le présent projet ambitionne de combler.</w:t>
      </w:r>
    </w:p>
    <w:p>
      <w:pPr>
        <w:pStyle w:val="BodyText"/>
        <w:spacing w:line="360" w:lineRule="auto" w:after="120"/>
        <w:jc w:val="both"/>
      </w:pPr>
      <w:r>
        <w:rPr>
          <w:rFonts w:ascii="Times New Roman" w:hAnsi="Times New Roman"/>
          <w:sz w:val="24"/>
        </w:rPr>
        <w:t xml:space="preserve">De cette problématique découle la question centrale suivante :</w:t>
      </w:r>
    </w:p>
    <w:p>
      <w:pPr>
        <w:pStyle w:val="BodyText"/>
        <w:spacing w:line="360" w:lineRule="auto" w:after="120"/>
        <w:jc w:val="both"/>
      </w:pPr>
      <w:r>
        <w:rPr>
          <w:rFonts w:ascii="Times New Roman" w:hAnsi="Times New Roman"/>
          <w:i/>
          <w:sz w:val="24"/>
        </w:rPr>
        <w:t xml:space="preserve">Comment l’implémentation d’une solution web et mobile centralisée et accessible hors connexion peut-elle optimiser l’accès, la pérennité et le partage collaboratif des ressources pédagogiques au sein de l’AFI ?</w:t>
      </w:r>
    </w:p>
    <w:p>
      <w:pPr>
        <w:pStyle w:val="BodyText"/>
        <w:spacing w:line="360" w:lineRule="auto" w:after="120"/>
        <w:jc w:val="both"/>
      </w:pPr>
      <w:r>
        <w:rPr>
          <w:rFonts w:ascii="Times New Roman" w:hAnsi="Times New Roman"/>
          <w:sz w:val="24"/>
        </w:rPr>
        <w:t xml:space="preserve">Cette question principale se décline en trois questions spécifiques :</w:t>
      </w:r>
    </w:p>
    <w:p>
      <w:pPr>
        <w:pStyle w:val="BodyText"/>
        <w:spacing w:line="360" w:lineRule="auto" w:after="120"/>
        <w:jc w:val="both"/>
      </w:pPr>
      <w:r>
        <w:rPr>
          <w:rFonts w:ascii="Times New Roman" w:hAnsi="Times New Roman"/>
          <w:sz w:val="24"/>
        </w:rPr>
        <w:t xml:space="preserve">— Quelles sont les défaillances fonctionnelles du système actuel de diffusion des ressources pédagogiques à l’AFI, et quels besoins précis expriment les différents acteurs — Administrateur, Délégué et Étudiant ?</w:t>
      </w:r>
    </w:p>
    <w:p>
      <w:pPr>
        <w:pStyle w:val="BodyText"/>
        <w:spacing w:line="360" w:lineRule="auto" w:after="120"/>
        <w:jc w:val="both"/>
      </w:pPr>
      <w:r>
        <w:rPr>
          <w:rFonts w:ascii="Times New Roman" w:hAnsi="Times New Roman"/>
          <w:sz w:val="24"/>
        </w:rPr>
        <w:t xml:space="preserve">— Quelle architecture technique permet de répondre à ces besoins tout en garantissant la sécurité, la performance et l’accessibilité de la plateforme, y compris en situation de connectivité limitée ?</w:t>
      </w:r>
    </w:p>
    <w:p>
      <w:pPr>
        <w:pStyle w:val="BodyText"/>
        <w:spacing w:line="360" w:lineRule="auto" w:after="120"/>
        <w:jc w:val="both"/>
      </w:pPr>
      <w:r>
        <w:rPr>
          <w:rFonts w:ascii="Times New Roman" w:hAnsi="Times New Roman"/>
          <w:sz w:val="24"/>
        </w:rPr>
        <w:t xml:space="preserve">— Dans quelle mesure la plateforme développée améliore-t-elle concrètement l’accès aux ressources, la fréquence de mise à jour et la collaboration entre pairs au sein de la communauté AFI ?</w:t>
      </w:r>
    </w:p>
    <w:p>
      <w:pPr>
        <w:pStyle w:val="BodyText"/>
        <w:spacing w:line="360" w:lineRule="auto" w:after="120"/>
        <w:jc w:val="both"/>
      </w:pPr>
      <w:r>
        <w:rPr>
          <w:rFonts w:ascii="Times New Roman" w:hAnsi="Times New Roman"/>
          <w:sz w:val="24"/>
        </w:rPr>
        <w:t xml:space="preserve">L’objectif général de ce mémoire est de concevoir et de développer une solution web et mobile collaborative et centralisée, spécifiquement adaptée aux besoins de la communauté académique de l’AFI, permettant le stockage sécurisé, la classification hiérarchique et le partage structuré des ressources pédagogiques pour l’ensemble des filières de l’institution — chaque étudiant accédant aux ressources de sa filière et de son niveau —, ainsi que leur consultation y compris en situation de faible connectivité. Cet objectif général se décline en trois objectifs spécifiques :</w:t>
      </w:r>
    </w:p>
    <w:p>
      <w:pPr>
        <w:pStyle w:val="BodyText"/>
        <w:spacing w:line="360" w:lineRule="auto" w:after="120"/>
        <w:jc w:val="both"/>
      </w:pPr>
      <w:r>
        <w:rPr>
          <w:rFonts w:ascii="Times New Roman" w:hAnsi="Times New Roman"/>
          <w:sz w:val="24"/>
        </w:rPr>
        <w:t xml:space="preserve">— Analyser les défaillances du système actuel et recueillir les besoins fonctionnels et non fonctionnels des trois acteurs de la plateforme : l’Administrateur, le Délégué de promotion et l’Étudiant ;</w:t>
      </w:r>
    </w:p>
    <w:p>
      <w:pPr>
        <w:pStyle w:val="BodyText"/>
        <w:spacing w:line="360" w:lineRule="auto" w:after="120"/>
        <w:jc w:val="both"/>
      </w:pPr>
      <w:r>
        <w:rPr>
          <w:rFonts w:ascii="Times New Roman" w:hAnsi="Times New Roman"/>
          <w:sz w:val="24"/>
        </w:rPr>
        <w:t xml:space="preserve">— Concevoir l’architecture technique et les interfaces de la plateforme en s’appuyant sur la méthode Agile Scrum, les diagrammes UML et les maquettes Figma ;</w:t>
      </w:r>
    </w:p>
    <w:p>
      <w:pPr>
        <w:pStyle w:val="BodyText"/>
        <w:spacing w:line="360" w:lineRule="auto" w:after="120"/>
        <w:jc w:val="both"/>
      </w:pPr>
      <w:r>
        <w:rPr>
          <w:rFonts w:ascii="Times New Roman" w:hAnsi="Times New Roman"/>
          <w:sz w:val="24"/>
        </w:rPr>
        <w:t xml:space="preserve">— Développer, tester et évaluer la solution au regard des critères de performance, d’ergonomie, de sécurité et d’accessibilité — dont le fonctionnement hors connexion —, à travers un protocole de tests fonctionnels.</w:t>
      </w:r>
    </w:p>
    <w:p>
      <w:pPr>
        <w:pStyle w:val="BodyText"/>
        <w:spacing w:line="360" w:lineRule="auto" w:after="120"/>
        <w:jc w:val="both"/>
      </w:pPr>
      <w:r>
        <w:rPr>
          <w:rFonts w:ascii="Times New Roman" w:hAnsi="Times New Roman"/>
          <w:sz w:val="24"/>
        </w:rPr>
        <w:t xml:space="preserve">Pour guider notre démarche et orienter la phase d’évaluation, nous formulons les quatre hypothèses suivantes :</w:t>
      </w:r>
    </w:p>
    <w:p>
      <w:pPr>
        <w:pStyle w:val="BodyText"/>
        <w:spacing w:line="360" w:lineRule="auto" w:after="120"/>
        <w:jc w:val="both"/>
      </w:pPr>
      <w:r>
        <w:rPr>
          <w:rFonts w:ascii="Times New Roman" w:hAnsi="Times New Roman"/>
          <w:sz w:val="24"/>
        </w:rPr>
        <w:t xml:space="preserve">— H1 : La centralisation et la classification hiérarchique des ressources améliorent, du point de vue des étudiants, la facilité et la rapidité d’accès aux supports de cours ;</w:t>
      </w:r>
    </w:p>
    <w:p>
      <w:pPr>
        <w:pStyle w:val="BodyText"/>
        <w:spacing w:line="360" w:lineRule="auto" w:after="120"/>
        <w:jc w:val="both"/>
      </w:pPr>
      <w:r>
        <w:rPr>
          <w:rFonts w:ascii="Times New Roman" w:hAnsi="Times New Roman"/>
          <w:sz w:val="24"/>
        </w:rPr>
        <w:t xml:space="preserve">— H2 : La possibilité, pour le Délégué de promotion, de publier directement sans étape de validation administrative intermédiaire favorise une mise à jour régulière et fréquente des ressources pédagogiques ;</w:t>
      </w:r>
    </w:p>
    <w:p>
      <w:pPr>
        <w:pStyle w:val="BodyText"/>
        <w:spacing w:line="360" w:lineRule="auto" w:after="120"/>
        <w:jc w:val="both"/>
      </w:pPr>
      <w:r>
        <w:rPr>
          <w:rFonts w:ascii="Times New Roman" w:hAnsi="Times New Roman"/>
          <w:sz w:val="24"/>
        </w:rPr>
        <w:t xml:space="preserve">— H3 : La disponibilité des ressources hors connexion sur l’application mobile améliore l’accès aux supports pour les étudiants confrontés à une connectivité limitée ou intermittente ;</w:t>
      </w:r>
    </w:p>
    <w:p>
      <w:pPr>
        <w:pStyle w:val="BodyText"/>
        <w:spacing w:line="360" w:lineRule="auto" w:after="120"/>
        <w:jc w:val="both"/>
      </w:pPr>
      <w:r>
        <w:rPr>
          <w:rFonts w:ascii="Times New Roman" w:hAnsi="Times New Roman"/>
          <w:sz w:val="24"/>
        </w:rPr>
        <w:t xml:space="preserve">— H4 : Les fonctionnalités d’échange (espace de discussion de la classe, commentaires, annonces) et de notification (dans l’application, notification push et courrier électronique) renforcent la circulation de l’information et la collaboration entre pairs au sein de la promotion.</w:t>
      </w:r>
    </w:p>
    <w:p>
      <w:pPr>
        <w:pStyle w:val="BodyText"/>
        <w:spacing w:line="360" w:lineRule="auto" w:after="120"/>
        <w:jc w:val="both"/>
      </w:pPr>
      <w:r>
        <w:rPr>
          <w:rFonts w:ascii="Times New Roman" w:hAnsi="Times New Roman"/>
          <w:sz w:val="24"/>
        </w:rPr>
        <w:t xml:space="preserve">Sur le plan</w:t>
      </w:r>
      <w:r>
        <w:rPr>
          <w:rFonts w:ascii="Times New Roman" w:hAnsi="Times New Roman"/>
          <w:sz w:val="24"/>
        </w:rPr>
        <w:t xml:space="preserve"> </w:t>
      </w:r>
      <w:r>
        <w:rPr>
          <w:rFonts w:ascii="Times New Roman" w:hAnsi="Times New Roman"/>
          <w:b/>
          <w:sz w:val="24"/>
        </w:rPr>
        <w:t xml:space="preserve">théorique</w:t>
      </w:r>
      <w:r>
        <w:rPr>
          <w:rFonts w:ascii="Times New Roman" w:hAnsi="Times New Roman"/>
          <w:sz w:val="24"/>
        </w:rPr>
        <w:t xml:space="preserve">, ce travail contribue à la réflexion sur l’adaptation des systèmes de gestion de l’apprentissage aux contextes des établissements d’enseignement supérieur privés d’Afrique subsaharienne. Il mobilise le socioconstructivisme de Vygotsky (1978), le design centré utilisateur de Norman (2013), l’architecture REST de Fielding (2000) et l’approche « offline-first » (Kleppmann et al., 2019), et met à l’épreuve la mise en garde de Naveh et al. (2010) contre la sur-fonctionnalité, en proposant une solution délibérément sobre et ciblée. Il offre ainsi un cadre de conception reproductible pour des établissements similaires.</w:t>
      </w:r>
    </w:p>
    <w:p>
      <w:pPr>
        <w:pStyle w:val="BodyText"/>
        <w:spacing w:line="360" w:lineRule="auto" w:after="120"/>
        <w:jc w:val="both"/>
      </w:pPr>
      <w:r>
        <w:rPr>
          <w:rFonts w:ascii="Times New Roman" w:hAnsi="Times New Roman"/>
          <w:sz w:val="24"/>
        </w:rPr>
        <w:t xml:space="preserve">Sur le plan</w:t>
      </w:r>
      <w:r>
        <w:rPr>
          <w:rFonts w:ascii="Times New Roman" w:hAnsi="Times New Roman"/>
          <w:sz w:val="24"/>
        </w:rPr>
        <w:t xml:space="preserve"> </w:t>
      </w:r>
      <w:r>
        <w:rPr>
          <w:rFonts w:ascii="Times New Roman" w:hAnsi="Times New Roman"/>
          <w:b/>
          <w:sz w:val="24"/>
        </w:rPr>
        <w:t xml:space="preserve">managérial et pratique</w:t>
      </w:r>
      <w:r>
        <w:rPr>
          <w:rFonts w:ascii="Times New Roman" w:hAnsi="Times New Roman"/>
          <w:sz w:val="24"/>
        </w:rPr>
        <w:t xml:space="preserve">, la plateforme développée constitue un outil opérationnel immédiatement déployable au sein de l’AFI. Elle répond directement aux quatre défaillances identifiées sur le terrain : la perte de fichiers, le désordre organisationnel, l’exclusion numérique — notamment grâce à la consultation hors connexion sur mobile — et l’absence de collaboration structurée. Elle intègre en outre des mécanismes de sécurité (double authentification par courriel, politique de mot de passe, connexion par compte Google) et des services d’appui à la vie pédagogique, et offre à l’institution une base technologique évolutive, ouvrant la voie à des développements futurs tels qu’un espace alumni.</w:t>
      </w:r>
    </w:p>
    <w:p>
      <w:pPr>
        <w:pStyle w:val="BodyText"/>
        <w:spacing w:line="360" w:lineRule="auto" w:after="120"/>
        <w:jc w:val="both"/>
      </w:pPr>
      <w:r>
        <w:rPr>
          <w:rFonts w:ascii="Times New Roman" w:hAnsi="Times New Roman"/>
          <w:sz w:val="24"/>
        </w:rPr>
        <w:t xml:space="preserve">Pour répondre à ces interrogations, ce mémoire s’articule autour de deux parties et de cinq chapitres. La première partie, consacrée aux cadres théorique, législatif et réglementaire, regroupe le cadre théorique (chapitre I : revue conceptuelle et revue critique de la littérature) et le contexte de l’étude (chapitre II : contexte général et contexte spécifique à l’AFI). La deuxième partie, consacrée au cadre méthodologique et analytique, présente successivement le cadre méthodologique de la recherche (chapitre III), la démonstration de l’application réalisée (chapitre IV), puis le cadre analytique consacré à la présentation et à la discussion des résultats ainsi qu’aux recommandations (chapitre V). Une conclusion générale clôt le travail en rappelant les principaux résultats obtenus et en dégageant les limites et les perspectives.</w:t>
      </w:r>
    </w:p>
    <w:sectPr>
      <w:pgSz w:w="11906" w:h="16838"/>
      <w:pgMar w:left="1417" w:right="1417" w:top="1417" w:bottom="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rPr>
      <w:rFonts w:ascii="Times New Roman" w:hAnsi="Times New Roman"/>
      <w:sz w:val="24"/>
    </w:rPr>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2026-07-11T17:00:29Z</dcterms:created>
  <dcterms:modified xsi:type="dcterms:W3CDTF">2026-07-11T17:00:29Z</dcterms:modified>
</cp:coreProperties>
</file>

<file path=docProps/custom.xml><?xml version="1.0" encoding="utf-8"?>
<Properties xmlns="http://schemas.openxmlformats.org/officeDocument/2006/custom-properties" xmlns:vt="http://schemas.openxmlformats.org/officeDocument/2006/docPropsVTypes"/>
</file>