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rPr>
        <w:t xml:space="preserve">CORRECTIONS À INTÉGRER — Introduction générale &amp; Première partie</w:t>
      </w:r>
    </w:p>
    <w:p>
      <w:pPr>
        <w:pStyle w:val="BodyText"/>
      </w:pPr>
      <w:r>
        <w:rPr>
          <w:i/>
        </w:rPr>
        <w:t xml:space="preserve">Mémoire AFI-DOCS — mise en conformité avec le plan (canevas IR/DevWEB). À coller dans les documents existants en conservant la mise en forme (Times/Arial 12, interligne 1,5, justifié).</w:t>
      </w:r>
    </w:p>
    <w:p>
      <w:r>
        <w:pict>
          <v:rect style="width:0;height:1.5pt" o:hralign="center" o:hrstd="t" o:hr="t"/>
        </w:pict>
      </w:r>
    </w:p>
    <w:p>
      <w:pPr>
        <w:pStyle w:val="Heading1"/>
      </w:pPr>
      <w:bookmarkStart w:id="20" w:name="X24d88e9e35c55b0505afc7e6e7d4a9ed08d5fd0"/>
      <w:r>
        <w:t xml:space="preserve">1. Introduction — Hypothèses H1 et H2 (reformulées, sans comparaison « avant/après »)</w:t>
      </w:r>
      <w:bookmarkEnd w:id="20"/>
    </w:p>
    <w:p>
      <w:pPr>
        <w:pStyle w:val="FirstParagraph"/>
      </w:pPr>
      <w:r>
        <w:rPr>
          <w:i/>
        </w:rPr>
        <w:t xml:space="preserve">Remplacer les hypothèses H1 et H2 actuelles par :</w:t>
      </w:r>
    </w:p>
    <w:p>
      <w:pPr>
        <w:pStyle w:val="BodyText"/>
      </w:pPr>
      <w:r>
        <w:t xml:space="preserve">— H1 : La centralisation et la classification hiérarchique des ressources améliorent, du point de vue des étudiants, la facilité et la rapidité d’accès aux supports de cours ;</w:t>
      </w:r>
    </w:p>
    <w:p>
      <w:pPr>
        <w:pStyle w:val="BodyText"/>
      </w:pPr>
      <w:r>
        <w:t xml:space="preserve">— H2 : La possibilité, pour le Délégué de promotion, de publier directement sans étape de validation administrative intermédiaire favorise une mise à jour régulière et fréquente des ressources pédagogiques ;</w:t>
      </w:r>
    </w:p>
    <w:p>
      <w:pPr>
        <w:pStyle w:val="BodyText"/>
      </w:pPr>
      <w:r>
        <w:rPr>
          <w:i/>
        </w:rPr>
        <w:t xml:space="preserve">(H3 et H4 restent inchangées.)</w:t>
      </w:r>
    </w:p>
    <w:p>
      <w:r>
        <w:pict>
          <v:rect style="width:0;height:1.5pt" o:hralign="center" o:hrstd="t" o:hr="t"/>
        </w:pict>
      </w:r>
    </w:p>
    <w:p>
      <w:pPr>
        <w:pStyle w:val="Heading1"/>
      </w:pPr>
      <w:bookmarkStart w:id="21" w:name="X9ddb30ead97fc3e54c34420b4107f9733f4a895"/>
      <w:r>
        <w:t xml:space="preserve">2. Introduction — Annonce du plan (dernier paragraphe)</w:t>
      </w:r>
      <w:bookmarkEnd w:id="21"/>
    </w:p>
    <w:p>
      <w:pPr>
        <w:pStyle w:val="FirstParagraph"/>
      </w:pPr>
      <w:r>
        <w:rPr>
          <w:i/>
        </w:rPr>
        <w:t xml:space="preserve">Remplacer le dernier paragraphe de l’introduction par :</w:t>
      </w:r>
    </w:p>
    <w:p>
      <w:pPr>
        <w:pStyle w:val="BodyText"/>
      </w:pPr>
      <w:r>
        <w:t xml:space="preserve">Pour répondre à ces interrogations, ce mémoire s’articule autour de deux parties et de cinq chapitres. La première partie, consacrée aux cadres théorique, législatif et réglementaire, regroupe le cadre théorique (chapitre I : revue conceptuelle et revue critique de la littérature) et le contexte de l’étude (chapitre II : contexte général et contexte spécifique à l’AFI). La deuxième partie, consacrée au cadre méthodologique et analytique, présente successivement le cadre méthodologique de la recherche (chapitre III), la démonstration de l’application réalisée (chapitre IV), puis le cadre analytique consacré à la présentation et à la discussion des résultats ainsi qu’aux recommandations (chapitre V). Une conclusion générale clôt le travail en rappelant les principaux résultats obtenus et en dégageant les limites et les perspectives.</w:t>
      </w:r>
    </w:p>
    <w:p>
      <w:r>
        <w:pict>
          <v:rect style="width:0;height:1.5pt" o:hralign="center" o:hrstd="t" o:hr="t"/>
        </w:pict>
      </w:r>
    </w:p>
    <w:p>
      <w:pPr>
        <w:pStyle w:val="Heading1"/>
      </w:pPr>
      <w:bookmarkStart w:id="22" w:name="Xe7c5d601b7001506e227cbd0b9a166f962dc939"/>
      <w:r>
        <w:t xml:space="preserve">3. Première partie, Chapitre I, Section 1 — Nouvelle sous-section à insérer</w:t>
      </w:r>
      <w:bookmarkEnd w:id="22"/>
    </w:p>
    <w:p>
      <w:pPr>
        <w:pStyle w:val="FirstParagraph"/>
      </w:pPr>
      <w:r>
        <w:rPr>
          <w:i/>
        </w:rPr>
        <w:t xml:space="preserve">À insérer dans la « Revue conceptuelle », après le point 1.3 (Les architectures logicielles modernes — REST, API) :</w:t>
      </w:r>
    </w:p>
    <w:p>
      <w:pPr>
        <w:pStyle w:val="Heading2"/>
      </w:pPr>
      <w:bookmarkStart w:id="23" w:name="Xc0327dfdeb2ad0603edd8969279eadde3b0e5c0"/>
      <w:r>
        <w:t xml:space="preserve">1.4 L’approche « offline-first » (le fonctionnement hors connexion)</w:t>
      </w:r>
      <w:bookmarkEnd w:id="23"/>
    </w:p>
    <w:p>
      <w:pPr>
        <w:pStyle w:val="FirstParagraph"/>
      </w:pPr>
      <w:r>
        <w:t xml:space="preserve">L’approche dite « offline-first » (ou « local-first ») désigne un paradigme de conception dans lequel l’application est pensée pour fonctionner d’abord sans connexion, la disponibilité du réseau étant traitée comme une fonctionnalité optionnelle et non comme une condition de fonctionnement (Kleppmann, Wiggins, van Hardenberg &amp; McGranaghan, 2019). Dans ce modèle, les données sont stockées localement sur l’appareil de l’utilisateur : celui-ci consulte et manipule ses contenus de manière quasi instantanée, même hors réseau, la synchronisation avec le serveur s’effectuant automatiquement en arrière-plan dès que la connexion est rétablie.</w:t>
      </w:r>
    </w:p>
    <w:p>
      <w:pPr>
        <w:pStyle w:val="BodyText"/>
      </w:pPr>
      <w:r>
        <w:t xml:space="preserve">Sur le plan architectural, une application offline-first repose sur trois piliers : un stockage local persistant (base de données embarquée ou cache), un mécanisme de synchronisation en arrière-plan, et une stratégie de résolution des conflits lorsque les mêmes données ont été modifiées sur plusieurs appareils (Kleppmann et al., 2019). Les technologies web et mobiles actuelles — service workers, interfaces de cache et bases de données locales — fournissent aujourd’hui les briques nécessaires à la mise en œuvre de ces principes (MDN Web Docs, 2024).</w:t>
      </w:r>
    </w:p>
    <w:p>
      <w:pPr>
        <w:pStyle w:val="BodyText"/>
      </w:pPr>
      <w:r>
        <w:t xml:space="preserve">Cette approche revêt une pertinence particulière dans les contextes de connectivité limitée. En Afrique subsaharienne, la pénétration de l’internet mobile n’atteignait que 27 % de la population à la fin de 2023, et près de 60 % des habitants pourtant couverts par un réseau ne l’utilisent pas, principalement en raison du coût des terminaux et des forfaits de données (GSMA, 2024). Dans un tel environnement, faire dépendre l’accès aux ressources pédagogiques d’une connexion permanente reviendrait à reproduire l’exclusion numérique que le présent projet cherche précisément à combattre.</w:t>
      </w:r>
    </w:p>
    <w:p>
      <w:pPr>
        <w:pStyle w:val="BodyText"/>
      </w:pPr>
      <w:r>
        <w:t xml:space="preserve">C’est pourquoi la plateforme AFI-DOCS adopte une logique offline-first sur son application mobile : les ressources téléchargées sont conservées dans une base de données locale et demeurent consultables sans connexion, la synchronisation s’opérant lorsque le réseau redevient disponible. Le fonctionnement hors ligne n’y constitue donc pas une simple option de confort, mais un choix de conception structurant, directement articulé à l’objectif d’équité d’accès au savoir.</w:t>
      </w:r>
    </w:p>
    <w:p>
      <w:r>
        <w:pict>
          <v:rect style="width:0;height:1.5pt" o:hralign="center" o:hrstd="t" o:hr="t"/>
        </w:pict>
      </w:r>
    </w:p>
    <w:p>
      <w:pPr>
        <w:pStyle w:val="Heading1"/>
      </w:pPr>
      <w:bookmarkStart w:id="24" w:name="X053e9f25b6c86df79e44bcae8a3b90c203daa4e"/>
      <w:r>
        <w:t xml:space="preserve">4. Références à ajouter à la bibliographie (norme APA)</w:t>
      </w:r>
      <w:bookmarkEnd w:id="24"/>
    </w:p>
    <w:p>
      <w:pPr>
        <w:pStyle w:val="FirstParagraph"/>
      </w:pPr>
      <w:r>
        <w:rPr>
          <w:b/>
        </w:rPr>
        <w:t xml:space="preserve">Articles scientifiques :</w:t>
      </w:r>
    </w:p>
    <w:p>
      <w:pPr>
        <w:pStyle w:val="BodyText"/>
      </w:pPr>
      <w:r>
        <w:t xml:space="preserve">Kleppmann, M., Wiggins, A., van Hardenberg, P., &amp; McGranaghan, M. (2019). Local-first software: You own your data, in spite of the cloud. Dans</w:t>
      </w:r>
      <w:r>
        <w:t xml:space="preserve"> </w:t>
      </w:r>
      <w:r>
        <w:rPr>
          <w:i/>
        </w:rPr>
        <w:t xml:space="preserve">Proceedings of the 2019 ACM SIGPLAN International Symposium on New Ideas, New Paradigms, and Reflections on Programming and Software (Onward! 2019)</w:t>
      </w:r>
      <w:r>
        <w:t xml:space="preserve"> </w:t>
      </w:r>
      <w:r>
        <w:t xml:space="preserve">(pp. 154-178). ACM. https://doi.org/10.1145/3359591.3359737</w:t>
      </w:r>
    </w:p>
    <w:p>
      <w:pPr>
        <w:pStyle w:val="BodyText"/>
      </w:pPr>
      <w:r>
        <w:rPr>
          <w:b/>
        </w:rPr>
        <w:t xml:space="preserve">Rapports :</w:t>
      </w:r>
    </w:p>
    <w:p>
      <w:pPr>
        <w:pStyle w:val="BodyText"/>
      </w:pPr>
      <w:r>
        <w:t xml:space="preserve">GSMA. (2024).</w:t>
      </w:r>
      <w:r>
        <w:t xml:space="preserve"> </w:t>
      </w:r>
      <w:r>
        <w:rPr>
          <w:i/>
        </w:rPr>
        <w:t xml:space="preserve">The Mobile Economy Sub-Saharan Africa 2024</w:t>
      </w:r>
      <w:r>
        <w:t xml:space="preserve">. GSMA Intelligence.</w:t>
      </w:r>
    </w:p>
    <w:p>
      <w:pPr>
        <w:pStyle w:val="BodyText"/>
      </w:pPr>
      <w:r>
        <w:rPr>
          <w:b/>
        </w:rPr>
        <w:t xml:space="preserve">Webographie :</w:t>
      </w:r>
    </w:p>
    <w:p>
      <w:pPr>
        <w:pStyle w:val="BodyText"/>
      </w:pPr>
      <w:r>
        <w:t xml:space="preserve">MDN Web Docs. (2024).</w:t>
      </w:r>
      <w:r>
        <w:t xml:space="preserve"> </w:t>
      </w:r>
      <w:r>
        <w:rPr>
          <w:i/>
        </w:rPr>
        <w:t xml:space="preserve">Offline and background operation — Progressive web apps</w:t>
      </w:r>
      <w:r>
        <w:t xml:space="preserve">. Mozilla. https://developer.mozilla.org/en-US/docs/Web/Progressive_web_apps/Guides/Offline_and_background_operation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2026-07-06T16:31:08Z</dcterms:created>
  <dcterms:modified xsi:type="dcterms:W3CDTF">2026-07-06T16:31:08Z</dcterms:modified>
</cp:coreProperties>
</file>

<file path=docProps/custom.xml><?xml version="1.0" encoding="utf-8"?>
<Properties xmlns="http://schemas.openxmlformats.org/officeDocument/2006/custom-properties" xmlns:vt="http://schemas.openxmlformats.org/officeDocument/2006/docPropsVTypes"/>
</file>