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7EC" w:rsidRPr="00FD0695" w:rsidRDefault="00D777EC">
      <w:pPr>
        <w:rPr>
          <w:b/>
        </w:rPr>
      </w:pPr>
      <w:bookmarkStart w:id="0" w:name="_GoBack"/>
      <w:bookmarkEnd w:id="0"/>
      <w:r w:rsidRPr="00FD0695">
        <w:rPr>
          <w:b/>
        </w:rPr>
        <w:t>Bodleian Library, MS Laud Misc. 656 (L)</w:t>
      </w:r>
    </w:p>
    <w:p w:rsidR="00286E2B" w:rsidRDefault="00FD0695" w:rsidP="00FD0695">
      <w:pPr>
        <w:pStyle w:val="p"/>
        <w:rPr>
          <w:rFonts w:ascii="Junicode" w:hAnsi="Junicode"/>
        </w:rPr>
      </w:pPr>
      <w:r>
        <w:rPr>
          <w:b/>
        </w:rPr>
        <w:t xml:space="preserve">Date: </w:t>
      </w:r>
      <w:r>
        <w:rPr>
          <w:rFonts w:ascii="Junicode" w:hAnsi="Junicode"/>
        </w:rPr>
        <w:t xml:space="preserve">Laud Misc. 656 is likely the oldest of the manuscripts in the </w:t>
      </w:r>
      <w:r>
        <w:rPr>
          <w:rStyle w:val="it1"/>
          <w:rFonts w:ascii="Junicode" w:hAnsi="Junicode"/>
        </w:rPr>
        <w:t>S</w:t>
      </w:r>
      <w:r w:rsidR="00042DD7">
        <w:rPr>
          <w:rStyle w:val="it1"/>
          <w:rFonts w:ascii="Junicode" w:hAnsi="Junicode"/>
        </w:rPr>
        <w:t xml:space="preserve">iege of </w:t>
      </w:r>
      <w:r>
        <w:rPr>
          <w:rStyle w:val="it1"/>
          <w:rFonts w:ascii="Junicode" w:hAnsi="Junicode"/>
        </w:rPr>
        <w:t>J</w:t>
      </w:r>
      <w:r w:rsidR="00042DD7">
        <w:rPr>
          <w:rStyle w:val="it1"/>
          <w:rFonts w:ascii="Junicode" w:hAnsi="Junicode"/>
        </w:rPr>
        <w:t>erusalem</w:t>
      </w:r>
      <w:r>
        <w:rPr>
          <w:rFonts w:ascii="Junicode" w:hAnsi="Junicode"/>
        </w:rPr>
        <w:t xml:space="preserve"> corpus, rivaled only by perhaps the Princeton Taylor MS (P), as Doyle notes when he attributes the poem "to the fourteenth century with confidence, from the earliest-looking copy, in Bodleian Laud misc. 656" (93). Hanna-Lawton </w:t>
      </w:r>
      <w:proofErr w:type="gramStart"/>
      <w:r>
        <w:rPr>
          <w:rFonts w:ascii="Junicode" w:hAnsi="Junicode"/>
        </w:rPr>
        <w:t>concur</w:t>
      </w:r>
      <w:proofErr w:type="gramEnd"/>
      <w:r>
        <w:rPr>
          <w:rFonts w:ascii="Junicode" w:hAnsi="Junicode"/>
        </w:rPr>
        <w:t xml:space="preserve">, dating the manuscript to the end of that century. </w:t>
      </w:r>
      <w:proofErr w:type="spellStart"/>
      <w:r>
        <w:rPr>
          <w:rFonts w:ascii="Junicode" w:hAnsi="Junicode"/>
        </w:rPr>
        <w:t>Guddat-Figge</w:t>
      </w:r>
      <w:proofErr w:type="spellEnd"/>
      <w:r>
        <w:rPr>
          <w:rFonts w:ascii="Junicode" w:hAnsi="Junicode"/>
        </w:rPr>
        <w:t xml:space="preserve"> erroneously dates it to the middle of the fifteenth century.</w:t>
      </w:r>
    </w:p>
    <w:p w:rsidR="00286E2B" w:rsidRDefault="00286E2B" w:rsidP="00FD0695">
      <w:pPr>
        <w:pStyle w:val="p"/>
        <w:rPr>
          <w:rFonts w:ascii="Junicode" w:hAnsi="Junicode"/>
        </w:rPr>
      </w:pPr>
      <w:r>
        <w:rPr>
          <w:rFonts w:ascii="Junicode" w:hAnsi="Junicode"/>
          <w:b/>
        </w:rPr>
        <w:t>Support:</w:t>
      </w:r>
      <w:r>
        <w:rPr>
          <w:rFonts w:ascii="Junicode" w:hAnsi="Junicode"/>
        </w:rPr>
        <w:t xml:space="preserve"> Parchment</w:t>
      </w:r>
    </w:p>
    <w:p w:rsidR="00286E2B" w:rsidRDefault="00286E2B" w:rsidP="00FD0695">
      <w:pPr>
        <w:pStyle w:val="p"/>
      </w:pPr>
      <w:r>
        <w:rPr>
          <w:rFonts w:ascii="Junicode" w:hAnsi="Junicode"/>
          <w:b/>
        </w:rPr>
        <w:t>Extent:</w:t>
      </w:r>
      <w:r>
        <w:rPr>
          <w:rFonts w:ascii="Junicode" w:hAnsi="Junicode"/>
        </w:rPr>
        <w:t xml:space="preserve"> </w:t>
      </w:r>
      <w:proofErr w:type="spellStart"/>
      <w:r>
        <w:t>i</w:t>
      </w:r>
      <w:proofErr w:type="spellEnd"/>
      <w:r>
        <w:t xml:space="preserve"> + 133</w:t>
      </w:r>
      <w:r w:rsidR="00083954">
        <w:t xml:space="preserve"> folios</w:t>
      </w:r>
    </w:p>
    <w:p w:rsidR="00286E2B" w:rsidRDefault="00286E2B" w:rsidP="00FD0695">
      <w:pPr>
        <w:pStyle w:val="p"/>
      </w:pPr>
      <w:r>
        <w:rPr>
          <w:b/>
        </w:rPr>
        <w:t xml:space="preserve">Format: </w:t>
      </w:r>
      <w:r w:rsidR="0074108D">
        <w:t>210</w:t>
      </w:r>
      <w:r>
        <w:t xml:space="preserve"> x 150 mm</w:t>
      </w:r>
    </w:p>
    <w:p w:rsidR="00423B59" w:rsidRDefault="00286E2B" w:rsidP="00286E2B">
      <w:pPr>
        <w:rPr>
          <w:rFonts w:ascii="Cambria" w:eastAsia="Cambria" w:hAnsi="Cambria" w:cs="Times New Roman"/>
        </w:rPr>
      </w:pPr>
      <w:r>
        <w:rPr>
          <w:b/>
        </w:rPr>
        <w:t xml:space="preserve">Foliation: </w:t>
      </w:r>
      <w:r>
        <w:rPr>
          <w:rFonts w:ascii="Cambria" w:eastAsia="Cambria" w:hAnsi="Cambria" w:cs="Times New Roman"/>
        </w:rPr>
        <w:t xml:space="preserve">Foliation in both ink and pencil, both rather early. The foliation in ink numbers </w:t>
      </w:r>
      <w:r w:rsidR="00267937">
        <w:rPr>
          <w:rFonts w:ascii="Cambria" w:eastAsia="Cambria" w:hAnsi="Cambria" w:cs="Times New Roman"/>
        </w:rPr>
        <w:t>each leaf</w:t>
      </w:r>
      <w:r>
        <w:rPr>
          <w:rFonts w:ascii="Cambria" w:eastAsia="Cambria" w:hAnsi="Cambria" w:cs="Times New Roman"/>
        </w:rPr>
        <w:t xml:space="preserve"> 1-5 and </w:t>
      </w:r>
      <w:r>
        <w:t>thereafter</w:t>
      </w:r>
      <w:r>
        <w:rPr>
          <w:rFonts w:ascii="Cambria" w:eastAsia="Cambria" w:hAnsi="Cambria" w:cs="Times New Roman"/>
        </w:rPr>
        <w:t xml:space="preserve"> in intervals of 10 (i.e</w:t>
      </w:r>
      <w:proofErr w:type="gramStart"/>
      <w:r>
        <w:rPr>
          <w:rFonts w:ascii="Cambria" w:eastAsia="Cambria" w:hAnsi="Cambria" w:cs="Times New Roman"/>
        </w:rPr>
        <w:t>. ,10</w:t>
      </w:r>
      <w:proofErr w:type="gramEnd"/>
      <w:r>
        <w:rPr>
          <w:rFonts w:ascii="Cambria" w:eastAsia="Cambria" w:hAnsi="Cambria" w:cs="Times New Roman"/>
        </w:rPr>
        <w:t xml:space="preserve">, 20, 30, etc.). At a later date, numbers were added in pencil to the </w:t>
      </w:r>
      <w:proofErr w:type="spellStart"/>
      <w:r>
        <w:rPr>
          <w:rFonts w:ascii="Cambria" w:eastAsia="Cambria" w:hAnsi="Cambria" w:cs="Times New Roman"/>
        </w:rPr>
        <w:t>unfoliated</w:t>
      </w:r>
      <w:proofErr w:type="spellEnd"/>
      <w:r>
        <w:rPr>
          <w:rFonts w:ascii="Cambria" w:eastAsia="Cambria" w:hAnsi="Cambria" w:cs="Times New Roman"/>
        </w:rPr>
        <w:t xml:space="preserve"> </w:t>
      </w:r>
      <w:r w:rsidR="00267937">
        <w:rPr>
          <w:rFonts w:ascii="Cambria" w:eastAsia="Cambria" w:hAnsi="Cambria" w:cs="Times New Roman"/>
        </w:rPr>
        <w:t>leav</w:t>
      </w:r>
      <w:r>
        <w:rPr>
          <w:rFonts w:ascii="Cambria" w:eastAsia="Cambria" w:hAnsi="Cambria" w:cs="Times New Roman"/>
        </w:rPr>
        <w:t xml:space="preserve">es by a second hand. In </w:t>
      </w:r>
      <w:r w:rsidR="006C70D0">
        <w:rPr>
          <w:rFonts w:ascii="Cambria" w:eastAsia="Cambria" w:hAnsi="Cambria" w:cs="Times New Roman"/>
        </w:rPr>
        <w:t>quire</w:t>
      </w:r>
      <w:r>
        <w:rPr>
          <w:rFonts w:ascii="Cambria" w:eastAsia="Cambria" w:hAnsi="Cambria" w:cs="Times New Roman"/>
        </w:rPr>
        <w:t xml:space="preserve"> X, the second hand corrects an error in counting by his predecessor, striking through “110” and replacing it with the correct “111.” Note also that the first hand returns to number the final leaves of Booklet I individually, but </w:t>
      </w:r>
      <w:proofErr w:type="spellStart"/>
      <w:r>
        <w:rPr>
          <w:rFonts w:ascii="Cambria" w:eastAsia="Cambria" w:hAnsi="Cambria" w:cs="Times New Roman"/>
        </w:rPr>
        <w:t>misnumbers</w:t>
      </w:r>
      <w:proofErr w:type="spellEnd"/>
      <w:r>
        <w:rPr>
          <w:rFonts w:ascii="Cambria" w:eastAsia="Cambria" w:hAnsi="Cambria" w:cs="Times New Roman"/>
        </w:rPr>
        <w:t xml:space="preserve"> 113, 114, 115, and 116 due the earlier error at fol. 110. The later </w:t>
      </w:r>
      <w:proofErr w:type="spellStart"/>
      <w:r>
        <w:rPr>
          <w:rFonts w:ascii="Cambria" w:eastAsia="Cambria" w:hAnsi="Cambria" w:cs="Times New Roman"/>
        </w:rPr>
        <w:t>foliator</w:t>
      </w:r>
      <w:proofErr w:type="spellEnd"/>
      <w:r>
        <w:rPr>
          <w:rFonts w:ascii="Cambria" w:eastAsia="Cambria" w:hAnsi="Cambria" w:cs="Times New Roman"/>
        </w:rPr>
        <w:t xml:space="preserve"> strikes through these and uses 115a and 115b to reach number 116 at the same point as his predecessor. </w:t>
      </w:r>
    </w:p>
    <w:p w:rsidR="00423B59" w:rsidRDefault="00423B59" w:rsidP="00286E2B">
      <w:pPr>
        <w:rPr>
          <w:rFonts w:ascii="Cambria" w:eastAsia="Cambria" w:hAnsi="Cambria" w:cs="Times New Roman"/>
        </w:rPr>
      </w:pPr>
    </w:p>
    <w:p w:rsidR="006D0FD4" w:rsidRDefault="00423B59" w:rsidP="00423B59">
      <w:r>
        <w:rPr>
          <w:rFonts w:ascii="Cambria" w:eastAsia="Cambria" w:hAnsi="Cambria" w:cs="Times New Roman"/>
          <w:b/>
        </w:rPr>
        <w:t>Collation:</w:t>
      </w:r>
      <w:r>
        <w:rPr>
          <w:rFonts w:ascii="Cambria" w:eastAsia="Cambria" w:hAnsi="Cambria" w:cs="Times New Roman"/>
        </w:rPr>
        <w:t xml:space="preserve"> </w:t>
      </w:r>
      <w:r>
        <w:t xml:space="preserve">One parchment flyleaf precedes quire I. As Hanna-Lawton note, the codex contains two booklets, the first comprising ii + </w:t>
      </w:r>
      <w:proofErr w:type="spellStart"/>
      <w:r>
        <w:t>fols</w:t>
      </w:r>
      <w:proofErr w:type="spellEnd"/>
      <w:r>
        <w:t xml:space="preserve">. </w:t>
      </w:r>
      <w:proofErr w:type="gramStart"/>
      <w:r>
        <w:t>1-116 and the second comprising fol. 117 to the end.</w:t>
      </w:r>
      <w:proofErr w:type="gramEnd"/>
      <w:r w:rsidR="006D0FD4">
        <w:t xml:space="preserve"> The following collation </w:t>
      </w:r>
      <w:r w:rsidR="00DB475E">
        <w:t>refer</w:t>
      </w:r>
      <w:r w:rsidR="006D0FD4">
        <w:t>s</w:t>
      </w:r>
      <w:r w:rsidR="00DB475E">
        <w:t xml:space="preserve"> to</w:t>
      </w:r>
      <w:r w:rsidR="006D0FD4">
        <w:t xml:space="preserve"> the extant modern pencil folia</w:t>
      </w:r>
      <w:r w:rsidR="000D1AFC">
        <w:t>tion</w:t>
      </w:r>
      <w:r w:rsidR="006D0FD4">
        <w:t>.</w:t>
      </w:r>
    </w:p>
    <w:p w:rsidR="006D0FD4" w:rsidRDefault="006D0FD4" w:rsidP="00423B59"/>
    <w:p w:rsidR="006D0FD4" w:rsidRDefault="006D0FD4" w:rsidP="006D0FD4">
      <w:r>
        <w:t>Booklet I:</w:t>
      </w:r>
    </w:p>
    <w:p w:rsidR="006D0FD4" w:rsidRDefault="006D0FD4" w:rsidP="006D0FD4">
      <w:r>
        <w:t>I ii-13 (quire of 14 leaves; a single parchment leaf precedes this quire)</w:t>
      </w:r>
    </w:p>
    <w:p w:rsidR="006D0FD4" w:rsidRDefault="006D0FD4" w:rsidP="006D0FD4">
      <w:r>
        <w:t>II 14-25</w:t>
      </w:r>
    </w:p>
    <w:p w:rsidR="006D0FD4" w:rsidRDefault="006D0FD4" w:rsidP="006D0FD4">
      <w:r>
        <w:t>III 26-37</w:t>
      </w:r>
    </w:p>
    <w:p w:rsidR="006D0FD4" w:rsidRDefault="006D0FD4" w:rsidP="006D0FD4">
      <w:r>
        <w:t>IV 38-49</w:t>
      </w:r>
    </w:p>
    <w:p w:rsidR="006D0FD4" w:rsidRDefault="006D0FD4" w:rsidP="006D0FD4">
      <w:r>
        <w:t>V 50-61</w:t>
      </w:r>
    </w:p>
    <w:p w:rsidR="006D0FD4" w:rsidRDefault="006D0FD4" w:rsidP="006D0FD4">
      <w:r>
        <w:t>VI 62-73</w:t>
      </w:r>
    </w:p>
    <w:p w:rsidR="006D0FD4" w:rsidRDefault="006D0FD4" w:rsidP="006D0FD4">
      <w:r>
        <w:t>VII 74-85</w:t>
      </w:r>
    </w:p>
    <w:p w:rsidR="006D0FD4" w:rsidRDefault="006D0FD4" w:rsidP="006D0FD4">
      <w:r>
        <w:t>VIII 86-97</w:t>
      </w:r>
    </w:p>
    <w:p w:rsidR="006D0FD4" w:rsidRDefault="006D0FD4" w:rsidP="006D0FD4">
      <w:r>
        <w:t>IX 98-107</w:t>
      </w:r>
    </w:p>
    <w:p w:rsidR="006D0FD4" w:rsidRDefault="006D0FD4" w:rsidP="006D0FD4">
      <w:r>
        <w:t>X 108-116 (115 counted t</w:t>
      </w:r>
      <w:r w:rsidR="00421983">
        <w:t>wice as</w:t>
      </w:r>
      <w:r w:rsidR="006D5F7F">
        <w:t xml:space="preserve"> 115a and</w:t>
      </w:r>
      <w:r>
        <w:t xml:space="preserve"> </w:t>
      </w:r>
      <w:r w:rsidR="002E68A1">
        <w:t>115</w:t>
      </w:r>
      <w:r>
        <w:t>b)</w:t>
      </w:r>
    </w:p>
    <w:p w:rsidR="006D0FD4" w:rsidRDefault="006D0FD4" w:rsidP="006D0FD4"/>
    <w:p w:rsidR="006D0FD4" w:rsidRDefault="006D0FD4" w:rsidP="006D0FD4">
      <w:r>
        <w:t>Booklet II:</w:t>
      </w:r>
    </w:p>
    <w:p w:rsidR="006D0FD4" w:rsidRDefault="006D0FD4" w:rsidP="006D0FD4">
      <w:r>
        <w:t>XI 117-124</w:t>
      </w:r>
    </w:p>
    <w:p w:rsidR="00E1220E" w:rsidRDefault="006D0FD4" w:rsidP="006D0FD4">
      <w:r>
        <w:t>XII 125-131 (a quire of ten with three leaves wanting – one after fol. 126 and two after fol. 130)</w:t>
      </w:r>
    </w:p>
    <w:p w:rsidR="00E1220E" w:rsidRDefault="00E1220E" w:rsidP="006D0FD4"/>
    <w:p w:rsidR="001C6C97" w:rsidRDefault="00E1220E" w:rsidP="00E1220E">
      <w:r>
        <w:t xml:space="preserve">No quire marks or signatures. </w:t>
      </w:r>
      <w:proofErr w:type="gramStart"/>
      <w:r>
        <w:t>Catchwords at lower right, booklet I only.</w:t>
      </w:r>
      <w:proofErr w:type="gramEnd"/>
    </w:p>
    <w:p w:rsidR="001C6C97" w:rsidRDefault="001C6C97" w:rsidP="00E1220E"/>
    <w:p w:rsidR="000C2F4F" w:rsidRDefault="000C2F4F" w:rsidP="00E1220E">
      <w:r>
        <w:rPr>
          <w:b/>
        </w:rPr>
        <w:t xml:space="preserve">Condition: </w:t>
      </w:r>
      <w:r>
        <w:t>Parchment in</w:t>
      </w:r>
      <w:r w:rsidR="00E50894">
        <w:t xml:space="preserve"> sound condition</w:t>
      </w:r>
      <w:r>
        <w:t>, but often soiled and with the margin frequently cut away.</w:t>
      </w:r>
    </w:p>
    <w:p w:rsidR="000C2F4F" w:rsidRDefault="000C2F4F" w:rsidP="00E1220E"/>
    <w:p w:rsidR="00851EE8" w:rsidRDefault="006C46BC" w:rsidP="00723C8F">
      <w:r>
        <w:rPr>
          <w:b/>
        </w:rPr>
        <w:t xml:space="preserve">Page layout: </w:t>
      </w:r>
      <w:r w:rsidR="009E5E68">
        <w:t xml:space="preserve">In Booklet I, bounding lines in brown ink on top, left, and bottom of text blocks; no rulings for individual lines. A few </w:t>
      </w:r>
      <w:proofErr w:type="spellStart"/>
      <w:r w:rsidR="009E5E68">
        <w:t>prickings</w:t>
      </w:r>
      <w:proofErr w:type="spellEnd"/>
      <w:r w:rsidR="009E5E68">
        <w:t xml:space="preserve">, usually one hole at the juncture of the bounding lines, remain (e.g., </w:t>
      </w:r>
      <w:proofErr w:type="spellStart"/>
      <w:r w:rsidR="009E5E68">
        <w:t>fols</w:t>
      </w:r>
      <w:proofErr w:type="spellEnd"/>
      <w:r w:rsidR="00471B0E">
        <w:t>.</w:t>
      </w:r>
      <w:r w:rsidR="009E5E68">
        <w:t xml:space="preserve"> 11, 15, 39, and 51). No ruling or </w:t>
      </w:r>
      <w:proofErr w:type="spellStart"/>
      <w:r w:rsidR="009E5E68">
        <w:t>prickings</w:t>
      </w:r>
      <w:proofErr w:type="spellEnd"/>
      <w:r w:rsidR="009E5E68">
        <w:t xml:space="preserve"> in Booklet II. Ruled for 33-41 lines per leaf in </w:t>
      </w:r>
      <w:r w:rsidR="009E5E68">
        <w:rPr>
          <w:i/>
        </w:rPr>
        <w:t>Siege of Jerusalem</w:t>
      </w:r>
      <w:r w:rsidR="009E5E68">
        <w:t xml:space="preserve">, 37-46 lines per leaf in </w:t>
      </w:r>
      <w:r w:rsidR="009E5E68">
        <w:rPr>
          <w:i/>
        </w:rPr>
        <w:t>Piers Plowman</w:t>
      </w:r>
      <w:r w:rsidR="009E5E68">
        <w:t xml:space="preserve">, and 38-40 lines in Booklet II. In Booklet I, text block 175-180 mm in height in </w:t>
      </w:r>
      <w:r w:rsidR="009E5E68">
        <w:rPr>
          <w:i/>
        </w:rPr>
        <w:t>Siege of Jerusalem</w:t>
      </w:r>
      <w:r w:rsidR="009E5E68">
        <w:t xml:space="preserve"> and 170-180 mm in height in </w:t>
      </w:r>
      <w:r w:rsidR="009E5E68">
        <w:rPr>
          <w:i/>
        </w:rPr>
        <w:t>Piers Plowman</w:t>
      </w:r>
      <w:proofErr w:type="gramStart"/>
      <w:r w:rsidR="009E5E68">
        <w:t>;</w:t>
      </w:r>
      <w:proofErr w:type="gramEnd"/>
      <w:r w:rsidR="009E5E68">
        <w:t xml:space="preserve"> the width of the text block varies in both. In Booklet II, </w:t>
      </w:r>
      <w:r w:rsidR="0041240A">
        <w:t>text block 170-</w:t>
      </w:r>
      <w:r w:rsidR="009E5E68">
        <w:t>180 mm in height, 120 mm in width.</w:t>
      </w:r>
    </w:p>
    <w:p w:rsidR="00D172EB" w:rsidRDefault="00D172EB" w:rsidP="009E5E68"/>
    <w:p w:rsidR="004D4ADB" w:rsidRDefault="004D4ADB" w:rsidP="004D4ADB">
      <w:r>
        <w:rPr>
          <w:b/>
        </w:rPr>
        <w:t xml:space="preserve">The scribe: </w:t>
      </w:r>
      <w:r w:rsidR="00D172EB">
        <w:rPr>
          <w:b/>
        </w:rPr>
        <w:t xml:space="preserve">Script and </w:t>
      </w:r>
      <w:r>
        <w:rPr>
          <w:b/>
        </w:rPr>
        <w:t>dialect</w:t>
      </w:r>
      <w:r w:rsidR="00D172EB">
        <w:rPr>
          <w:b/>
        </w:rPr>
        <w:t>:</w:t>
      </w:r>
      <w:r w:rsidR="00D172EB">
        <w:t xml:space="preserve"> </w:t>
      </w:r>
      <w:r w:rsidR="00D172EB">
        <w:rPr>
          <w:rFonts w:ascii="Junicode" w:hAnsi="Junicode"/>
        </w:rPr>
        <w:t xml:space="preserve">The text is in </w:t>
      </w:r>
      <w:r w:rsidR="00ED7A5E">
        <w:rPr>
          <w:rFonts w:ascii="Junicode" w:hAnsi="Junicode"/>
        </w:rPr>
        <w:t xml:space="preserve">an </w:t>
      </w:r>
      <w:proofErr w:type="spellStart"/>
      <w:r w:rsidR="00D172EB">
        <w:rPr>
          <w:rFonts w:ascii="Junicode" w:hAnsi="Junicode"/>
        </w:rPr>
        <w:t>anglicana</w:t>
      </w:r>
      <w:proofErr w:type="spellEnd"/>
      <w:r w:rsidR="00D172EB">
        <w:rPr>
          <w:rFonts w:ascii="Junicode" w:hAnsi="Junicode"/>
        </w:rPr>
        <w:t xml:space="preserve"> </w:t>
      </w:r>
      <w:r w:rsidR="00ED7A5E">
        <w:rPr>
          <w:rFonts w:ascii="Junicode" w:hAnsi="Junicode"/>
        </w:rPr>
        <w:t xml:space="preserve">script using brown ink </w:t>
      </w:r>
      <w:r w:rsidR="00D172EB">
        <w:rPr>
          <w:rFonts w:ascii="Junicode" w:hAnsi="Junicode"/>
        </w:rPr>
        <w:t xml:space="preserve">throughout, and is likely the work on one scribe. Russell-Kane </w:t>
      </w:r>
      <w:proofErr w:type="gramStart"/>
      <w:r w:rsidR="00D172EB">
        <w:rPr>
          <w:rFonts w:ascii="Junicode" w:hAnsi="Junicode"/>
        </w:rPr>
        <w:t>believe</w:t>
      </w:r>
      <w:proofErr w:type="gramEnd"/>
      <w:r w:rsidR="00D172EB">
        <w:rPr>
          <w:rFonts w:ascii="Junicode" w:hAnsi="Junicode"/>
        </w:rPr>
        <w:t xml:space="preserve"> the entire manuscript to be the work of the same scribe, whereas Hanna-Lawton note that one scribe copied </w:t>
      </w:r>
      <w:r w:rsidR="00D172EB">
        <w:rPr>
          <w:rStyle w:val="it1"/>
          <w:rFonts w:ascii="Junicode" w:hAnsi="Junicode"/>
        </w:rPr>
        <w:t>S</w:t>
      </w:r>
      <w:r w:rsidR="007B2B05">
        <w:rPr>
          <w:rStyle w:val="it1"/>
          <w:rFonts w:ascii="Junicode" w:hAnsi="Junicode"/>
        </w:rPr>
        <w:t xml:space="preserve">iege of </w:t>
      </w:r>
      <w:r w:rsidR="00D172EB">
        <w:rPr>
          <w:rStyle w:val="it1"/>
          <w:rFonts w:ascii="Junicode" w:hAnsi="Junicode"/>
        </w:rPr>
        <w:t>J</w:t>
      </w:r>
      <w:r w:rsidR="007B2B05">
        <w:rPr>
          <w:rStyle w:val="it1"/>
          <w:rFonts w:ascii="Junicode" w:hAnsi="Junicode"/>
        </w:rPr>
        <w:t>erusalem</w:t>
      </w:r>
      <w:r w:rsidR="00D172EB">
        <w:rPr>
          <w:rFonts w:ascii="Junicode" w:hAnsi="Junicode"/>
        </w:rPr>
        <w:t xml:space="preserve"> with "perhaps a second for the remainder."</w:t>
      </w:r>
      <w:r w:rsidR="00851EE8">
        <w:rPr>
          <w:rFonts w:ascii="Junicode" w:hAnsi="Junicode"/>
        </w:rPr>
        <w:t xml:space="preserve"> There are </w:t>
      </w:r>
      <w:r w:rsidR="00851EE8">
        <w:t xml:space="preserve">no running heads in </w:t>
      </w:r>
      <w:r w:rsidR="00851EE8">
        <w:rPr>
          <w:i/>
        </w:rPr>
        <w:t>Siege of Jerusalem</w:t>
      </w:r>
      <w:r w:rsidR="00851EE8">
        <w:t xml:space="preserve">, but </w:t>
      </w:r>
      <w:r w:rsidR="00851EE8">
        <w:rPr>
          <w:i/>
        </w:rPr>
        <w:t>Piers Plowman</w:t>
      </w:r>
      <w:r w:rsidR="00851EE8">
        <w:t xml:space="preserve"> features running heads starting on fol. 69 and going through until the end, e.g.</w:t>
      </w:r>
      <w:r w:rsidR="00B84F3D">
        <w:t>,</w:t>
      </w:r>
      <w:r w:rsidR="00851EE8">
        <w:t xml:space="preserve"> “Dowel,” “</w:t>
      </w:r>
      <w:proofErr w:type="spellStart"/>
      <w:r w:rsidR="00851EE8">
        <w:t>Dobet</w:t>
      </w:r>
      <w:proofErr w:type="spellEnd"/>
      <w:r w:rsidR="00851EE8">
        <w:t>,” and “</w:t>
      </w:r>
      <w:proofErr w:type="spellStart"/>
      <w:r w:rsidR="00851EE8">
        <w:t>Dobest</w:t>
      </w:r>
      <w:proofErr w:type="spellEnd"/>
      <w:r w:rsidR="00851EE8">
        <w:t>.” The first few of these (58v to 63r) appear to have been added later; the rest are contemporary with the text.</w:t>
      </w:r>
      <w:r w:rsidR="00E534E9">
        <w:t xml:space="preserve"> Corrections are sparse, with </w:t>
      </w:r>
      <w:proofErr w:type="spellStart"/>
      <w:r w:rsidR="00E534E9">
        <w:t>subpunction</w:t>
      </w:r>
      <w:proofErr w:type="spellEnd"/>
      <w:r w:rsidR="00E534E9">
        <w:t xml:space="preserve"> on fol. 5r, erasures on 9r, and a few </w:t>
      </w:r>
      <w:proofErr w:type="spellStart"/>
      <w:r w:rsidR="00721252">
        <w:t>supralinear</w:t>
      </w:r>
      <w:proofErr w:type="spellEnd"/>
      <w:r w:rsidR="00721252">
        <w:t xml:space="preserve"> additions by the main scribe (e.g., folios 3v, 7v, 9r).</w:t>
      </w:r>
    </w:p>
    <w:p w:rsidR="004D4ADB" w:rsidRDefault="004D4ADB" w:rsidP="004D4ADB"/>
    <w:p w:rsidR="00F12E48" w:rsidRPr="004D4ADB" w:rsidRDefault="00F12E48" w:rsidP="004D4ADB">
      <w:r>
        <w:rPr>
          <w:rFonts w:ascii="Junicode" w:hAnsi="Junicode"/>
        </w:rPr>
        <w:t>Kellogg's dissertation is an especially useful tool for the study of the dialect of Laud Misc. 656; whereas the dialect features of the other manuscripts are documented in appendices, the features of L are the focus of his dissertation and are discussed at great length. He concludes his work with a summary of the relationships of the dialects found in the manuscript, noting that L is the westernmost dialect of the group (Kellogg did not know of P or the Exeter fragment):</w:t>
      </w:r>
    </w:p>
    <w:p w:rsidR="00F12E48" w:rsidRDefault="00F12E48" w:rsidP="00F12E48">
      <w:pPr>
        <w:pStyle w:val="p"/>
        <w:rPr>
          <w:rFonts w:ascii="Junicode" w:hAnsi="Junicode"/>
        </w:rPr>
      </w:pPr>
      <w:r>
        <w:rPr>
          <w:rFonts w:ascii="Junicode" w:hAnsi="Junicode"/>
        </w:rPr>
        <w:t xml:space="preserve">"On the whole the MSS are pretty consistent in displaying East Midland traits. Western features are mainly limited to one MS: L. It alone shows any retention of OE. </w:t>
      </w:r>
      <w:proofErr w:type="spellStart"/>
      <w:proofErr w:type="gramStart"/>
      <w:r>
        <w:rPr>
          <w:rFonts w:ascii="Junicode" w:hAnsi="Junicode"/>
        </w:rPr>
        <w:t>eo</w:t>
      </w:r>
      <w:proofErr w:type="spellEnd"/>
      <w:proofErr w:type="gramEnd"/>
      <w:r>
        <w:rPr>
          <w:rFonts w:ascii="Junicode" w:hAnsi="Junicode"/>
        </w:rPr>
        <w:t xml:space="preserve"> as a rounded vowel. It alone has </w:t>
      </w:r>
      <w:proofErr w:type="spellStart"/>
      <w:r>
        <w:rPr>
          <w:rStyle w:val="it1"/>
          <w:rFonts w:ascii="Junicode" w:hAnsi="Junicode"/>
        </w:rPr>
        <w:t>ȝo</w:t>
      </w:r>
      <w:proofErr w:type="spellEnd"/>
      <w:r>
        <w:rPr>
          <w:rFonts w:ascii="Junicode" w:hAnsi="Junicode"/>
        </w:rPr>
        <w:t xml:space="preserve"> for 'she' or preserves OE. </w:t>
      </w:r>
      <w:proofErr w:type="gramStart"/>
      <w:r>
        <w:rPr>
          <w:rFonts w:ascii="Junicode" w:hAnsi="Junicode"/>
        </w:rPr>
        <w:t>y</w:t>
      </w:r>
      <w:proofErr w:type="gramEnd"/>
      <w:r>
        <w:rPr>
          <w:rFonts w:ascii="Junicode" w:hAnsi="Junicode"/>
        </w:rPr>
        <w:t xml:space="preserve"> as a rounded vowel in more than a score of instances. U has seventeen instances of this last; E had nine" (61).</w:t>
      </w:r>
    </w:p>
    <w:p w:rsidR="00F12E48" w:rsidRDefault="00F12E48" w:rsidP="00F12E48">
      <w:pPr>
        <w:pStyle w:val="p"/>
        <w:rPr>
          <w:rFonts w:ascii="Junicode" w:hAnsi="Junicode"/>
        </w:rPr>
      </w:pPr>
      <w:r>
        <w:rPr>
          <w:rFonts w:ascii="Junicode" w:hAnsi="Junicode"/>
        </w:rPr>
        <w:t xml:space="preserve">Although Kellogg's documentation and characterization of L's dialect are accurate, his conclusion that L represents the dialect of the poet is much less convincing than Hanna-Lawton's argument for an authorial dialect from the </w:t>
      </w:r>
      <w:proofErr w:type="spellStart"/>
      <w:r>
        <w:rPr>
          <w:rFonts w:ascii="Junicode" w:hAnsi="Junicode"/>
        </w:rPr>
        <w:t>Barnoldswick-Earby</w:t>
      </w:r>
      <w:proofErr w:type="spellEnd"/>
      <w:r>
        <w:rPr>
          <w:rFonts w:ascii="Junicode" w:hAnsi="Junicode"/>
        </w:rPr>
        <w:t xml:space="preserve"> area (see xxvii and following).</w:t>
      </w:r>
    </w:p>
    <w:p w:rsidR="00F12E48" w:rsidRDefault="00F12E48" w:rsidP="00F12E48">
      <w:pPr>
        <w:pStyle w:val="p"/>
        <w:rPr>
          <w:rFonts w:ascii="Junicode" w:hAnsi="Junicode"/>
        </w:rPr>
      </w:pPr>
      <w:r>
        <w:rPr>
          <w:rFonts w:ascii="Junicode" w:hAnsi="Junicode"/>
        </w:rPr>
        <w:t xml:space="preserve">In "Langland's Dialect," </w:t>
      </w:r>
      <w:r>
        <w:rPr>
          <w:rStyle w:val="it1"/>
          <w:rFonts w:ascii="Junicode" w:hAnsi="Junicode"/>
        </w:rPr>
        <w:t xml:space="preserve">Medium </w:t>
      </w:r>
      <w:proofErr w:type="spellStart"/>
      <w:r>
        <w:rPr>
          <w:rStyle w:val="it1"/>
          <w:rFonts w:ascii="Junicode" w:hAnsi="Junicode"/>
        </w:rPr>
        <w:t>Ævum</w:t>
      </w:r>
      <w:proofErr w:type="spellEnd"/>
      <w:r>
        <w:rPr>
          <w:rFonts w:ascii="Junicode" w:hAnsi="Junicode"/>
        </w:rPr>
        <w:t xml:space="preserve"> 54 (1985) M. L. Samuels also comments on the dialect of the manuscript, although his focus is on the C text of </w:t>
      </w:r>
      <w:r>
        <w:rPr>
          <w:rStyle w:val="it1"/>
          <w:rFonts w:ascii="Junicode" w:hAnsi="Junicode"/>
        </w:rPr>
        <w:t>Piers Plowman</w:t>
      </w:r>
      <w:r>
        <w:rPr>
          <w:rFonts w:ascii="Junicode" w:hAnsi="Junicode"/>
        </w:rPr>
        <w:t xml:space="preserve"> rather than </w:t>
      </w:r>
      <w:r>
        <w:rPr>
          <w:rStyle w:val="it1"/>
          <w:rFonts w:ascii="Junicode" w:hAnsi="Junicode"/>
        </w:rPr>
        <w:t>SJ</w:t>
      </w:r>
      <w:r>
        <w:rPr>
          <w:rFonts w:ascii="Junicode" w:hAnsi="Junicode"/>
        </w:rPr>
        <w:t xml:space="preserve">. He lists Laud Misc. 656 as originating in "north </w:t>
      </w:r>
      <w:proofErr w:type="spellStart"/>
      <w:r>
        <w:rPr>
          <w:rFonts w:ascii="Junicode" w:hAnsi="Junicode"/>
        </w:rPr>
        <w:t>Oxfordshire</w:t>
      </w:r>
      <w:proofErr w:type="spellEnd"/>
      <w:r>
        <w:rPr>
          <w:rFonts w:ascii="Junicode" w:hAnsi="Junicode"/>
        </w:rPr>
        <w:t xml:space="preserve">," offering as evidence the forms </w:t>
      </w:r>
      <w:proofErr w:type="spellStart"/>
      <w:r>
        <w:rPr>
          <w:rStyle w:val="it1"/>
          <w:rFonts w:ascii="Junicode" w:hAnsi="Junicode"/>
        </w:rPr>
        <w:t>hure</w:t>
      </w:r>
      <w:proofErr w:type="spellEnd"/>
      <w:r>
        <w:rPr>
          <w:rFonts w:ascii="Junicode" w:hAnsi="Junicode"/>
        </w:rPr>
        <w:t xml:space="preserve">, </w:t>
      </w:r>
      <w:r>
        <w:rPr>
          <w:rStyle w:val="it1"/>
          <w:rFonts w:ascii="Junicode" w:hAnsi="Junicode"/>
        </w:rPr>
        <w:t>hear</w:t>
      </w:r>
      <w:r>
        <w:rPr>
          <w:rFonts w:ascii="Junicode" w:hAnsi="Junicode"/>
        </w:rPr>
        <w:t xml:space="preserve">; </w:t>
      </w:r>
      <w:proofErr w:type="spellStart"/>
      <w:r>
        <w:rPr>
          <w:rStyle w:val="it1"/>
          <w:rFonts w:ascii="Junicode" w:hAnsi="Junicode"/>
        </w:rPr>
        <w:t>ȝo</w:t>
      </w:r>
      <w:proofErr w:type="spellEnd"/>
      <w:r>
        <w:rPr>
          <w:rFonts w:ascii="Junicode" w:hAnsi="Junicode"/>
        </w:rPr>
        <w:t xml:space="preserve">, </w:t>
      </w:r>
      <w:r>
        <w:rPr>
          <w:rStyle w:val="it1"/>
          <w:rFonts w:ascii="Junicode" w:hAnsi="Junicode"/>
        </w:rPr>
        <w:t>she</w:t>
      </w:r>
      <w:r>
        <w:rPr>
          <w:rFonts w:ascii="Junicode" w:hAnsi="Junicode"/>
        </w:rPr>
        <w:t xml:space="preserve">; </w:t>
      </w:r>
      <w:proofErr w:type="spellStart"/>
      <w:r>
        <w:rPr>
          <w:rStyle w:val="it1"/>
          <w:rFonts w:ascii="Junicode" w:hAnsi="Junicode"/>
        </w:rPr>
        <w:t>myche</w:t>
      </w:r>
      <w:proofErr w:type="spellEnd"/>
      <w:r>
        <w:rPr>
          <w:rFonts w:ascii="Junicode" w:hAnsi="Junicode"/>
        </w:rPr>
        <w:t xml:space="preserve">, </w:t>
      </w:r>
      <w:r>
        <w:rPr>
          <w:rStyle w:val="it1"/>
          <w:rFonts w:ascii="Junicode" w:hAnsi="Junicode"/>
        </w:rPr>
        <w:t>much</w:t>
      </w:r>
      <w:r>
        <w:rPr>
          <w:rFonts w:ascii="Junicode" w:hAnsi="Junicode"/>
        </w:rPr>
        <w:t xml:space="preserve">; </w:t>
      </w:r>
      <w:proofErr w:type="spellStart"/>
      <w:r>
        <w:rPr>
          <w:rStyle w:val="it1"/>
          <w:rFonts w:ascii="Junicode" w:hAnsi="Junicode"/>
        </w:rPr>
        <w:t>silf</w:t>
      </w:r>
      <w:proofErr w:type="spellEnd"/>
      <w:r>
        <w:rPr>
          <w:rFonts w:ascii="Junicode" w:hAnsi="Junicode"/>
        </w:rPr>
        <w:t xml:space="preserve">, </w:t>
      </w:r>
      <w:r>
        <w:rPr>
          <w:rStyle w:val="it1"/>
          <w:rFonts w:ascii="Junicode" w:hAnsi="Junicode"/>
        </w:rPr>
        <w:t>self</w:t>
      </w:r>
      <w:r>
        <w:rPr>
          <w:rFonts w:ascii="Junicode" w:hAnsi="Junicode"/>
        </w:rPr>
        <w:t xml:space="preserve">; </w:t>
      </w:r>
      <w:proofErr w:type="spellStart"/>
      <w:r>
        <w:rPr>
          <w:rStyle w:val="it1"/>
          <w:rFonts w:ascii="Junicode" w:hAnsi="Junicode"/>
        </w:rPr>
        <w:t>þuder</w:t>
      </w:r>
      <w:proofErr w:type="spellEnd"/>
      <w:r>
        <w:rPr>
          <w:rFonts w:ascii="Junicode" w:hAnsi="Junicode"/>
        </w:rPr>
        <w:t xml:space="preserve">, </w:t>
      </w:r>
      <w:r>
        <w:rPr>
          <w:rStyle w:val="it1"/>
          <w:rFonts w:ascii="Junicode" w:hAnsi="Junicode"/>
        </w:rPr>
        <w:t>thither</w:t>
      </w:r>
      <w:r>
        <w:rPr>
          <w:rFonts w:ascii="Junicode" w:hAnsi="Junicode"/>
        </w:rPr>
        <w:t xml:space="preserve">; </w:t>
      </w:r>
      <w:r>
        <w:rPr>
          <w:rStyle w:val="it1"/>
          <w:rFonts w:ascii="Junicode" w:hAnsi="Junicode"/>
        </w:rPr>
        <w:t xml:space="preserve">to </w:t>
      </w:r>
      <w:proofErr w:type="spellStart"/>
      <w:r>
        <w:rPr>
          <w:rStyle w:val="it1"/>
          <w:rFonts w:ascii="Junicode" w:hAnsi="Junicode"/>
        </w:rPr>
        <w:t>gadres</w:t>
      </w:r>
      <w:proofErr w:type="spellEnd"/>
      <w:r>
        <w:rPr>
          <w:rFonts w:ascii="Junicode" w:hAnsi="Junicode"/>
        </w:rPr>
        <w:t xml:space="preserve">, </w:t>
      </w:r>
      <w:r>
        <w:rPr>
          <w:rStyle w:val="it1"/>
          <w:rFonts w:ascii="Junicode" w:hAnsi="Junicode"/>
        </w:rPr>
        <w:t>together</w:t>
      </w:r>
      <w:r>
        <w:rPr>
          <w:rFonts w:ascii="Junicode" w:hAnsi="Junicode"/>
        </w:rPr>
        <w:t xml:space="preserve">; </w:t>
      </w:r>
      <w:proofErr w:type="spellStart"/>
      <w:r>
        <w:rPr>
          <w:rStyle w:val="it1"/>
          <w:rFonts w:ascii="Junicode" w:hAnsi="Junicode"/>
        </w:rPr>
        <w:t>forȝutte</w:t>
      </w:r>
      <w:proofErr w:type="spellEnd"/>
      <w:r>
        <w:rPr>
          <w:rFonts w:ascii="Junicode" w:hAnsi="Junicode"/>
        </w:rPr>
        <w:t xml:space="preserve">, </w:t>
      </w:r>
      <w:r>
        <w:rPr>
          <w:rStyle w:val="it1"/>
          <w:rFonts w:ascii="Junicode" w:hAnsi="Junicode"/>
        </w:rPr>
        <w:t>forget</w:t>
      </w:r>
      <w:r>
        <w:rPr>
          <w:rFonts w:ascii="Junicode" w:hAnsi="Junicode"/>
        </w:rPr>
        <w:t xml:space="preserve">; and </w:t>
      </w:r>
      <w:proofErr w:type="spellStart"/>
      <w:r>
        <w:rPr>
          <w:rStyle w:val="it1"/>
          <w:rFonts w:ascii="Junicode" w:hAnsi="Junicode"/>
        </w:rPr>
        <w:t>laste</w:t>
      </w:r>
      <w:proofErr w:type="spellEnd"/>
      <w:r>
        <w:rPr>
          <w:rFonts w:ascii="Junicode" w:hAnsi="Junicode"/>
        </w:rPr>
        <w:t xml:space="preserve">, </w:t>
      </w:r>
      <w:r>
        <w:rPr>
          <w:rStyle w:val="it1"/>
          <w:rFonts w:ascii="Junicode" w:hAnsi="Junicode"/>
        </w:rPr>
        <w:t>lest</w:t>
      </w:r>
      <w:r>
        <w:rPr>
          <w:rFonts w:ascii="Junicode" w:hAnsi="Junicode"/>
        </w:rPr>
        <w:t xml:space="preserve"> (p. 239 and n. 39). Hanna-Lawton cite Samuels </w:t>
      </w:r>
      <w:r w:rsidR="009676B3">
        <w:rPr>
          <w:rFonts w:ascii="Junicode" w:hAnsi="Junicode"/>
        </w:rPr>
        <w:t>in identifying</w:t>
      </w:r>
      <w:r>
        <w:rPr>
          <w:rFonts w:ascii="Junicode" w:hAnsi="Junicode"/>
        </w:rPr>
        <w:t xml:space="preserve"> the </w:t>
      </w:r>
      <w:r w:rsidR="009676B3">
        <w:rPr>
          <w:rStyle w:val="it1"/>
          <w:rFonts w:ascii="Junicode" w:hAnsi="Junicode"/>
          <w:i w:val="0"/>
        </w:rPr>
        <w:t xml:space="preserve">manuscript as the work of </w:t>
      </w:r>
      <w:r w:rsidR="009676B3">
        <w:rPr>
          <w:rStyle w:val="it1"/>
          <w:rFonts w:ascii="Junicode" w:hAnsi="Junicode" w:hint="eastAsia"/>
          <w:i w:val="0"/>
        </w:rPr>
        <w:t>“</w:t>
      </w:r>
      <w:r w:rsidR="009676B3">
        <w:rPr>
          <w:rStyle w:val="it1"/>
          <w:rFonts w:ascii="Junicode" w:hAnsi="Junicode"/>
          <w:i w:val="0"/>
        </w:rPr>
        <w:t xml:space="preserve">northwest </w:t>
      </w:r>
      <w:proofErr w:type="spellStart"/>
      <w:r w:rsidR="009676B3">
        <w:rPr>
          <w:rStyle w:val="it1"/>
          <w:rFonts w:ascii="Junicode" w:hAnsi="Junicode"/>
          <w:i w:val="0"/>
        </w:rPr>
        <w:t>Oxfordshire</w:t>
      </w:r>
      <w:proofErr w:type="spellEnd"/>
      <w:r w:rsidR="009676B3">
        <w:rPr>
          <w:rStyle w:val="it1"/>
          <w:rFonts w:ascii="Junicode" w:hAnsi="Junicode"/>
          <w:i w:val="0"/>
        </w:rPr>
        <w:t xml:space="preserve"> scribes</w:t>
      </w:r>
      <w:r>
        <w:rPr>
          <w:rFonts w:ascii="Junicode" w:hAnsi="Junicode"/>
        </w:rPr>
        <w:t>,</w:t>
      </w:r>
      <w:r w:rsidR="009676B3">
        <w:rPr>
          <w:rFonts w:ascii="Junicode" w:hAnsi="Junicode" w:hint="eastAsia"/>
        </w:rPr>
        <w:t>”</w:t>
      </w:r>
      <w:r>
        <w:rPr>
          <w:rFonts w:ascii="Junicode" w:hAnsi="Junicode"/>
        </w:rPr>
        <w:t xml:space="preserve"> but it should be noted that in the brief list provided above the </w:t>
      </w:r>
      <w:r>
        <w:rPr>
          <w:rStyle w:val="it1"/>
          <w:rFonts w:ascii="Junicode" w:hAnsi="Junicode"/>
        </w:rPr>
        <w:t>SJ</w:t>
      </w:r>
      <w:r>
        <w:rPr>
          <w:rFonts w:ascii="Junicode" w:hAnsi="Junicode"/>
        </w:rPr>
        <w:t xml:space="preserve"> scribe exhibits different forms from those found in </w:t>
      </w:r>
      <w:r>
        <w:rPr>
          <w:rStyle w:val="it1"/>
          <w:rFonts w:ascii="Junicode" w:hAnsi="Junicode"/>
        </w:rPr>
        <w:t>Piers</w:t>
      </w:r>
      <w:r>
        <w:rPr>
          <w:rFonts w:ascii="Junicode" w:hAnsi="Junicode"/>
        </w:rPr>
        <w:t xml:space="preserve"> in three out of six instances: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01"/>
        <w:gridCol w:w="1130"/>
        <w:gridCol w:w="186"/>
        <w:gridCol w:w="1095"/>
      </w:tblGrid>
      <w:tr w:rsidR="00F12E48">
        <w:trPr>
          <w:tblCellSpacing w:w="15" w:type="dxa"/>
        </w:trPr>
        <w:tc>
          <w:tcPr>
            <w:tcW w:w="0" w:type="auto"/>
            <w:tcMar>
              <w:top w:w="15" w:type="dxa"/>
              <w:left w:w="75" w:type="dxa"/>
              <w:bottom w:w="15" w:type="dxa"/>
              <w:right w:w="75" w:type="dxa"/>
            </w:tcMar>
          </w:tcPr>
          <w:p w:rsidR="00F12E48" w:rsidRDefault="00F12E48">
            <w:bookmarkStart w:id="1" w:name="ii.2.5"/>
            <w:bookmarkEnd w:id="1"/>
          </w:p>
        </w:tc>
        <w:tc>
          <w:tcPr>
            <w:tcW w:w="0" w:type="auto"/>
            <w:tcMar>
              <w:top w:w="15" w:type="dxa"/>
              <w:left w:w="75" w:type="dxa"/>
              <w:bottom w:w="15" w:type="dxa"/>
              <w:right w:w="75" w:type="dxa"/>
            </w:tcMar>
          </w:tcPr>
          <w:p w:rsidR="00F12E48" w:rsidRDefault="00F12E48">
            <w:r>
              <w:rPr>
                <w:rStyle w:val="bold1"/>
              </w:rPr>
              <w:t>Piers</w:t>
            </w:r>
          </w:p>
        </w:tc>
        <w:tc>
          <w:tcPr>
            <w:tcW w:w="0" w:type="auto"/>
            <w:tcMar>
              <w:top w:w="15" w:type="dxa"/>
              <w:left w:w="75" w:type="dxa"/>
              <w:bottom w:w="15" w:type="dxa"/>
              <w:right w:w="75" w:type="dxa"/>
            </w:tcMar>
          </w:tcPr>
          <w:p w:rsidR="00F12E48" w:rsidRDefault="00F12E48"/>
        </w:tc>
        <w:tc>
          <w:tcPr>
            <w:tcW w:w="0" w:type="auto"/>
            <w:tcMar>
              <w:top w:w="15" w:type="dxa"/>
              <w:left w:w="75" w:type="dxa"/>
              <w:bottom w:w="15" w:type="dxa"/>
              <w:right w:w="75" w:type="dxa"/>
            </w:tcMar>
          </w:tcPr>
          <w:p w:rsidR="00F12E48" w:rsidRDefault="00F12E48">
            <w:r>
              <w:rPr>
                <w:rStyle w:val="bold1"/>
              </w:rPr>
              <w:t>Siege</w:t>
            </w:r>
          </w:p>
        </w:tc>
      </w:tr>
      <w:tr w:rsidR="00F12E48">
        <w:trPr>
          <w:tblCellSpacing w:w="15" w:type="dxa"/>
        </w:trPr>
        <w:tc>
          <w:tcPr>
            <w:tcW w:w="0" w:type="auto"/>
            <w:tcMar>
              <w:top w:w="15" w:type="dxa"/>
              <w:left w:w="75" w:type="dxa"/>
              <w:bottom w:w="15" w:type="dxa"/>
              <w:right w:w="75" w:type="dxa"/>
            </w:tcMar>
          </w:tcPr>
          <w:p w:rsidR="00F12E48" w:rsidRDefault="00F12E48"/>
        </w:tc>
        <w:tc>
          <w:tcPr>
            <w:tcW w:w="0" w:type="auto"/>
            <w:tcMar>
              <w:top w:w="15" w:type="dxa"/>
              <w:left w:w="75" w:type="dxa"/>
              <w:bottom w:w="15" w:type="dxa"/>
              <w:right w:w="75" w:type="dxa"/>
            </w:tcMar>
          </w:tcPr>
          <w:p w:rsidR="00F12E48" w:rsidRDefault="00F12E48">
            <w:proofErr w:type="spellStart"/>
            <w:proofErr w:type="gramStart"/>
            <w:r>
              <w:t>hure</w:t>
            </w:r>
            <w:proofErr w:type="spellEnd"/>
            <w:proofErr w:type="gramEnd"/>
          </w:p>
        </w:tc>
        <w:tc>
          <w:tcPr>
            <w:tcW w:w="0" w:type="auto"/>
            <w:tcMar>
              <w:top w:w="15" w:type="dxa"/>
              <w:left w:w="75" w:type="dxa"/>
              <w:bottom w:w="15" w:type="dxa"/>
              <w:right w:w="75" w:type="dxa"/>
            </w:tcMar>
          </w:tcPr>
          <w:p w:rsidR="00F12E48" w:rsidRDefault="00F12E48"/>
        </w:tc>
        <w:tc>
          <w:tcPr>
            <w:tcW w:w="0" w:type="auto"/>
            <w:tcMar>
              <w:top w:w="15" w:type="dxa"/>
              <w:left w:w="75" w:type="dxa"/>
              <w:bottom w:w="15" w:type="dxa"/>
              <w:right w:w="75" w:type="dxa"/>
            </w:tcMar>
          </w:tcPr>
          <w:p w:rsidR="00F12E48" w:rsidRDefault="00F12E48">
            <w:proofErr w:type="spellStart"/>
            <w:proofErr w:type="gramStart"/>
            <w:r>
              <w:t>hure</w:t>
            </w:r>
            <w:proofErr w:type="spellEnd"/>
            <w:proofErr w:type="gramEnd"/>
          </w:p>
        </w:tc>
      </w:tr>
      <w:tr w:rsidR="00F12E48">
        <w:trPr>
          <w:tblCellSpacing w:w="15" w:type="dxa"/>
        </w:trPr>
        <w:tc>
          <w:tcPr>
            <w:tcW w:w="0" w:type="auto"/>
            <w:tcMar>
              <w:top w:w="15" w:type="dxa"/>
              <w:left w:w="75" w:type="dxa"/>
              <w:bottom w:w="15" w:type="dxa"/>
              <w:right w:w="75" w:type="dxa"/>
            </w:tcMar>
          </w:tcPr>
          <w:p w:rsidR="00F12E48" w:rsidRDefault="00F12E48"/>
        </w:tc>
        <w:tc>
          <w:tcPr>
            <w:tcW w:w="0" w:type="auto"/>
            <w:tcMar>
              <w:top w:w="15" w:type="dxa"/>
              <w:left w:w="75" w:type="dxa"/>
              <w:bottom w:w="15" w:type="dxa"/>
              <w:right w:w="75" w:type="dxa"/>
            </w:tcMar>
          </w:tcPr>
          <w:p w:rsidR="00F12E48" w:rsidRDefault="00F12E48">
            <w:proofErr w:type="spellStart"/>
            <w:r>
              <w:rPr>
                <w:rStyle w:val="it1"/>
                <w:rFonts w:ascii="Junicode" w:hAnsi="Junicode"/>
              </w:rPr>
              <w:t>ȝ</w:t>
            </w:r>
            <w:r>
              <w:t>o</w:t>
            </w:r>
            <w:proofErr w:type="spellEnd"/>
          </w:p>
        </w:tc>
        <w:tc>
          <w:tcPr>
            <w:tcW w:w="0" w:type="auto"/>
            <w:tcMar>
              <w:top w:w="15" w:type="dxa"/>
              <w:left w:w="75" w:type="dxa"/>
              <w:bottom w:w="15" w:type="dxa"/>
              <w:right w:w="75" w:type="dxa"/>
            </w:tcMar>
          </w:tcPr>
          <w:p w:rsidR="00F12E48" w:rsidRDefault="00F12E48"/>
        </w:tc>
        <w:tc>
          <w:tcPr>
            <w:tcW w:w="0" w:type="auto"/>
            <w:tcMar>
              <w:top w:w="15" w:type="dxa"/>
              <w:left w:w="75" w:type="dxa"/>
              <w:bottom w:w="15" w:type="dxa"/>
              <w:right w:w="75" w:type="dxa"/>
            </w:tcMar>
          </w:tcPr>
          <w:p w:rsidR="00F12E48" w:rsidRDefault="00F12E48">
            <w:proofErr w:type="spellStart"/>
            <w:r>
              <w:rPr>
                <w:rStyle w:val="it1"/>
                <w:rFonts w:ascii="Junicode" w:hAnsi="Junicode"/>
              </w:rPr>
              <w:t>ȝ</w:t>
            </w:r>
            <w:r>
              <w:t>o</w:t>
            </w:r>
            <w:proofErr w:type="spellEnd"/>
          </w:p>
        </w:tc>
      </w:tr>
      <w:tr w:rsidR="00F12E48">
        <w:trPr>
          <w:tblCellSpacing w:w="15" w:type="dxa"/>
        </w:trPr>
        <w:tc>
          <w:tcPr>
            <w:tcW w:w="0" w:type="auto"/>
            <w:tcMar>
              <w:top w:w="15" w:type="dxa"/>
              <w:left w:w="75" w:type="dxa"/>
              <w:bottom w:w="15" w:type="dxa"/>
              <w:right w:w="75" w:type="dxa"/>
            </w:tcMar>
          </w:tcPr>
          <w:p w:rsidR="00F12E48" w:rsidRDefault="00F12E48"/>
        </w:tc>
        <w:tc>
          <w:tcPr>
            <w:tcW w:w="0" w:type="auto"/>
            <w:tcMar>
              <w:top w:w="15" w:type="dxa"/>
              <w:left w:w="75" w:type="dxa"/>
              <w:bottom w:w="15" w:type="dxa"/>
              <w:right w:w="75" w:type="dxa"/>
            </w:tcMar>
          </w:tcPr>
          <w:p w:rsidR="00F12E48" w:rsidRDefault="00F12E48">
            <w:proofErr w:type="spellStart"/>
            <w:proofErr w:type="gramStart"/>
            <w:r>
              <w:t>myche</w:t>
            </w:r>
            <w:proofErr w:type="spellEnd"/>
            <w:proofErr w:type="gramEnd"/>
          </w:p>
        </w:tc>
        <w:tc>
          <w:tcPr>
            <w:tcW w:w="0" w:type="auto"/>
            <w:tcMar>
              <w:top w:w="15" w:type="dxa"/>
              <w:left w:w="75" w:type="dxa"/>
              <w:bottom w:w="15" w:type="dxa"/>
              <w:right w:w="75" w:type="dxa"/>
            </w:tcMar>
          </w:tcPr>
          <w:p w:rsidR="00F12E48" w:rsidRDefault="00F12E48"/>
        </w:tc>
        <w:tc>
          <w:tcPr>
            <w:tcW w:w="0" w:type="auto"/>
            <w:tcMar>
              <w:top w:w="15" w:type="dxa"/>
              <w:left w:w="75" w:type="dxa"/>
              <w:bottom w:w="15" w:type="dxa"/>
              <w:right w:w="75" w:type="dxa"/>
            </w:tcMar>
          </w:tcPr>
          <w:p w:rsidR="00F12E48" w:rsidRDefault="00F12E48">
            <w:proofErr w:type="spellStart"/>
            <w:proofErr w:type="gramStart"/>
            <w:r>
              <w:t>myche</w:t>
            </w:r>
            <w:proofErr w:type="spellEnd"/>
            <w:proofErr w:type="gramEnd"/>
          </w:p>
        </w:tc>
      </w:tr>
      <w:tr w:rsidR="00F12E48">
        <w:trPr>
          <w:tblCellSpacing w:w="15" w:type="dxa"/>
        </w:trPr>
        <w:tc>
          <w:tcPr>
            <w:tcW w:w="0" w:type="auto"/>
            <w:tcMar>
              <w:top w:w="15" w:type="dxa"/>
              <w:left w:w="75" w:type="dxa"/>
              <w:bottom w:w="15" w:type="dxa"/>
              <w:right w:w="75" w:type="dxa"/>
            </w:tcMar>
          </w:tcPr>
          <w:p w:rsidR="00F12E48" w:rsidRDefault="00F12E48"/>
        </w:tc>
        <w:tc>
          <w:tcPr>
            <w:tcW w:w="0" w:type="auto"/>
            <w:tcMar>
              <w:top w:w="15" w:type="dxa"/>
              <w:left w:w="75" w:type="dxa"/>
              <w:bottom w:w="15" w:type="dxa"/>
              <w:right w:w="75" w:type="dxa"/>
            </w:tcMar>
          </w:tcPr>
          <w:p w:rsidR="00F12E48" w:rsidRDefault="00F12E48">
            <w:proofErr w:type="spellStart"/>
            <w:proofErr w:type="gramStart"/>
            <w:r>
              <w:t>silf</w:t>
            </w:r>
            <w:proofErr w:type="spellEnd"/>
            <w:proofErr w:type="gramEnd"/>
          </w:p>
        </w:tc>
        <w:tc>
          <w:tcPr>
            <w:tcW w:w="0" w:type="auto"/>
            <w:tcMar>
              <w:top w:w="15" w:type="dxa"/>
              <w:left w:w="75" w:type="dxa"/>
              <w:bottom w:w="15" w:type="dxa"/>
              <w:right w:w="75" w:type="dxa"/>
            </w:tcMar>
          </w:tcPr>
          <w:p w:rsidR="00F12E48" w:rsidRDefault="00F12E48"/>
        </w:tc>
        <w:tc>
          <w:tcPr>
            <w:tcW w:w="0" w:type="auto"/>
            <w:tcMar>
              <w:top w:w="15" w:type="dxa"/>
              <w:left w:w="75" w:type="dxa"/>
              <w:bottom w:w="15" w:type="dxa"/>
              <w:right w:w="75" w:type="dxa"/>
            </w:tcMar>
          </w:tcPr>
          <w:p w:rsidR="00F12E48" w:rsidRDefault="00F12E48">
            <w:proofErr w:type="gramStart"/>
            <w:r>
              <w:t>self</w:t>
            </w:r>
            <w:proofErr w:type="gramEnd"/>
          </w:p>
        </w:tc>
      </w:tr>
      <w:tr w:rsidR="00F12E48">
        <w:trPr>
          <w:tblCellSpacing w:w="15" w:type="dxa"/>
        </w:trPr>
        <w:tc>
          <w:tcPr>
            <w:tcW w:w="0" w:type="auto"/>
            <w:tcMar>
              <w:top w:w="15" w:type="dxa"/>
              <w:left w:w="75" w:type="dxa"/>
              <w:bottom w:w="15" w:type="dxa"/>
              <w:right w:w="75" w:type="dxa"/>
            </w:tcMar>
          </w:tcPr>
          <w:p w:rsidR="00F12E48" w:rsidRDefault="00F12E48"/>
        </w:tc>
        <w:tc>
          <w:tcPr>
            <w:tcW w:w="0" w:type="auto"/>
            <w:tcMar>
              <w:top w:w="15" w:type="dxa"/>
              <w:left w:w="75" w:type="dxa"/>
              <w:bottom w:w="15" w:type="dxa"/>
              <w:right w:w="75" w:type="dxa"/>
            </w:tcMar>
          </w:tcPr>
          <w:p w:rsidR="00F12E48" w:rsidRDefault="00F12E48">
            <w:proofErr w:type="spellStart"/>
            <w:proofErr w:type="gramStart"/>
            <w:r>
              <w:t>laste</w:t>
            </w:r>
            <w:proofErr w:type="spellEnd"/>
            <w:proofErr w:type="gramEnd"/>
          </w:p>
        </w:tc>
        <w:tc>
          <w:tcPr>
            <w:tcW w:w="0" w:type="auto"/>
            <w:tcMar>
              <w:top w:w="15" w:type="dxa"/>
              <w:left w:w="75" w:type="dxa"/>
              <w:bottom w:w="15" w:type="dxa"/>
              <w:right w:w="75" w:type="dxa"/>
            </w:tcMar>
          </w:tcPr>
          <w:p w:rsidR="00F12E48" w:rsidRDefault="00F12E48"/>
        </w:tc>
        <w:tc>
          <w:tcPr>
            <w:tcW w:w="0" w:type="auto"/>
            <w:tcMar>
              <w:top w:w="15" w:type="dxa"/>
              <w:left w:w="75" w:type="dxa"/>
              <w:bottom w:w="15" w:type="dxa"/>
              <w:right w:w="75" w:type="dxa"/>
            </w:tcMar>
          </w:tcPr>
          <w:p w:rsidR="00F12E48" w:rsidRDefault="00F12E48">
            <w:proofErr w:type="gramStart"/>
            <w:r>
              <w:t>lest</w:t>
            </w:r>
            <w:proofErr w:type="gramEnd"/>
          </w:p>
        </w:tc>
      </w:tr>
      <w:tr w:rsidR="00F12E48">
        <w:trPr>
          <w:tblCellSpacing w:w="15" w:type="dxa"/>
        </w:trPr>
        <w:tc>
          <w:tcPr>
            <w:tcW w:w="0" w:type="auto"/>
            <w:tcMar>
              <w:top w:w="15" w:type="dxa"/>
              <w:left w:w="75" w:type="dxa"/>
              <w:bottom w:w="15" w:type="dxa"/>
              <w:right w:w="75" w:type="dxa"/>
            </w:tcMar>
          </w:tcPr>
          <w:p w:rsidR="00F12E48" w:rsidRDefault="00F12E48"/>
        </w:tc>
        <w:tc>
          <w:tcPr>
            <w:tcW w:w="0" w:type="auto"/>
            <w:tcMar>
              <w:top w:w="15" w:type="dxa"/>
              <w:left w:w="75" w:type="dxa"/>
              <w:bottom w:w="15" w:type="dxa"/>
              <w:right w:w="75" w:type="dxa"/>
            </w:tcMar>
          </w:tcPr>
          <w:p w:rsidR="00F12E48" w:rsidRDefault="00F12E48">
            <w:proofErr w:type="gramStart"/>
            <w:r>
              <w:t>to</w:t>
            </w:r>
            <w:proofErr w:type="gramEnd"/>
            <w:r>
              <w:t xml:space="preserve"> </w:t>
            </w:r>
            <w:proofErr w:type="spellStart"/>
            <w:r>
              <w:t>gadres</w:t>
            </w:r>
            <w:proofErr w:type="spellEnd"/>
          </w:p>
        </w:tc>
        <w:tc>
          <w:tcPr>
            <w:tcW w:w="0" w:type="auto"/>
            <w:tcMar>
              <w:top w:w="15" w:type="dxa"/>
              <w:left w:w="75" w:type="dxa"/>
              <w:bottom w:w="15" w:type="dxa"/>
              <w:right w:w="75" w:type="dxa"/>
            </w:tcMar>
          </w:tcPr>
          <w:p w:rsidR="00F12E48" w:rsidRDefault="00F12E48"/>
        </w:tc>
        <w:tc>
          <w:tcPr>
            <w:tcW w:w="0" w:type="auto"/>
            <w:tcMar>
              <w:top w:w="15" w:type="dxa"/>
              <w:left w:w="75" w:type="dxa"/>
              <w:bottom w:w="15" w:type="dxa"/>
              <w:right w:w="75" w:type="dxa"/>
            </w:tcMar>
          </w:tcPr>
          <w:p w:rsidR="00F12E48" w:rsidRDefault="00F12E48">
            <w:proofErr w:type="gramStart"/>
            <w:r>
              <w:t>to</w:t>
            </w:r>
            <w:proofErr w:type="gramEnd"/>
            <w:r>
              <w:t xml:space="preserve"> </w:t>
            </w:r>
            <w:proofErr w:type="spellStart"/>
            <w:r>
              <w:t>gedris</w:t>
            </w:r>
            <w:proofErr w:type="spellEnd"/>
          </w:p>
        </w:tc>
      </w:tr>
    </w:tbl>
    <w:p w:rsidR="00CE2BEA" w:rsidRDefault="00F12E48" w:rsidP="00F12E48">
      <w:pPr>
        <w:pStyle w:val="p"/>
        <w:rPr>
          <w:rFonts w:ascii="Junicode" w:hAnsi="Junicode"/>
        </w:rPr>
      </w:pPr>
      <w:r>
        <w:rPr>
          <w:rFonts w:ascii="Junicode" w:hAnsi="Junicode"/>
        </w:rPr>
        <w:t xml:space="preserve">(Forms of </w:t>
      </w:r>
      <w:proofErr w:type="spellStart"/>
      <w:r>
        <w:rPr>
          <w:rStyle w:val="it1"/>
          <w:rFonts w:ascii="Junicode" w:hAnsi="Junicode"/>
        </w:rPr>
        <w:t>þuder</w:t>
      </w:r>
      <w:proofErr w:type="spellEnd"/>
      <w:r>
        <w:rPr>
          <w:rFonts w:ascii="Junicode" w:hAnsi="Junicode"/>
        </w:rPr>
        <w:t xml:space="preserve"> and </w:t>
      </w:r>
      <w:proofErr w:type="spellStart"/>
      <w:r>
        <w:rPr>
          <w:rStyle w:val="it1"/>
          <w:rFonts w:ascii="Junicode" w:hAnsi="Junicode"/>
        </w:rPr>
        <w:t>forȝutte</w:t>
      </w:r>
      <w:proofErr w:type="spellEnd"/>
      <w:r>
        <w:rPr>
          <w:rFonts w:ascii="Junicode" w:hAnsi="Junicode"/>
        </w:rPr>
        <w:t xml:space="preserve"> do not appear in </w:t>
      </w:r>
      <w:r>
        <w:rPr>
          <w:rStyle w:val="it1"/>
          <w:rFonts w:ascii="Junicode" w:hAnsi="Junicode"/>
        </w:rPr>
        <w:t>SJ</w:t>
      </w:r>
      <w:r>
        <w:rPr>
          <w:rFonts w:ascii="Junicode" w:hAnsi="Junicode"/>
        </w:rPr>
        <w:t xml:space="preserve">.) A fuller comparison of the forms found in the </w:t>
      </w:r>
      <w:r>
        <w:rPr>
          <w:rStyle w:val="it1"/>
          <w:rFonts w:ascii="Junicode" w:hAnsi="Junicode"/>
        </w:rPr>
        <w:t>Siege</w:t>
      </w:r>
      <w:r>
        <w:rPr>
          <w:rFonts w:ascii="Junicode" w:hAnsi="Junicode"/>
        </w:rPr>
        <w:t xml:space="preserve"> with those in </w:t>
      </w:r>
      <w:r>
        <w:rPr>
          <w:rStyle w:val="it1"/>
          <w:rFonts w:ascii="Junicode" w:hAnsi="Junicode"/>
        </w:rPr>
        <w:t>Piers Plowman</w:t>
      </w:r>
      <w:r>
        <w:rPr>
          <w:rFonts w:ascii="Junicode" w:hAnsi="Junicode"/>
        </w:rPr>
        <w:t xml:space="preserve"> may illuminate the debate of whether more than one scribe worked on this manuscript, although some differences may of course be attributable to the exemplars.</w:t>
      </w:r>
    </w:p>
    <w:p w:rsidR="00CE2BEA" w:rsidRDefault="00CE2BEA" w:rsidP="00CE2BEA">
      <w:r>
        <w:rPr>
          <w:rFonts w:ascii="Junicode" w:hAnsi="Junicode"/>
          <w:b/>
        </w:rPr>
        <w:t>Decoration:</w:t>
      </w:r>
      <w:r>
        <w:rPr>
          <w:rFonts w:ascii="Junicode" w:hAnsi="Junicode"/>
        </w:rPr>
        <w:t xml:space="preserve"> There are few decorative features in the manuscript. </w:t>
      </w:r>
      <w:r>
        <w:rPr>
          <w:i/>
        </w:rPr>
        <w:t>Siege of Jerusalem</w:t>
      </w:r>
      <w:r>
        <w:t xml:space="preserve"> has rubricated initials 3-5 lines in height at </w:t>
      </w:r>
      <w:proofErr w:type="spellStart"/>
      <w:r>
        <w:t>fols</w:t>
      </w:r>
      <w:proofErr w:type="spellEnd"/>
      <w:r>
        <w:t xml:space="preserve">. </w:t>
      </w:r>
      <w:proofErr w:type="gramStart"/>
      <w:r>
        <w:t>1v, 7v, 13v, and 16r.</w:t>
      </w:r>
      <w:proofErr w:type="gramEnd"/>
      <w:r>
        <w:t xml:space="preserve"> </w:t>
      </w:r>
      <w:r>
        <w:rPr>
          <w:i/>
        </w:rPr>
        <w:t>Piers</w:t>
      </w:r>
      <w:r>
        <w:t xml:space="preserve"> has spaces and </w:t>
      </w:r>
      <w:proofErr w:type="spellStart"/>
      <w:r>
        <w:t>guideletters</w:t>
      </w:r>
      <w:proofErr w:type="spellEnd"/>
      <w:r>
        <w:t xml:space="preserve"> for rubricated initials, e.g.</w:t>
      </w:r>
      <w:r w:rsidR="00B84F3D">
        <w:t>,</w:t>
      </w:r>
      <w:r>
        <w:t xml:space="preserve"> 19v, 25r, but these have not been realized; the same is true in Booklet II, e.g.</w:t>
      </w:r>
      <w:r w:rsidR="00B84F3D">
        <w:t>,</w:t>
      </w:r>
      <w:r>
        <w:t xml:space="preserve"> fol. 119v.</w:t>
      </w:r>
    </w:p>
    <w:p w:rsidR="00CE2BEA" w:rsidRDefault="00CE2BEA" w:rsidP="00CE2BEA"/>
    <w:p w:rsidR="006C3EE9" w:rsidRPr="008E5477" w:rsidRDefault="00093F5F" w:rsidP="006C3EE9">
      <w:r>
        <w:rPr>
          <w:b/>
        </w:rPr>
        <w:t xml:space="preserve">Binding: </w:t>
      </w:r>
      <w:r>
        <w:t>15</w:t>
      </w:r>
      <w:r w:rsidRPr="000B7553">
        <w:rPr>
          <w:vertAlign w:val="superscript"/>
        </w:rPr>
        <w:t>th</w:t>
      </w:r>
      <w:r>
        <w:t xml:space="preserve"> c., English. Binding is 215</w:t>
      </w:r>
      <w:r w:rsidR="006F22E1">
        <w:t xml:space="preserve"> </w:t>
      </w:r>
      <w:r>
        <w:t xml:space="preserve">mm in height and 170 mm in width as measured center of spine to the fore edge. Bound in reddish brown calfskin, </w:t>
      </w:r>
      <w:proofErr w:type="spellStart"/>
      <w:r>
        <w:t>rebacked</w:t>
      </w:r>
      <w:proofErr w:type="spellEnd"/>
      <w:r>
        <w:t xml:space="preserve"> but otherwise original. Wooden </w:t>
      </w:r>
      <w:proofErr w:type="gramStart"/>
      <w:r>
        <w:t>boards,</w:t>
      </w:r>
      <w:proofErr w:type="gramEnd"/>
      <w:r>
        <w:t xml:space="preserve"> sloped at edges. Four raised bands </w:t>
      </w:r>
      <w:r w:rsidR="00B84F3D">
        <w:t xml:space="preserve">as bound, </w:t>
      </w:r>
      <w:proofErr w:type="spellStart"/>
      <w:r w:rsidR="00B84F3D">
        <w:t>rebacked</w:t>
      </w:r>
      <w:proofErr w:type="spellEnd"/>
      <w:r w:rsidR="00B84F3D">
        <w:t xml:space="preserve"> spine utilizing</w:t>
      </w:r>
      <w:r>
        <w:t xml:space="preserve"> original bands. Additionally, two slightly raised sewing structures, one at top and the other at bottom of spin</w:t>
      </w:r>
      <w:r w:rsidR="00715859">
        <w:t>e, detectable. Flat spine. Turn-</w:t>
      </w:r>
      <w:r>
        <w:t xml:space="preserve">ins </w:t>
      </w:r>
      <w:r w:rsidR="009477C1">
        <w:t xml:space="preserve">at </w:t>
      </w:r>
      <w:r>
        <w:t xml:space="preserve">front and back </w:t>
      </w:r>
      <w:r w:rsidR="009477C1">
        <w:t xml:space="preserve">are </w:t>
      </w:r>
      <w:r>
        <w:t xml:space="preserve">raggedly cut, glued to boards with no endpaper or other coverings. Grooves with recessed leather thongs visible in both boards. </w:t>
      </w:r>
      <w:r w:rsidR="005831BD">
        <w:t xml:space="preserve">The binding is not decorated. </w:t>
      </w:r>
      <w:r>
        <w:t xml:space="preserve">Remnants of a strap and clasp, including bits of </w:t>
      </w:r>
      <w:r w:rsidR="009477C1">
        <w:t>metal, present on front cover. The s</w:t>
      </w:r>
      <w:r>
        <w:t xml:space="preserve">trap apparently hooked to </w:t>
      </w:r>
      <w:r w:rsidR="009477C1">
        <w:t xml:space="preserve">a </w:t>
      </w:r>
      <w:r>
        <w:t>metal piece at center of back cover, where there is now a hole and correspond</w:t>
      </w:r>
      <w:r w:rsidR="005831BD">
        <w:t>ing di</w:t>
      </w:r>
      <w:r w:rsidR="006C3EE9">
        <w:t>s</w:t>
      </w:r>
      <w:r w:rsidR="005831BD">
        <w:t>coloration in the leather.</w:t>
      </w:r>
      <w:r w:rsidR="006C3EE9">
        <w:t xml:space="preserve"> </w:t>
      </w:r>
      <w:proofErr w:type="gramStart"/>
      <w:r w:rsidR="006C3EE9">
        <w:t>Single vellum flyleaf in front only.</w:t>
      </w:r>
      <w:proofErr w:type="gramEnd"/>
    </w:p>
    <w:p w:rsidR="00093F5F" w:rsidRDefault="00093F5F" w:rsidP="00093F5F"/>
    <w:p w:rsidR="00F04455" w:rsidRDefault="00F04455" w:rsidP="00093F5F">
      <w:r>
        <w:t>The binding and boards bear several ownership labels:</w:t>
      </w:r>
    </w:p>
    <w:p w:rsidR="00F04455" w:rsidRDefault="00F04455" w:rsidP="00093F5F"/>
    <w:p w:rsidR="00F04455" w:rsidRDefault="00F04455" w:rsidP="00093F5F">
      <w:r>
        <w:t>A s</w:t>
      </w:r>
      <w:r w:rsidR="00093F5F">
        <w:t xml:space="preserve">mall yellow paper label </w:t>
      </w:r>
      <w:r>
        <w:t xml:space="preserve">is </w:t>
      </w:r>
      <w:r w:rsidR="00093F5F">
        <w:t xml:space="preserve">attached to </w:t>
      </w:r>
      <w:r>
        <w:t xml:space="preserve">the </w:t>
      </w:r>
      <w:r w:rsidR="00093F5F">
        <w:t xml:space="preserve">spine, </w:t>
      </w:r>
      <w:r w:rsidR="00EF4C7E">
        <w:t xml:space="preserve">on which is written </w:t>
      </w:r>
      <w:r w:rsidR="00093F5F">
        <w:t xml:space="preserve">“MS Laud / Misc. 656” </w:t>
      </w:r>
      <w:r w:rsidR="00EF4C7E">
        <w:t>in modern handwriting.</w:t>
      </w:r>
    </w:p>
    <w:p w:rsidR="00F04455" w:rsidRDefault="00F04455" w:rsidP="00093F5F"/>
    <w:p w:rsidR="00F04455" w:rsidRDefault="00093F5F" w:rsidP="00093F5F">
      <w:r>
        <w:t>Paper label, inside front cover, top left</w:t>
      </w:r>
      <w:r w:rsidR="00D44006">
        <w:t>:</w:t>
      </w:r>
      <w:r>
        <w:t xml:space="preserve"> “ S.C. 1059” (a reference to the Bodleian’s </w:t>
      </w:r>
      <w:r w:rsidRPr="000B7553">
        <w:rPr>
          <w:i/>
        </w:rPr>
        <w:t>Summary Catalogue</w:t>
      </w:r>
      <w:r>
        <w:t xml:space="preserve"> entry. </w:t>
      </w:r>
    </w:p>
    <w:p w:rsidR="00F04455" w:rsidRDefault="00F04455" w:rsidP="00093F5F"/>
    <w:p w:rsidR="00E4049B" w:rsidRDefault="00093F5F" w:rsidP="00093F5F">
      <w:r>
        <w:t>Written in ink on binding turn-in, inside front cover: “F. 22” and “Laud / 656”</w:t>
      </w:r>
      <w:r w:rsidR="00F04455">
        <w:t>.</w:t>
      </w:r>
      <w:r>
        <w:t xml:space="preserve"> Added to the right of “Laud” in pencil at a later date: “MISC”</w:t>
      </w:r>
      <w:r w:rsidR="00F04455">
        <w:t xml:space="preserve">. According to the </w:t>
      </w:r>
      <w:r w:rsidR="00F04455">
        <w:rPr>
          <w:i/>
        </w:rPr>
        <w:t>Summary Catalogue</w:t>
      </w:r>
      <w:r w:rsidR="00F04455">
        <w:t>,</w:t>
      </w:r>
      <w:r w:rsidR="00E4049B">
        <w:t xml:space="preserve"> </w:t>
      </w:r>
      <w:r>
        <w:t xml:space="preserve">F. 22 refers to the old </w:t>
      </w:r>
      <w:proofErr w:type="spellStart"/>
      <w:r>
        <w:t>shelfmark</w:t>
      </w:r>
      <w:proofErr w:type="spellEnd"/>
      <w:r>
        <w:t xml:space="preserve">: “In 1641, the </w:t>
      </w:r>
      <w:proofErr w:type="spellStart"/>
      <w:r>
        <w:t>Laudian</w:t>
      </w:r>
      <w:proofErr w:type="spellEnd"/>
      <w:r>
        <w:t xml:space="preserve"> MSS. were arranged in eleven compartments, lettered A-L, occupying the whole of the </w:t>
      </w:r>
      <w:r w:rsidR="00F04455">
        <w:t xml:space="preserve">S.W.  </w:t>
      </w:r>
      <w:proofErr w:type="gramStart"/>
      <w:r w:rsidR="00F04455">
        <w:t>gallery</w:t>
      </w:r>
      <w:proofErr w:type="gramEnd"/>
      <w:r w:rsidR="00F04455">
        <w:t xml:space="preserve"> at the Selden End</w:t>
      </w:r>
      <w:r>
        <w:t>” (14)</w:t>
      </w:r>
      <w:r w:rsidR="00F04455">
        <w:t>.</w:t>
      </w:r>
    </w:p>
    <w:p w:rsidR="00E4049B" w:rsidRDefault="00E4049B" w:rsidP="00093F5F"/>
    <w:p w:rsidR="00FF7048" w:rsidRDefault="00E4049B" w:rsidP="00377070">
      <w:r>
        <w:rPr>
          <w:b/>
        </w:rPr>
        <w:t>Contents:</w:t>
      </w:r>
      <w:r>
        <w:t xml:space="preserve"> </w:t>
      </w:r>
    </w:p>
    <w:p w:rsidR="00377070" w:rsidRDefault="00377070" w:rsidP="00377070">
      <w:r>
        <w:t>Booklet I:</w:t>
      </w:r>
    </w:p>
    <w:p w:rsidR="00377070" w:rsidRDefault="00263FFB" w:rsidP="00377070">
      <w:pPr>
        <w:rPr>
          <w:i/>
        </w:rPr>
      </w:pPr>
      <w:r>
        <w:t xml:space="preserve">Fol. 1v- 19r </w:t>
      </w:r>
      <w:r w:rsidR="00377070">
        <w:rPr>
          <w:i/>
        </w:rPr>
        <w:t>The Siege of Jerusalem</w:t>
      </w:r>
    </w:p>
    <w:p w:rsidR="00377070" w:rsidRPr="00282748" w:rsidRDefault="00377070" w:rsidP="00377070">
      <w:pPr>
        <w:rPr>
          <w:i/>
        </w:rPr>
      </w:pPr>
      <w:r>
        <w:t xml:space="preserve">Fol. 19v-114r </w:t>
      </w:r>
      <w:r>
        <w:rPr>
          <w:i/>
        </w:rPr>
        <w:t>Piers Plowman</w:t>
      </w:r>
    </w:p>
    <w:p w:rsidR="00FF7048" w:rsidRDefault="00377070" w:rsidP="00377070">
      <w:r>
        <w:t>(</w:t>
      </w:r>
      <w:proofErr w:type="spellStart"/>
      <w:r>
        <w:t>Fols</w:t>
      </w:r>
      <w:proofErr w:type="spellEnd"/>
      <w:r>
        <w:t>. 114v-116</w:t>
      </w:r>
      <w:r w:rsidR="00901615">
        <w:t>v</w:t>
      </w:r>
      <w:r>
        <w:t xml:space="preserve"> mostly blank)</w:t>
      </w:r>
    </w:p>
    <w:p w:rsidR="00377070" w:rsidRDefault="00377070" w:rsidP="00377070"/>
    <w:p w:rsidR="00377070" w:rsidRDefault="00377070" w:rsidP="00377070">
      <w:r>
        <w:t>Booklet II:</w:t>
      </w:r>
    </w:p>
    <w:p w:rsidR="00377070" w:rsidRDefault="00377070" w:rsidP="00377070">
      <w:r>
        <w:t>Fol. 117r-118r – exposition of the Creed concerning Genesis 15</w:t>
      </w:r>
    </w:p>
    <w:p w:rsidR="00377070" w:rsidRDefault="00377070" w:rsidP="00377070">
      <w:r>
        <w:t>Fol. 118r-124v – exposition of the Decalogue</w:t>
      </w:r>
    </w:p>
    <w:p w:rsidR="00FF7048" w:rsidRDefault="00377070" w:rsidP="00377070">
      <w:r>
        <w:t>Fol. 124v-125v – Biblical excerpts</w:t>
      </w:r>
    </w:p>
    <w:p w:rsidR="00FF7048" w:rsidRDefault="00FF7048" w:rsidP="00377070"/>
    <w:p w:rsidR="00FF7048" w:rsidRPr="008E5477" w:rsidRDefault="00FF7048" w:rsidP="00FF7048">
      <w:r>
        <w:rPr>
          <w:b/>
        </w:rPr>
        <w:t xml:space="preserve">Provenance: </w:t>
      </w:r>
      <w:r>
        <w:t>Contains signature o</w:t>
      </w:r>
      <w:r w:rsidR="0065460B">
        <w:t xml:space="preserve">f John </w:t>
      </w:r>
      <w:proofErr w:type="spellStart"/>
      <w:r w:rsidR="0065460B">
        <w:t>Cempe</w:t>
      </w:r>
      <w:proofErr w:type="spellEnd"/>
      <w:r w:rsidR="0065460B">
        <w:t xml:space="preserve"> of Ticehurst, on fol. 126v, which Hanna-Lawton date to the end of the 15</w:t>
      </w:r>
      <w:r w:rsidR="0065460B" w:rsidRPr="0065460B">
        <w:rPr>
          <w:vertAlign w:val="superscript"/>
        </w:rPr>
        <w:t>th</w:t>
      </w:r>
      <w:r w:rsidR="0065460B">
        <w:t xml:space="preserve"> century. </w:t>
      </w:r>
      <w:proofErr w:type="gramStart"/>
      <w:r>
        <w:t xml:space="preserve">On fol. 131v, the signature “John </w:t>
      </w:r>
      <w:proofErr w:type="spellStart"/>
      <w:r>
        <w:t>naseby</w:t>
      </w:r>
      <w:proofErr w:type="spellEnd"/>
      <w:r>
        <w:t xml:space="preserve"> </w:t>
      </w:r>
      <w:proofErr w:type="spellStart"/>
      <w:r>
        <w:t>hemyngford</w:t>
      </w:r>
      <w:proofErr w:type="spellEnd"/>
      <w:r>
        <w:t>”.</w:t>
      </w:r>
      <w:proofErr w:type="gramEnd"/>
      <w:r>
        <w:t xml:space="preserve"> Fol. 2r contains the </w:t>
      </w:r>
      <w:r>
        <w:rPr>
          <w:i/>
        </w:rPr>
        <w:t xml:space="preserve">ex </w:t>
      </w:r>
      <w:proofErr w:type="spellStart"/>
      <w:r>
        <w:rPr>
          <w:i/>
        </w:rPr>
        <w:t>libris</w:t>
      </w:r>
      <w:proofErr w:type="spellEnd"/>
      <w:r>
        <w:t xml:space="preserve"> of William Laud: “Liber </w:t>
      </w:r>
      <w:proofErr w:type="spellStart"/>
      <w:r>
        <w:t>Guilielmi</w:t>
      </w:r>
      <w:proofErr w:type="spellEnd"/>
      <w:r>
        <w:t xml:space="preserve"> Laud </w:t>
      </w:r>
      <w:proofErr w:type="spellStart"/>
      <w:proofErr w:type="gramStart"/>
      <w:r>
        <w:t>Archi</w:t>
      </w:r>
      <w:r w:rsidR="0065460B">
        <w:t>e</w:t>
      </w:r>
      <w:r>
        <w:t>p</w:t>
      </w:r>
      <w:proofErr w:type="spellEnd"/>
      <w:r>
        <w:t>[</w:t>
      </w:r>
      <w:proofErr w:type="spellStart"/>
      <w:proofErr w:type="gramEnd"/>
      <w:r>
        <w:t>iscop</w:t>
      </w:r>
      <w:proofErr w:type="spellEnd"/>
      <w:r>
        <w:t>]</w:t>
      </w:r>
      <w:proofErr w:type="spellStart"/>
      <w:r w:rsidR="0065460B">
        <w:t>i</w:t>
      </w:r>
      <w:proofErr w:type="spellEnd"/>
      <w:r w:rsidR="0065460B">
        <w:t xml:space="preserve"> </w:t>
      </w:r>
      <w:proofErr w:type="spellStart"/>
      <w:r w:rsidR="0065460B">
        <w:t>Cantuar</w:t>
      </w:r>
      <w:proofErr w:type="spellEnd"/>
      <w:r w:rsidR="0065460B">
        <w:t xml:space="preserve">[um] : / et </w:t>
      </w:r>
      <w:proofErr w:type="spellStart"/>
      <w:r w:rsidR="0065460B">
        <w:t>Cancellarij</w:t>
      </w:r>
      <w:proofErr w:type="spellEnd"/>
      <w:r>
        <w:t xml:space="preserve"> </w:t>
      </w:r>
      <w:proofErr w:type="spellStart"/>
      <w:r>
        <w:t>Vniuersitatis</w:t>
      </w:r>
      <w:proofErr w:type="spellEnd"/>
      <w:r>
        <w:t xml:space="preserve"> Oxon[</w:t>
      </w:r>
      <w:proofErr w:type="spellStart"/>
      <w:r>
        <w:t>i</w:t>
      </w:r>
      <w:r w:rsidR="0065460B">
        <w:t>ensi</w:t>
      </w:r>
      <w:r>
        <w:t>s</w:t>
      </w:r>
      <w:proofErr w:type="spellEnd"/>
      <w:r>
        <w:t xml:space="preserve">] . / </w:t>
      </w:r>
      <w:proofErr w:type="gramStart"/>
      <w:r>
        <w:t>1633 .”</w:t>
      </w:r>
      <w:proofErr w:type="gramEnd"/>
      <w:r>
        <w:t xml:space="preserve"> </w:t>
      </w:r>
    </w:p>
    <w:p w:rsidR="00FF7048" w:rsidRDefault="00FF7048" w:rsidP="00377070">
      <w:pPr>
        <w:rPr>
          <w:b/>
        </w:rPr>
      </w:pPr>
    </w:p>
    <w:p w:rsidR="00FF7048" w:rsidRDefault="00FF7048" w:rsidP="00377070">
      <w:pPr>
        <w:rPr>
          <w:b/>
        </w:rPr>
      </w:pPr>
    </w:p>
    <w:p w:rsidR="00FF7048" w:rsidRPr="00FF7048" w:rsidRDefault="00FF7048" w:rsidP="00377070">
      <w:pPr>
        <w:rPr>
          <w:b/>
        </w:rPr>
      </w:pPr>
      <w:r>
        <w:rPr>
          <w:b/>
        </w:rPr>
        <w:t xml:space="preserve">Bibliography: </w:t>
      </w:r>
    </w:p>
    <w:p w:rsidR="00FF7048" w:rsidRDefault="00FF7048" w:rsidP="00FF7048">
      <w:pPr>
        <w:pStyle w:val="bibl"/>
        <w:rPr>
          <w:rFonts w:ascii="Junicode" w:hAnsi="Junicode"/>
        </w:rPr>
      </w:pPr>
      <w:proofErr w:type="spellStart"/>
      <w:proofErr w:type="gramStart"/>
      <w:r>
        <w:rPr>
          <w:rFonts w:ascii="Junicode" w:hAnsi="Junicode"/>
        </w:rPr>
        <w:t>Coxe</w:t>
      </w:r>
      <w:proofErr w:type="spellEnd"/>
      <w:r>
        <w:rPr>
          <w:rFonts w:ascii="Junicode" w:hAnsi="Junicode"/>
        </w:rPr>
        <w:t xml:space="preserve">, Henry O. </w:t>
      </w:r>
      <w:proofErr w:type="spellStart"/>
      <w:r>
        <w:rPr>
          <w:rStyle w:val="title1"/>
          <w:rFonts w:ascii="Junicode" w:hAnsi="Junicode"/>
        </w:rPr>
        <w:t>Catalogus</w:t>
      </w:r>
      <w:proofErr w:type="spellEnd"/>
      <w:r>
        <w:rPr>
          <w:rStyle w:val="title1"/>
          <w:rFonts w:ascii="Junicode" w:hAnsi="Junicode"/>
        </w:rPr>
        <w:t xml:space="preserve"> </w:t>
      </w:r>
      <w:proofErr w:type="spellStart"/>
      <w:r>
        <w:rPr>
          <w:rStyle w:val="title1"/>
          <w:rFonts w:ascii="Junicode" w:hAnsi="Junicode"/>
        </w:rPr>
        <w:t>codicum</w:t>
      </w:r>
      <w:proofErr w:type="spellEnd"/>
      <w:r>
        <w:rPr>
          <w:rStyle w:val="title1"/>
          <w:rFonts w:ascii="Junicode" w:hAnsi="Junicode"/>
        </w:rPr>
        <w:t xml:space="preserve"> </w:t>
      </w:r>
      <w:proofErr w:type="spellStart"/>
      <w:r>
        <w:rPr>
          <w:rStyle w:val="title1"/>
          <w:rFonts w:ascii="Junicode" w:hAnsi="Junicode"/>
        </w:rPr>
        <w:t>mss.</w:t>
      </w:r>
      <w:proofErr w:type="spellEnd"/>
      <w:proofErr w:type="gramEnd"/>
      <w:r>
        <w:rPr>
          <w:rStyle w:val="title1"/>
          <w:rFonts w:ascii="Junicode" w:hAnsi="Junicode"/>
        </w:rPr>
        <w:t xml:space="preserve"> </w:t>
      </w:r>
      <w:proofErr w:type="gramStart"/>
      <w:r>
        <w:rPr>
          <w:rStyle w:val="title1"/>
          <w:rFonts w:ascii="Junicode" w:hAnsi="Junicode"/>
        </w:rPr>
        <w:t>qui</w:t>
      </w:r>
      <w:proofErr w:type="gramEnd"/>
      <w:r>
        <w:rPr>
          <w:rStyle w:val="title1"/>
          <w:rFonts w:ascii="Junicode" w:hAnsi="Junicode"/>
        </w:rPr>
        <w:t xml:space="preserve"> in </w:t>
      </w:r>
      <w:proofErr w:type="spellStart"/>
      <w:r>
        <w:rPr>
          <w:rStyle w:val="title1"/>
          <w:rFonts w:ascii="Junicode" w:hAnsi="Junicode"/>
        </w:rPr>
        <w:t>collegiis</w:t>
      </w:r>
      <w:proofErr w:type="spellEnd"/>
      <w:r>
        <w:rPr>
          <w:rStyle w:val="title1"/>
          <w:rFonts w:ascii="Junicode" w:hAnsi="Junicode"/>
        </w:rPr>
        <w:t xml:space="preserve"> </w:t>
      </w:r>
      <w:proofErr w:type="spellStart"/>
      <w:r>
        <w:rPr>
          <w:rStyle w:val="title1"/>
          <w:rFonts w:ascii="Junicode" w:hAnsi="Junicode"/>
        </w:rPr>
        <w:t>aulisque</w:t>
      </w:r>
      <w:proofErr w:type="spellEnd"/>
      <w:r>
        <w:rPr>
          <w:rStyle w:val="title1"/>
          <w:rFonts w:ascii="Junicode" w:hAnsi="Junicode"/>
        </w:rPr>
        <w:t xml:space="preserve"> </w:t>
      </w:r>
      <w:proofErr w:type="spellStart"/>
      <w:r>
        <w:rPr>
          <w:rStyle w:val="title1"/>
          <w:rFonts w:ascii="Junicode" w:hAnsi="Junicode"/>
        </w:rPr>
        <w:t>oxoniensibus</w:t>
      </w:r>
      <w:proofErr w:type="spellEnd"/>
      <w:r>
        <w:rPr>
          <w:rStyle w:val="title1"/>
          <w:rFonts w:ascii="Junicode" w:hAnsi="Junicode"/>
        </w:rPr>
        <w:t xml:space="preserve"> </w:t>
      </w:r>
      <w:proofErr w:type="spellStart"/>
      <w:r>
        <w:rPr>
          <w:rStyle w:val="title1"/>
          <w:rFonts w:ascii="Junicode" w:hAnsi="Junicode"/>
        </w:rPr>
        <w:t>hodie</w:t>
      </w:r>
      <w:proofErr w:type="spellEnd"/>
      <w:r>
        <w:rPr>
          <w:rStyle w:val="title1"/>
          <w:rFonts w:ascii="Junicode" w:hAnsi="Junicode"/>
        </w:rPr>
        <w:t xml:space="preserve"> </w:t>
      </w:r>
      <w:proofErr w:type="spellStart"/>
      <w:r>
        <w:rPr>
          <w:rStyle w:val="title1"/>
          <w:rFonts w:ascii="Junicode" w:hAnsi="Junicode"/>
        </w:rPr>
        <w:t>adservantur</w:t>
      </w:r>
      <w:proofErr w:type="spellEnd"/>
      <w:r>
        <w:rPr>
          <w:rFonts w:ascii="Junicode" w:hAnsi="Junicode"/>
        </w:rPr>
        <w:t xml:space="preserve">. </w:t>
      </w:r>
      <w:proofErr w:type="spellStart"/>
      <w:proofErr w:type="gramStart"/>
      <w:r>
        <w:rPr>
          <w:rFonts w:ascii="Junicode" w:hAnsi="Junicode"/>
        </w:rPr>
        <w:t>Oxonii</w:t>
      </w:r>
      <w:proofErr w:type="spellEnd"/>
      <w:r>
        <w:rPr>
          <w:rFonts w:ascii="Junicode" w:hAnsi="Junicode"/>
        </w:rPr>
        <w:t xml:space="preserve">, e </w:t>
      </w:r>
      <w:proofErr w:type="spellStart"/>
      <w:r>
        <w:rPr>
          <w:rFonts w:ascii="Junicode" w:hAnsi="Junicode"/>
        </w:rPr>
        <w:t>Typographeo</w:t>
      </w:r>
      <w:proofErr w:type="spellEnd"/>
      <w:r>
        <w:rPr>
          <w:rFonts w:ascii="Junicode" w:hAnsi="Junicode"/>
        </w:rPr>
        <w:t xml:space="preserve"> </w:t>
      </w:r>
      <w:proofErr w:type="spellStart"/>
      <w:r>
        <w:rPr>
          <w:rFonts w:ascii="Junicode" w:hAnsi="Junicode"/>
        </w:rPr>
        <w:t>academico</w:t>
      </w:r>
      <w:proofErr w:type="spellEnd"/>
      <w:r>
        <w:rPr>
          <w:rFonts w:ascii="Junicode" w:hAnsi="Junicode"/>
        </w:rPr>
        <w:t>, 1852.</w:t>
      </w:r>
      <w:proofErr w:type="gramEnd"/>
    </w:p>
    <w:p w:rsidR="00FF7048" w:rsidRDefault="00FF7048" w:rsidP="00FF7048">
      <w:pPr>
        <w:pStyle w:val="bibl"/>
        <w:rPr>
          <w:rFonts w:ascii="Junicode" w:hAnsi="Junicode"/>
        </w:rPr>
      </w:pPr>
      <w:r>
        <w:rPr>
          <w:rFonts w:ascii="Junicode" w:hAnsi="Junicode"/>
        </w:rPr>
        <w:t xml:space="preserve">Doyle, A. I. "The Manuscripts." In </w:t>
      </w:r>
      <w:r>
        <w:rPr>
          <w:rStyle w:val="title1"/>
          <w:rFonts w:ascii="Junicode" w:hAnsi="Junicode"/>
        </w:rPr>
        <w:t>Middle English Alliterative Poetry and its Literary Background: Seven Essays</w:t>
      </w:r>
      <w:r>
        <w:rPr>
          <w:rFonts w:ascii="Junicode" w:hAnsi="Junicode"/>
        </w:rPr>
        <w:t xml:space="preserve">. Ed. David Lawton. Woodbridge, UK: D. S. Brewer, 1982. </w:t>
      </w:r>
      <w:proofErr w:type="gramStart"/>
      <w:r>
        <w:rPr>
          <w:rFonts w:ascii="Junicode" w:hAnsi="Junicode"/>
        </w:rPr>
        <w:t>88-100 (93).</w:t>
      </w:r>
      <w:proofErr w:type="gramEnd"/>
    </w:p>
    <w:p w:rsidR="00FF7048" w:rsidRDefault="00FF7048" w:rsidP="00FF7048">
      <w:pPr>
        <w:pStyle w:val="bibl"/>
        <w:rPr>
          <w:rFonts w:ascii="Junicode" w:hAnsi="Junicode"/>
        </w:rPr>
      </w:pPr>
      <w:proofErr w:type="spellStart"/>
      <w:proofErr w:type="gramStart"/>
      <w:r>
        <w:rPr>
          <w:rFonts w:ascii="Junicode" w:hAnsi="Junicode"/>
        </w:rPr>
        <w:t>Guddat-Figge</w:t>
      </w:r>
      <w:proofErr w:type="spellEnd"/>
      <w:r>
        <w:rPr>
          <w:rFonts w:ascii="Junicode" w:hAnsi="Junicode"/>
        </w:rPr>
        <w:t>, Gisela.</w:t>
      </w:r>
      <w:proofErr w:type="gramEnd"/>
      <w:r>
        <w:rPr>
          <w:rFonts w:ascii="Junicode" w:hAnsi="Junicode"/>
        </w:rPr>
        <w:t xml:space="preserve"> </w:t>
      </w:r>
      <w:proofErr w:type="gramStart"/>
      <w:r>
        <w:rPr>
          <w:rStyle w:val="title1"/>
          <w:rFonts w:ascii="Junicode" w:hAnsi="Junicode"/>
        </w:rPr>
        <w:t>Catalogue of the Manuscripts Containing Middle English Romances</w:t>
      </w:r>
      <w:r>
        <w:rPr>
          <w:rFonts w:ascii="Junicode" w:hAnsi="Junicode"/>
        </w:rPr>
        <w:t>.</w:t>
      </w:r>
      <w:proofErr w:type="gramEnd"/>
      <w:r>
        <w:rPr>
          <w:rFonts w:ascii="Junicode" w:hAnsi="Junicode"/>
        </w:rPr>
        <w:t xml:space="preserve"> Munich: W. Fink, 1976. 287-88.</w:t>
      </w:r>
    </w:p>
    <w:p w:rsidR="00FF7048" w:rsidRDefault="00FF7048" w:rsidP="00FF7048">
      <w:pPr>
        <w:pStyle w:val="bibl"/>
        <w:rPr>
          <w:rFonts w:ascii="Junicode" w:hAnsi="Junicode"/>
        </w:rPr>
      </w:pPr>
      <w:r>
        <w:rPr>
          <w:rFonts w:ascii="Junicode" w:hAnsi="Junicode"/>
        </w:rPr>
        <w:t xml:space="preserve">Hanna, Ralph. "The Origins and Productions of Westminster School MS 3." </w:t>
      </w:r>
      <w:proofErr w:type="gramStart"/>
      <w:r>
        <w:rPr>
          <w:rStyle w:val="title1"/>
          <w:rFonts w:ascii="Junicode" w:hAnsi="Junicode"/>
        </w:rPr>
        <w:t>Studies in Bibliography</w:t>
      </w:r>
      <w:r>
        <w:rPr>
          <w:rFonts w:ascii="Junicode" w:hAnsi="Junicode"/>
        </w:rPr>
        <w:t>.</w:t>
      </w:r>
      <w:proofErr w:type="gramEnd"/>
      <w:r>
        <w:rPr>
          <w:rFonts w:ascii="Junicode" w:hAnsi="Junicode"/>
        </w:rPr>
        <w:t xml:space="preserve"> </w:t>
      </w:r>
      <w:proofErr w:type="gramStart"/>
      <w:r>
        <w:rPr>
          <w:rFonts w:ascii="Junicode" w:hAnsi="Junicode"/>
        </w:rPr>
        <w:t>41 (1988), 197-218 (211).</w:t>
      </w:r>
      <w:proofErr w:type="gramEnd"/>
    </w:p>
    <w:p w:rsidR="00FF7048" w:rsidRDefault="00FF7048" w:rsidP="00FF7048">
      <w:pPr>
        <w:pStyle w:val="bibl"/>
        <w:rPr>
          <w:rFonts w:ascii="Junicode" w:hAnsi="Junicode"/>
        </w:rPr>
      </w:pPr>
      <w:r>
        <w:rPr>
          <w:rFonts w:ascii="Junicode" w:hAnsi="Junicode"/>
        </w:rPr>
        <w:t xml:space="preserve">Hanna, Ralph and David Lawton, </w:t>
      </w:r>
      <w:proofErr w:type="gramStart"/>
      <w:r>
        <w:rPr>
          <w:rFonts w:ascii="Junicode" w:hAnsi="Junicode"/>
        </w:rPr>
        <w:t>eds</w:t>
      </w:r>
      <w:proofErr w:type="gramEnd"/>
      <w:r>
        <w:rPr>
          <w:rFonts w:ascii="Junicode" w:hAnsi="Junicode"/>
        </w:rPr>
        <w:t xml:space="preserve">. </w:t>
      </w:r>
      <w:proofErr w:type="gramStart"/>
      <w:r>
        <w:rPr>
          <w:rStyle w:val="title1"/>
          <w:rFonts w:ascii="Junicode" w:hAnsi="Junicode"/>
        </w:rPr>
        <w:t>The Siege of Jerusalem</w:t>
      </w:r>
      <w:r>
        <w:rPr>
          <w:rFonts w:ascii="Junicode" w:hAnsi="Junicode"/>
        </w:rPr>
        <w:t>.</w:t>
      </w:r>
      <w:proofErr w:type="gramEnd"/>
      <w:r>
        <w:rPr>
          <w:rFonts w:ascii="Junicode" w:hAnsi="Junicode"/>
        </w:rPr>
        <w:t xml:space="preserve"> </w:t>
      </w:r>
      <w:proofErr w:type="gramStart"/>
      <w:r>
        <w:rPr>
          <w:rFonts w:ascii="Junicode" w:hAnsi="Junicode"/>
        </w:rPr>
        <w:t xml:space="preserve">EETS </w:t>
      </w:r>
      <w:proofErr w:type="spellStart"/>
      <w:r>
        <w:rPr>
          <w:rFonts w:ascii="Junicode" w:hAnsi="Junicode"/>
        </w:rPr>
        <w:t>o.s</w:t>
      </w:r>
      <w:proofErr w:type="spellEnd"/>
      <w:r>
        <w:rPr>
          <w:rFonts w:ascii="Junicode" w:hAnsi="Junicode"/>
        </w:rPr>
        <w:t>. 320.</w:t>
      </w:r>
      <w:proofErr w:type="gramEnd"/>
      <w:r>
        <w:rPr>
          <w:rFonts w:ascii="Junicode" w:hAnsi="Junicode"/>
        </w:rPr>
        <w:t xml:space="preserve"> London: Oxford UP, 2003.</w:t>
      </w:r>
    </w:p>
    <w:p w:rsidR="00FF7048" w:rsidRDefault="00FF7048" w:rsidP="00FF7048">
      <w:pPr>
        <w:pStyle w:val="bibl"/>
        <w:rPr>
          <w:rFonts w:ascii="Junicode" w:hAnsi="Junicode"/>
        </w:rPr>
      </w:pPr>
      <w:r>
        <w:rPr>
          <w:rFonts w:ascii="Junicode" w:hAnsi="Junicode"/>
        </w:rPr>
        <w:t xml:space="preserve">Kellogg, Allen Bond. </w:t>
      </w:r>
      <w:proofErr w:type="gramStart"/>
      <w:r>
        <w:rPr>
          <w:rStyle w:val="title1"/>
          <w:rFonts w:ascii="Junicode" w:hAnsi="Junicode"/>
        </w:rPr>
        <w:t>The Language of the Alliterative Siege of Jerusalem</w:t>
      </w:r>
      <w:r>
        <w:rPr>
          <w:rFonts w:ascii="Junicode" w:hAnsi="Junicode"/>
        </w:rPr>
        <w:t>.</w:t>
      </w:r>
      <w:proofErr w:type="gramEnd"/>
      <w:r>
        <w:rPr>
          <w:rFonts w:ascii="Junicode" w:hAnsi="Junicode"/>
        </w:rPr>
        <w:t xml:space="preserve"> </w:t>
      </w:r>
      <w:proofErr w:type="gramStart"/>
      <w:r>
        <w:rPr>
          <w:rFonts w:ascii="Junicode" w:hAnsi="Junicode"/>
        </w:rPr>
        <w:t>Diss. U of Chicago, 1943.</w:t>
      </w:r>
      <w:proofErr w:type="gramEnd"/>
    </w:p>
    <w:p w:rsidR="00FF7048" w:rsidRDefault="00FF7048" w:rsidP="00FF7048">
      <w:pPr>
        <w:pStyle w:val="bibl"/>
        <w:rPr>
          <w:rFonts w:ascii="Junicode" w:hAnsi="Junicode"/>
        </w:rPr>
      </w:pPr>
      <w:proofErr w:type="spellStart"/>
      <w:r>
        <w:rPr>
          <w:rFonts w:ascii="Junicode" w:hAnsi="Junicode"/>
        </w:rPr>
        <w:t>Kölbing</w:t>
      </w:r>
      <w:proofErr w:type="spellEnd"/>
      <w:r>
        <w:rPr>
          <w:rFonts w:ascii="Junicode" w:hAnsi="Junicode"/>
        </w:rPr>
        <w:t xml:space="preserve">, E. and Mabel Day, </w:t>
      </w:r>
      <w:proofErr w:type="gramStart"/>
      <w:r>
        <w:rPr>
          <w:rFonts w:ascii="Junicode" w:hAnsi="Junicode"/>
        </w:rPr>
        <w:t>eds</w:t>
      </w:r>
      <w:proofErr w:type="gramEnd"/>
      <w:r>
        <w:rPr>
          <w:rFonts w:ascii="Junicode" w:hAnsi="Junicode"/>
        </w:rPr>
        <w:t xml:space="preserve">. </w:t>
      </w:r>
      <w:proofErr w:type="gramStart"/>
      <w:r>
        <w:rPr>
          <w:rStyle w:val="title1"/>
          <w:rFonts w:ascii="Junicode" w:hAnsi="Junicode"/>
        </w:rPr>
        <w:t>Siege of Jerusalem</w:t>
      </w:r>
      <w:r>
        <w:rPr>
          <w:rFonts w:ascii="Junicode" w:hAnsi="Junicode"/>
        </w:rPr>
        <w:t>.</w:t>
      </w:r>
      <w:proofErr w:type="gramEnd"/>
      <w:r>
        <w:rPr>
          <w:rFonts w:ascii="Junicode" w:hAnsi="Junicode"/>
        </w:rPr>
        <w:t xml:space="preserve"> </w:t>
      </w:r>
      <w:proofErr w:type="gramStart"/>
      <w:r>
        <w:rPr>
          <w:rFonts w:ascii="Junicode" w:hAnsi="Junicode"/>
        </w:rPr>
        <w:t xml:space="preserve">EETS </w:t>
      </w:r>
      <w:proofErr w:type="spellStart"/>
      <w:r>
        <w:rPr>
          <w:rFonts w:ascii="Junicode" w:hAnsi="Junicode"/>
        </w:rPr>
        <w:t>o.s</w:t>
      </w:r>
      <w:proofErr w:type="spellEnd"/>
      <w:r>
        <w:rPr>
          <w:rFonts w:ascii="Junicode" w:hAnsi="Junicode"/>
        </w:rPr>
        <w:t>. 188.</w:t>
      </w:r>
      <w:proofErr w:type="gramEnd"/>
      <w:r>
        <w:rPr>
          <w:rFonts w:ascii="Junicode" w:hAnsi="Junicode"/>
        </w:rPr>
        <w:t xml:space="preserve"> London: Oxford UP, 1932. (Reprinted 2001)</w:t>
      </w:r>
    </w:p>
    <w:p w:rsidR="00FF7048" w:rsidRDefault="00FF7048" w:rsidP="00FF7048">
      <w:pPr>
        <w:pStyle w:val="bibl"/>
        <w:rPr>
          <w:rFonts w:ascii="Junicode" w:hAnsi="Junicode"/>
        </w:rPr>
      </w:pPr>
      <w:r>
        <w:rPr>
          <w:rFonts w:ascii="Junicode" w:hAnsi="Junicode"/>
        </w:rPr>
        <w:t xml:space="preserve">Millar, Bonnie. </w:t>
      </w:r>
      <w:proofErr w:type="gramStart"/>
      <w:r>
        <w:rPr>
          <w:rStyle w:val="title1"/>
          <w:rFonts w:ascii="Junicode" w:hAnsi="Junicode"/>
        </w:rPr>
        <w:t>The Siege of Jerusalem in its Physical, Literary, and Historical Contexts</w:t>
      </w:r>
      <w:r>
        <w:rPr>
          <w:rFonts w:ascii="Junicode" w:hAnsi="Junicode"/>
        </w:rPr>
        <w:t>.</w:t>
      </w:r>
      <w:proofErr w:type="gramEnd"/>
      <w:r>
        <w:rPr>
          <w:rFonts w:ascii="Junicode" w:hAnsi="Junicode"/>
        </w:rPr>
        <w:t xml:space="preserve"> Dublin: Four Courts Press, 2000. 29.</w:t>
      </w:r>
    </w:p>
    <w:p w:rsidR="00FF7048" w:rsidRDefault="00FF7048" w:rsidP="00FF7048">
      <w:pPr>
        <w:pStyle w:val="bibl"/>
        <w:rPr>
          <w:rFonts w:ascii="Junicode" w:hAnsi="Junicode"/>
        </w:rPr>
      </w:pPr>
      <w:r>
        <w:rPr>
          <w:rFonts w:ascii="Junicode" w:hAnsi="Junicode"/>
        </w:rPr>
        <w:t xml:space="preserve">Russell, George and George Kane, </w:t>
      </w:r>
      <w:proofErr w:type="gramStart"/>
      <w:r>
        <w:rPr>
          <w:rFonts w:ascii="Junicode" w:hAnsi="Junicode"/>
        </w:rPr>
        <w:t>eds</w:t>
      </w:r>
      <w:proofErr w:type="gramEnd"/>
      <w:r>
        <w:rPr>
          <w:rFonts w:ascii="Junicode" w:hAnsi="Junicode"/>
        </w:rPr>
        <w:t xml:space="preserve">. </w:t>
      </w:r>
      <w:proofErr w:type="gramStart"/>
      <w:r>
        <w:rPr>
          <w:rStyle w:val="title1"/>
          <w:rFonts w:ascii="Junicode" w:hAnsi="Junicode"/>
        </w:rPr>
        <w:t>Will's visions of Piers Plowman, do-well, do-better, and do-best</w:t>
      </w:r>
      <w:r>
        <w:rPr>
          <w:rFonts w:ascii="Junicode" w:hAnsi="Junicode"/>
        </w:rPr>
        <w:t>.</w:t>
      </w:r>
      <w:proofErr w:type="gramEnd"/>
      <w:r>
        <w:rPr>
          <w:rFonts w:ascii="Junicode" w:hAnsi="Junicode"/>
        </w:rPr>
        <w:t xml:space="preserve"> By William Langland. London: </w:t>
      </w:r>
      <w:proofErr w:type="spellStart"/>
      <w:r>
        <w:rPr>
          <w:rFonts w:ascii="Junicode" w:hAnsi="Junicode"/>
        </w:rPr>
        <w:t>Athlone</w:t>
      </w:r>
      <w:proofErr w:type="spellEnd"/>
      <w:r>
        <w:rPr>
          <w:rFonts w:ascii="Junicode" w:hAnsi="Junicode"/>
        </w:rPr>
        <w:t xml:space="preserve"> Press, 1997. 4.</w:t>
      </w:r>
    </w:p>
    <w:p w:rsidR="00FF7048" w:rsidRDefault="00FF7048" w:rsidP="00FF7048">
      <w:pPr>
        <w:pStyle w:val="bibl"/>
        <w:rPr>
          <w:rFonts w:ascii="Junicode" w:hAnsi="Junicode"/>
        </w:rPr>
      </w:pPr>
      <w:r>
        <w:rPr>
          <w:rFonts w:ascii="Junicode" w:hAnsi="Junicode"/>
        </w:rPr>
        <w:t xml:space="preserve">Skeat, W. W., </w:t>
      </w:r>
      <w:proofErr w:type="gramStart"/>
      <w:r>
        <w:rPr>
          <w:rFonts w:ascii="Junicode" w:hAnsi="Junicode"/>
        </w:rPr>
        <w:t>ed</w:t>
      </w:r>
      <w:proofErr w:type="gramEnd"/>
      <w:r>
        <w:rPr>
          <w:rFonts w:ascii="Junicode" w:hAnsi="Junicode"/>
        </w:rPr>
        <w:t xml:space="preserve">. </w:t>
      </w:r>
      <w:r>
        <w:rPr>
          <w:rStyle w:val="title1"/>
          <w:rFonts w:ascii="Junicode" w:hAnsi="Junicode"/>
        </w:rPr>
        <w:t xml:space="preserve">The vision of William concerning Piers Plowman, together with Vita de Dowel, </w:t>
      </w:r>
      <w:proofErr w:type="spellStart"/>
      <w:r>
        <w:rPr>
          <w:rStyle w:val="title1"/>
          <w:rFonts w:ascii="Junicode" w:hAnsi="Junicode"/>
        </w:rPr>
        <w:t>Dobet</w:t>
      </w:r>
      <w:proofErr w:type="spellEnd"/>
      <w:r>
        <w:rPr>
          <w:rStyle w:val="title1"/>
          <w:rFonts w:ascii="Junicode" w:hAnsi="Junicode"/>
        </w:rPr>
        <w:t xml:space="preserve">, et </w:t>
      </w:r>
      <w:proofErr w:type="spellStart"/>
      <w:r>
        <w:rPr>
          <w:rStyle w:val="title1"/>
          <w:rFonts w:ascii="Junicode" w:hAnsi="Junicode"/>
        </w:rPr>
        <w:t>Dobest</w:t>
      </w:r>
      <w:proofErr w:type="spellEnd"/>
      <w:r>
        <w:rPr>
          <w:rStyle w:val="title1"/>
          <w:rFonts w:ascii="Junicode" w:hAnsi="Junicode"/>
        </w:rPr>
        <w:t xml:space="preserve">, </w:t>
      </w:r>
      <w:proofErr w:type="spellStart"/>
      <w:r>
        <w:rPr>
          <w:rStyle w:val="title1"/>
          <w:rFonts w:ascii="Junicode" w:hAnsi="Junicode"/>
        </w:rPr>
        <w:t>secundum</w:t>
      </w:r>
      <w:proofErr w:type="spellEnd"/>
      <w:r>
        <w:rPr>
          <w:rStyle w:val="title1"/>
          <w:rFonts w:ascii="Junicode" w:hAnsi="Junicode"/>
        </w:rPr>
        <w:t xml:space="preserve"> Wit et </w:t>
      </w:r>
      <w:proofErr w:type="spellStart"/>
      <w:r>
        <w:rPr>
          <w:rStyle w:val="title1"/>
          <w:rFonts w:ascii="Junicode" w:hAnsi="Junicode"/>
        </w:rPr>
        <w:t>Resoun</w:t>
      </w:r>
      <w:proofErr w:type="spellEnd"/>
      <w:r>
        <w:rPr>
          <w:rStyle w:val="title1"/>
          <w:rFonts w:ascii="Junicode" w:hAnsi="Junicode"/>
        </w:rPr>
        <w:t xml:space="preserve">, by William Langland (about 1362-1393 A.D.) </w:t>
      </w:r>
      <w:proofErr w:type="gramStart"/>
      <w:r>
        <w:rPr>
          <w:rStyle w:val="title1"/>
          <w:rFonts w:ascii="Junicode" w:hAnsi="Junicode"/>
        </w:rPr>
        <w:t>Ed. from numerous manuscripts, with prefaces, notes, and a glossary</w:t>
      </w:r>
      <w:r>
        <w:rPr>
          <w:rFonts w:ascii="Junicode" w:hAnsi="Junicode"/>
        </w:rPr>
        <w:t>.</w:t>
      </w:r>
      <w:proofErr w:type="gramEnd"/>
      <w:r>
        <w:rPr>
          <w:rFonts w:ascii="Junicode" w:hAnsi="Junicode"/>
        </w:rPr>
        <w:t xml:space="preserve"> By William Langland. Pt. III, Early English Text Society, </w:t>
      </w:r>
      <w:proofErr w:type="spellStart"/>
      <w:r>
        <w:rPr>
          <w:rFonts w:ascii="Junicode" w:hAnsi="Junicode"/>
        </w:rPr>
        <w:t>o.s</w:t>
      </w:r>
      <w:proofErr w:type="spellEnd"/>
      <w:r>
        <w:rPr>
          <w:rFonts w:ascii="Junicode" w:hAnsi="Junicode"/>
        </w:rPr>
        <w:t xml:space="preserve">. 54. London: </w:t>
      </w:r>
      <w:proofErr w:type="spellStart"/>
      <w:r>
        <w:rPr>
          <w:rFonts w:ascii="Junicode" w:hAnsi="Junicode"/>
        </w:rPr>
        <w:t>Trübner</w:t>
      </w:r>
      <w:proofErr w:type="spellEnd"/>
      <w:r>
        <w:rPr>
          <w:rFonts w:ascii="Junicode" w:hAnsi="Junicode"/>
        </w:rPr>
        <w:t xml:space="preserve"> &amp; Co., 1880.</w:t>
      </w:r>
    </w:p>
    <w:p w:rsidR="00FF7048" w:rsidRDefault="00FF7048" w:rsidP="00FF7048">
      <w:r>
        <w:rPr>
          <w:rFonts w:ascii="Junicode" w:hAnsi="Junicode"/>
        </w:rPr>
        <w:t xml:space="preserve">Hanna-Lawton and Russell-Kane give accurate and thorough descriptions of L, including information on its physical condition, contents, collation, and hand. </w:t>
      </w:r>
      <w:proofErr w:type="spellStart"/>
      <w:r>
        <w:rPr>
          <w:rFonts w:ascii="Junicode" w:hAnsi="Junicode"/>
        </w:rPr>
        <w:t>Guddat-Figge</w:t>
      </w:r>
      <w:proofErr w:type="spellEnd"/>
      <w:r>
        <w:rPr>
          <w:rFonts w:ascii="Junicode" w:hAnsi="Junicode"/>
        </w:rPr>
        <w:t xml:space="preserve"> gives a similar description, but notes that she wrote her entry through reliance upon </w:t>
      </w:r>
      <w:proofErr w:type="spellStart"/>
      <w:r>
        <w:rPr>
          <w:rFonts w:ascii="Junicode" w:hAnsi="Junicode"/>
        </w:rPr>
        <w:t>Coxe</w:t>
      </w:r>
      <w:proofErr w:type="spellEnd"/>
      <w:r>
        <w:rPr>
          <w:rFonts w:ascii="Junicode" w:hAnsi="Junicode"/>
        </w:rPr>
        <w:t xml:space="preserve"> and Skeat and that she had not seen the manuscript in person. Hopper and </w:t>
      </w:r>
      <w:proofErr w:type="spellStart"/>
      <w:r>
        <w:rPr>
          <w:rFonts w:ascii="Junicode" w:hAnsi="Junicode"/>
        </w:rPr>
        <w:t>Zetterson</w:t>
      </w:r>
      <w:proofErr w:type="spellEnd"/>
      <w:r>
        <w:rPr>
          <w:rFonts w:ascii="Junicode" w:hAnsi="Junicode"/>
        </w:rPr>
        <w:t xml:space="preserve"> offer descriptions in the context of studies of other poems appearing in the manuscript, and their descriptions are much less detailed than those of Hanna-Lawton and </w:t>
      </w:r>
      <w:proofErr w:type="spellStart"/>
      <w:r>
        <w:rPr>
          <w:rFonts w:ascii="Junicode" w:hAnsi="Junicode"/>
        </w:rPr>
        <w:t>Guddat-Figge</w:t>
      </w:r>
      <w:proofErr w:type="spellEnd"/>
      <w:r>
        <w:rPr>
          <w:rFonts w:ascii="Junicode" w:hAnsi="Junicode"/>
        </w:rPr>
        <w:t>. Doyle and Millar discuss the manuscript briefly. The dialect of the manuscript is the focus of Kellogg's dissertation. Where it would merely be redundant to repeat these works, I briefly summarize them below.</w:t>
      </w:r>
    </w:p>
    <w:p w:rsidR="00F12E48" w:rsidRPr="00377070" w:rsidRDefault="00F12E48" w:rsidP="00377070"/>
    <w:p w:rsidR="00851EE8" w:rsidRPr="00D3533F" w:rsidRDefault="00851EE8" w:rsidP="00851EE8"/>
    <w:p w:rsidR="00D172EB" w:rsidRDefault="00D172EB" w:rsidP="00D172EB">
      <w:pPr>
        <w:pStyle w:val="p"/>
        <w:rPr>
          <w:rFonts w:ascii="Junicode" w:hAnsi="Junicode"/>
        </w:rPr>
      </w:pPr>
    </w:p>
    <w:p w:rsidR="009E5E68" w:rsidRPr="00D172EB" w:rsidRDefault="009E5E68" w:rsidP="009E5E68"/>
    <w:p w:rsidR="00E1220E" w:rsidRPr="006C46BC" w:rsidRDefault="00E1220E" w:rsidP="00E1220E">
      <w:pPr>
        <w:rPr>
          <w:b/>
        </w:rPr>
      </w:pPr>
    </w:p>
    <w:p w:rsidR="00E1220E" w:rsidRDefault="00E1220E" w:rsidP="006D0FD4"/>
    <w:p w:rsidR="00E1220E" w:rsidRDefault="00E1220E" w:rsidP="006D0FD4"/>
    <w:p w:rsidR="006D0FD4" w:rsidRDefault="006D0FD4" w:rsidP="006D0FD4"/>
    <w:p w:rsidR="00FD0695" w:rsidRPr="00286E2B" w:rsidRDefault="00FD0695" w:rsidP="00FD0695">
      <w:pPr>
        <w:pStyle w:val="p"/>
        <w:rPr>
          <w:rFonts w:ascii="Junicode" w:hAnsi="Junicode"/>
        </w:rPr>
      </w:pPr>
    </w:p>
    <w:p w:rsidR="00FD0695" w:rsidRDefault="00FD0695" w:rsidP="00FD0695">
      <w:pPr>
        <w:pStyle w:val="p"/>
        <w:rPr>
          <w:rFonts w:ascii="Junicode" w:hAnsi="Junicode"/>
        </w:rPr>
      </w:pPr>
    </w:p>
    <w:p w:rsidR="00FD0695" w:rsidRDefault="00FD0695" w:rsidP="00FD0695">
      <w:pPr>
        <w:rPr>
          <w:rFonts w:ascii="Junicode" w:hAnsi="Junicode"/>
        </w:rPr>
      </w:pPr>
      <w:bookmarkStart w:id="2" w:name="div3Contents"/>
      <w:bookmarkEnd w:id="2"/>
      <w:r>
        <w:rPr>
          <w:rFonts w:ascii="Junicode" w:hAnsi="Junicode"/>
          <w:noProof/>
          <w:vanish/>
        </w:rPr>
        <w:drawing>
          <wp:inline distT="0" distB="0" distL="0" distR="0">
            <wp:extent cx="914400" cy="2286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914400" cy="228600"/>
                    </a:xfrm>
                    <a:prstGeom prst="rect">
                      <a:avLst/>
                    </a:prstGeom>
                    <a:noFill/>
                    <a:ln w="9525">
                      <a:noFill/>
                      <a:miter lim="800000"/>
                      <a:headEnd/>
                      <a:tailEnd/>
                    </a:ln>
                  </pic:spPr>
                </pic:pic>
              </a:graphicData>
            </a:graphic>
          </wp:inline>
        </w:drawing>
      </w:r>
    </w:p>
    <w:p w:rsidR="00D777EC" w:rsidRPr="00FD0695" w:rsidRDefault="00D777EC"/>
    <w:p w:rsidR="00D172EB" w:rsidRDefault="00D172EB"/>
    <w:sectPr w:rsidR="00D172EB" w:rsidSect="00D172E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Junicode">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7EC"/>
    <w:rsid w:val="00042DD7"/>
    <w:rsid w:val="00083954"/>
    <w:rsid w:val="00093F5F"/>
    <w:rsid w:val="000C2F4F"/>
    <w:rsid w:val="000D1AFC"/>
    <w:rsid w:val="001C6C97"/>
    <w:rsid w:val="00263FFB"/>
    <w:rsid w:val="00267937"/>
    <w:rsid w:val="00286E2B"/>
    <w:rsid w:val="002B0998"/>
    <w:rsid w:val="002E68A1"/>
    <w:rsid w:val="00377070"/>
    <w:rsid w:val="0041240A"/>
    <w:rsid w:val="00421983"/>
    <w:rsid w:val="00423B59"/>
    <w:rsid w:val="0046016A"/>
    <w:rsid w:val="00471B0E"/>
    <w:rsid w:val="004D4ADB"/>
    <w:rsid w:val="005831BD"/>
    <w:rsid w:val="0065460B"/>
    <w:rsid w:val="006C3EE9"/>
    <w:rsid w:val="006C46BC"/>
    <w:rsid w:val="006C70D0"/>
    <w:rsid w:val="006D0FD4"/>
    <w:rsid w:val="006D5F7F"/>
    <w:rsid w:val="006F22E1"/>
    <w:rsid w:val="00715859"/>
    <w:rsid w:val="00721252"/>
    <w:rsid w:val="00723C8F"/>
    <w:rsid w:val="0074108D"/>
    <w:rsid w:val="007B2B05"/>
    <w:rsid w:val="00851EE8"/>
    <w:rsid w:val="00901615"/>
    <w:rsid w:val="009477C1"/>
    <w:rsid w:val="009676B3"/>
    <w:rsid w:val="009915AC"/>
    <w:rsid w:val="009E5E68"/>
    <w:rsid w:val="00B84F3D"/>
    <w:rsid w:val="00CE2BEA"/>
    <w:rsid w:val="00D172EB"/>
    <w:rsid w:val="00D3533F"/>
    <w:rsid w:val="00D44006"/>
    <w:rsid w:val="00D61C91"/>
    <w:rsid w:val="00D777EC"/>
    <w:rsid w:val="00DB475E"/>
    <w:rsid w:val="00E1220E"/>
    <w:rsid w:val="00E4049B"/>
    <w:rsid w:val="00E50894"/>
    <w:rsid w:val="00E534E9"/>
    <w:rsid w:val="00ED7A5E"/>
    <w:rsid w:val="00EF4C7E"/>
    <w:rsid w:val="00F04455"/>
    <w:rsid w:val="00F12E48"/>
    <w:rsid w:val="00FD0695"/>
    <w:rsid w:val="00FD634B"/>
    <w:rsid w:val="00FF70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FD0695"/>
    <w:pPr>
      <w:spacing w:before="100" w:beforeAutospacing="1" w:after="100" w:afterAutospacing="1"/>
    </w:pPr>
    <w:rPr>
      <w:rFonts w:ascii="Times New Roman" w:eastAsia="Times New Roman" w:hAnsi="Times New Roman" w:cs="Times New Roman"/>
    </w:rPr>
  </w:style>
  <w:style w:type="character" w:customStyle="1" w:styleId="it1">
    <w:name w:val="it1"/>
    <w:basedOn w:val="DefaultParagraphFont"/>
    <w:rsid w:val="00FD0695"/>
    <w:rPr>
      <w:i/>
      <w:iCs/>
    </w:rPr>
  </w:style>
  <w:style w:type="character" w:customStyle="1" w:styleId="bold1">
    <w:name w:val="bold1"/>
    <w:basedOn w:val="DefaultParagraphFont"/>
    <w:rsid w:val="00F12E48"/>
    <w:rPr>
      <w:b/>
      <w:bCs/>
    </w:rPr>
  </w:style>
  <w:style w:type="paragraph" w:customStyle="1" w:styleId="bibl">
    <w:name w:val="bibl"/>
    <w:basedOn w:val="Normal"/>
    <w:rsid w:val="00FF7048"/>
    <w:pPr>
      <w:spacing w:before="100" w:beforeAutospacing="1" w:after="100" w:afterAutospacing="1"/>
      <w:ind w:left="480" w:hanging="480"/>
    </w:pPr>
    <w:rPr>
      <w:rFonts w:ascii="Times New Roman" w:eastAsia="Times New Roman" w:hAnsi="Times New Roman" w:cs="Times New Roman"/>
    </w:rPr>
  </w:style>
  <w:style w:type="character" w:customStyle="1" w:styleId="title1">
    <w:name w:val="title1"/>
    <w:basedOn w:val="DefaultParagraphFont"/>
    <w:rsid w:val="00FF704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FD0695"/>
    <w:pPr>
      <w:spacing w:before="100" w:beforeAutospacing="1" w:after="100" w:afterAutospacing="1"/>
    </w:pPr>
    <w:rPr>
      <w:rFonts w:ascii="Times New Roman" w:eastAsia="Times New Roman" w:hAnsi="Times New Roman" w:cs="Times New Roman"/>
    </w:rPr>
  </w:style>
  <w:style w:type="character" w:customStyle="1" w:styleId="it1">
    <w:name w:val="it1"/>
    <w:basedOn w:val="DefaultParagraphFont"/>
    <w:rsid w:val="00FD0695"/>
    <w:rPr>
      <w:i/>
      <w:iCs/>
    </w:rPr>
  </w:style>
  <w:style w:type="character" w:customStyle="1" w:styleId="bold1">
    <w:name w:val="bold1"/>
    <w:basedOn w:val="DefaultParagraphFont"/>
    <w:rsid w:val="00F12E48"/>
    <w:rPr>
      <w:b/>
      <w:bCs/>
    </w:rPr>
  </w:style>
  <w:style w:type="paragraph" w:customStyle="1" w:styleId="bibl">
    <w:name w:val="bibl"/>
    <w:basedOn w:val="Normal"/>
    <w:rsid w:val="00FF7048"/>
    <w:pPr>
      <w:spacing w:before="100" w:beforeAutospacing="1" w:after="100" w:afterAutospacing="1"/>
      <w:ind w:left="480" w:hanging="480"/>
    </w:pPr>
    <w:rPr>
      <w:rFonts w:ascii="Times New Roman" w:eastAsia="Times New Roman" w:hAnsi="Times New Roman" w:cs="Times New Roman"/>
    </w:rPr>
  </w:style>
  <w:style w:type="character" w:customStyle="1" w:styleId="title1">
    <w:name w:val="title1"/>
    <w:basedOn w:val="DefaultParagraphFont"/>
    <w:rsid w:val="00FF70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1530</Words>
  <Characters>8724</Characters>
  <Application>Microsoft Macintosh Word</Application>
  <DocSecurity>0</DocSecurity>
  <Lines>72</Lines>
  <Paragraphs>20</Paragraphs>
  <ScaleCrop>false</ScaleCrop>
  <Company>NCSU</Company>
  <LinksUpToDate>false</LinksUpToDate>
  <CharactersWithSpaces>10234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Stinson</dc:creator>
  <cp:keywords/>
  <cp:lastModifiedBy>College of Liberal Arts</cp:lastModifiedBy>
  <cp:revision>2</cp:revision>
  <dcterms:created xsi:type="dcterms:W3CDTF">2012-05-02T13:33:00Z</dcterms:created>
  <dcterms:modified xsi:type="dcterms:W3CDTF">2012-05-02T13:33:00Z</dcterms:modified>
</cp:coreProperties>
</file>