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58DF3" w14:textId="3AB49C8A" w:rsidR="008F6482" w:rsidRDefault="00343404">
      <w:r>
        <w:rPr>
          <w:noProof/>
        </w:rPr>
        <w:drawing>
          <wp:inline distT="0" distB="0" distL="0" distR="0" wp14:anchorId="2194CEC2" wp14:editId="7D6D07D3">
            <wp:extent cx="3110230" cy="4019550"/>
            <wp:effectExtent l="0" t="0" r="0" b="0"/>
            <wp:docPr id="146273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23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FF2B3" w14:textId="7C8ADFC6" w:rsidR="00343404" w:rsidRDefault="008C244F">
      <w:r w:rsidRPr="008C244F">
        <w:rPr>
          <w:b/>
          <w:bCs/>
        </w:rPr>
        <w:t xml:space="preserve">Figure 1. Relative </w:t>
      </w:r>
      <w:r w:rsidRPr="008C244F">
        <w:rPr>
          <w:b/>
          <w:bCs/>
          <w:i/>
          <w:iCs/>
        </w:rPr>
        <w:t>Fn1</w:t>
      </w:r>
      <w:r w:rsidRPr="008C244F">
        <w:rPr>
          <w:b/>
          <w:bCs/>
        </w:rPr>
        <w:t xml:space="preserve"> expression across treatment groups</w:t>
      </w:r>
      <w:r>
        <w:rPr>
          <w:b/>
          <w:bCs/>
        </w:rPr>
        <w:t>.</w:t>
      </w:r>
      <w:r w:rsidRPr="008C244F">
        <w:br/>
      </w:r>
      <w:r w:rsidRPr="008C244F">
        <w:rPr>
          <w:i/>
          <w:iCs/>
        </w:rPr>
        <w:t>Fn1</w:t>
      </w:r>
      <w:r w:rsidRPr="008C244F">
        <w:t xml:space="preserve"> mRNA levels were measured by RT-qPCR, normalized to </w:t>
      </w:r>
      <w:proofErr w:type="spellStart"/>
      <w:r w:rsidRPr="008C244F">
        <w:rPr>
          <w:i/>
          <w:iCs/>
        </w:rPr>
        <w:t>Gapdh</w:t>
      </w:r>
      <w:proofErr w:type="spellEnd"/>
      <w:r w:rsidRPr="008C244F">
        <w:t xml:space="preserve">, and expressed relative to </w:t>
      </w:r>
      <w:proofErr w:type="spellStart"/>
      <w:r w:rsidRPr="008C244F">
        <w:t>Uninjected</w:t>
      </w:r>
      <w:proofErr w:type="spellEnd"/>
      <w:r w:rsidRPr="008C244F">
        <w:t xml:space="preserve"> controls. Each sample is the average of four technical replicates. </w:t>
      </w:r>
      <w:r w:rsidRPr="008C244F">
        <w:t xml:space="preserve">Data </w:t>
      </w:r>
      <w:r>
        <w:t xml:space="preserve">are </w:t>
      </w:r>
      <w:r w:rsidRPr="008C244F">
        <w:t>means</w:t>
      </w:r>
      <w:r w:rsidRPr="008C244F">
        <w:t xml:space="preserve"> </w:t>
      </w:r>
      <w:r>
        <w:t xml:space="preserve">± </w:t>
      </w:r>
      <w:r w:rsidRPr="008C244F">
        <w:t xml:space="preserve">SEM (n = 4 for </w:t>
      </w:r>
      <w:proofErr w:type="spellStart"/>
      <w:r w:rsidRPr="008C244F">
        <w:t>Uninjected</w:t>
      </w:r>
      <w:proofErr w:type="spellEnd"/>
      <w:r w:rsidRPr="008C244F">
        <w:t xml:space="preserve"> and SNC only; n = 5 for DMSO/RPE and SNC/RPE). Two-tailed unpaired t-test; * p &lt; 0.05.</w:t>
      </w:r>
    </w:p>
    <w:sectPr w:rsidR="003434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04"/>
    <w:rsid w:val="00343404"/>
    <w:rsid w:val="006029F4"/>
    <w:rsid w:val="008C244F"/>
    <w:rsid w:val="008F6482"/>
    <w:rsid w:val="00BE4FC2"/>
    <w:rsid w:val="00DF1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4A557"/>
  <w15:chartTrackingRefBased/>
  <w15:docId w15:val="{FCF15FD9-67CE-434B-94CC-7E4B7C803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Chung</dc:creator>
  <cp:keywords/>
  <dc:description/>
  <cp:lastModifiedBy>Paul Chung</cp:lastModifiedBy>
  <cp:revision>1</cp:revision>
  <dcterms:created xsi:type="dcterms:W3CDTF">2026-10-26T16:16:00Z</dcterms:created>
  <dcterms:modified xsi:type="dcterms:W3CDTF">2026-10-26T16:31:00Z</dcterms:modified>
</cp:coreProperties>
</file>