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28AA" w:rsidRPr="00A45B8E" w:rsidRDefault="00A45B8E">
      <w:pPr>
        <w:rPr>
          <w:rFonts w:eastAsia="Times New Roman"/>
        </w:rPr>
      </w:pPr>
      <w:r>
        <w:rPr>
          <w:rFonts w:eastAsia="Times New Roman"/>
        </w:rPr>
        <w:t>We describe KBID as an authentication mechanism that requires a wearable device that transmits short-range authentication data via BCC. We recognize confidentiality, integrity, and availability as security goals specific to KBID. Specifically, data stored on the device and transmitted to the authentication module should be kept secret from and not modifiable by unauthorized entities, and the data should be accessible to both bracelet and authentication module. We omit the privacy of the authenticating user because the system must validate her access to the system or resource. </w:t>
      </w:r>
      <w:r>
        <w:rPr>
          <w:rFonts w:eastAsia="Times New Roman"/>
        </w:rPr>
        <w:br/>
      </w:r>
      <w:r>
        <w:rPr>
          <w:rFonts w:eastAsia="Times New Roman"/>
        </w:rPr>
        <w:br/>
        <w:t>Adversaries are typically distinguished based on their goals, capabilities, and relation to a system (i.e., KBID). We define the following adversarial classification criteria for KBID: active adversaries that are able to read, modify, and inject communication between the device and authentication module, and passive adversaries that can eavesdrop on the communication; internal entities that have legitimate access to the device, and external entities that do not; single or coordinated group entities, and; sophisticated adversaries with specialized equipment (e.g., high-gain directional antenna or unauthorized authentication module), and unsophisticated adversaries with common equipment.</w:t>
      </w:r>
      <w:r>
        <w:rPr>
          <w:rFonts w:eastAsia="Times New Roman"/>
        </w:rPr>
        <w:br/>
      </w:r>
      <w:r>
        <w:rPr>
          <w:rFonts w:eastAsia="Times New Roman"/>
        </w:rPr>
        <w:br/>
        <w:t>The KBID device or authentication module may both be used as attack surfaces. For example, an adversary may disrupt KBID authentication by physically damaging the wearable device or authenticator module. We classify this and other KBID security threats into the following categories: BCC threats, whereby the adversary is able to passively eavesdrop on communication, or actively jam, replay, modify, forge, or drop communication; hardware threats, whereby the adversary is able to induce incorrect outputs from a valid device, and; software threats, whereby the adversary is able to alter the logic of KBID’s device, authentication module, or client software through software vulnerabilities.</w:t>
      </w:r>
      <w:bookmarkStart w:id="0" w:name="_GoBack"/>
      <w:bookmarkEnd w:id="0"/>
    </w:p>
    <w:sectPr w:rsidR="00E928AA" w:rsidRPr="00A45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B8E"/>
    <w:rsid w:val="00A45B8E"/>
    <w:rsid w:val="00E92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105D42-4078-468D-9D22-779820FC7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5B8E"/>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192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1972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Carrigan</dc:creator>
  <cp:keywords/>
  <dc:description/>
  <cp:lastModifiedBy>Joseph Carrigan</cp:lastModifiedBy>
  <cp:revision>1</cp:revision>
  <dcterms:created xsi:type="dcterms:W3CDTF">2015-09-28T17:38:00Z</dcterms:created>
  <dcterms:modified xsi:type="dcterms:W3CDTF">2015-09-28T17:38:00Z</dcterms:modified>
</cp:coreProperties>
</file>