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0E6634D" w14:textId="48FCC833" w:rsidR="00B81B06" w:rsidRDefault="00B81B06" w:rsidP="00B81B06">
      <w:pPr>
        <w:ind w:firstLine="0"/>
      </w:pPr>
      <w:r>
        <w:rPr>
          <w:noProof/>
        </w:rPr>
        <w:lastRenderedPageBreak/>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 xml:space="preserve">Figure 4 shows the DVHs at each of the first four optimization steps on one of the test patients, unseen by the agent during the training. Our model drastically reduced the </w:t>
      </w:r>
      <w:r>
        <w:lastRenderedPageBreak/>
        <w:t>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lastRenderedPageBreak/>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2"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3"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 xml:space="preserve">IEEE Transactions on Biomedical </w:t>
      </w:r>
      <w:r w:rsidRPr="004F7A38">
        <w:rPr>
          <w:i/>
          <w:iCs/>
        </w:rPr>
        <w:lastRenderedPageBreak/>
        <w:t>Engineering</w:t>
      </w:r>
      <w:r w:rsidRPr="00693D0C">
        <w:t xml:space="preserve"> 68(10), 2907–2917 (Oct</w:t>
      </w:r>
      <w:r w:rsidR="00693D0C">
        <w:t>ober</w:t>
      </w:r>
      <w:r w:rsidRPr="00693D0C">
        <w:t xml:space="preserve"> 2021). </w:t>
      </w:r>
      <w:hyperlink r:id="rId14"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5"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6"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7"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8"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9"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0"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1"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2"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3"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4"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5"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6"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7"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8"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lastRenderedPageBreak/>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9"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0"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1"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2"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DE500D4" w14:textId="77777777" w:rsidR="00DD5531" w:rsidRDefault="009B2539" w:rsidP="001D7555">
      <w:pPr>
        <w:pStyle w:val="figurecaption"/>
        <w:jc w:val="both"/>
      </w:pPr>
      <w:bookmarkStart w:id="3" w:name="_Ref467515387"/>
      <w:r>
        <w:rPr>
          <w:b/>
        </w:rPr>
        <w:lastRenderedPageBreak/>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4"/>
      <w:headerReference w:type="default" r:id="rId35"/>
      <w:footerReference w:type="even" r:id="rId36"/>
      <w:footerReference w:type="default" r:id="rId37"/>
      <w:footerReference w:type="first" r:id="rId3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C7A34" w14:textId="77777777" w:rsidR="00880005" w:rsidRDefault="00880005">
      <w:r>
        <w:separator/>
      </w:r>
    </w:p>
  </w:endnote>
  <w:endnote w:type="continuationSeparator" w:id="0">
    <w:p w14:paraId="693A35B7" w14:textId="77777777" w:rsidR="00880005" w:rsidRDefault="00880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26FC4" w14:textId="77777777" w:rsidR="00880005" w:rsidRDefault="00880005" w:rsidP="009F7FCE">
      <w:pPr>
        <w:ind w:firstLine="0"/>
      </w:pPr>
      <w:r>
        <w:separator/>
      </w:r>
    </w:p>
  </w:footnote>
  <w:footnote w:type="continuationSeparator" w:id="0">
    <w:p w14:paraId="60F23D73" w14:textId="77777777" w:rsidR="00880005" w:rsidRDefault="0088000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F53BB"/>
    <w:rsid w:val="0044247A"/>
    <w:rsid w:val="004F7A38"/>
    <w:rsid w:val="0054520C"/>
    <w:rsid w:val="005B68EF"/>
    <w:rsid w:val="005F117E"/>
    <w:rsid w:val="006259A0"/>
    <w:rsid w:val="00693D0C"/>
    <w:rsid w:val="007F4D89"/>
    <w:rsid w:val="00880005"/>
    <w:rsid w:val="008839A1"/>
    <w:rsid w:val="008F2D4C"/>
    <w:rsid w:val="009930E4"/>
    <w:rsid w:val="009B2539"/>
    <w:rsid w:val="009F6F71"/>
    <w:rsid w:val="009F7FCE"/>
    <w:rsid w:val="00A0705B"/>
    <w:rsid w:val="00A26DB8"/>
    <w:rsid w:val="00A32A9C"/>
    <w:rsid w:val="00AB6011"/>
    <w:rsid w:val="00B23481"/>
    <w:rsid w:val="00B2378A"/>
    <w:rsid w:val="00B81B06"/>
    <w:rsid w:val="00C81316"/>
    <w:rsid w:val="00CB4C08"/>
    <w:rsid w:val="00CF1BE4"/>
    <w:rsid w:val="00DC2CA9"/>
    <w:rsid w:val="00DD5531"/>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93/jrr/rrab080" TargetMode="External"/><Relationship Id="rId18" Type="http://schemas.openxmlformats.org/officeDocument/2006/relationships/hyperlink" Target="https://linkinghub.elsevier.com/retrieve/pii/036030169290040O" TargetMode="External"/><Relationship Id="rId26" Type="http://schemas.openxmlformats.org/officeDocument/2006/relationships/hyperlink" Target="https://linkinghub.elsevier.com/retrieve/pii/S0167814009003247" TargetMode="External"/><Relationship Id="rId39" Type="http://schemas.openxmlformats.org/officeDocument/2006/relationships/fontTable" Target="fontTable.xml"/><Relationship Id="rId21" Type="http://schemas.openxmlformats.org/officeDocument/2006/relationships/hyperlink" Target="https://linkinghub.elsevier.com/retrieve/pii/S0958394701000577" TargetMode="External"/><Relationship Id="rId34" Type="http://schemas.openxmlformats.org/officeDocument/2006/relationships/header" Target="header1.xml"/><Relationship Id="rId7" Type="http://schemas.openxmlformats.org/officeDocument/2006/relationships/hyperlink" Target="https://biomathematics.mics.centralesupelec.fr/" TargetMode="External"/><Relationship Id="rId12" Type="http://schemas.openxmlformats.org/officeDocument/2006/relationships/hyperlink" Target="https://online.york.ac.uk/what-is-reinforcement-learning/" TargetMode="External"/><Relationship Id="rId17" Type="http://schemas.openxmlformats.org/officeDocument/2006/relationships/hyperlink" Target="https://iopscience.iop.org/article/10.1088/1361-6560/ac9882" TargetMode="External"/><Relationship Id="rId25" Type="http://schemas.openxmlformats.org/officeDocument/2006/relationships/hyperlink" Target="https://doi.org/10.1016/j.radonc.2009.06.014" TargetMode="External"/><Relationship Id="rId33" Type="http://schemas.openxmlformats.org/officeDocument/2006/relationships/chart" Target="charts/chart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88/1361-6560/ac9882" TargetMode="External"/><Relationship Id="rId20" Type="http://schemas.openxmlformats.org/officeDocument/2006/relationships/hyperlink" Target="https://doi.org/10.1016/S0958-3947(01)00057-7" TargetMode="External"/><Relationship Id="rId29" Type="http://schemas.openxmlformats.org/officeDocument/2006/relationships/hyperlink" Target="https://iopscience.iop.org/article/10.1088/0031-9155/46/4/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361-6560/ab18bf" TargetMode="External"/><Relationship Id="rId32" Type="http://schemas.openxmlformats.org/officeDocument/2006/relationships/hyperlink" Target="https://journals.lww.com/00005792-201708040-0003"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document/9343695/" TargetMode="External"/><Relationship Id="rId23" Type="http://schemas.openxmlformats.org/officeDocument/2006/relationships/hyperlink" Target="https://iopscience.iop.org/article/10.1088/1361-6560/ac09a2" TargetMode="External"/><Relationship Id="rId28" Type="http://schemas.openxmlformats.org/officeDocument/2006/relationships/hyperlink" Target="https://academic.oup.com/bjr/article/76/910/678-689/7470601"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mdpi.com/2227-9059/9/2/214" TargetMode="External"/><Relationship Id="rId31" Type="http://schemas.openxmlformats.org/officeDocument/2006/relationships/hyperlink" Target="https://doi.org/10.1097/MD.000000000000768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09/TBME.2021.3055822" TargetMode="External"/><Relationship Id="rId22" Type="http://schemas.openxmlformats.org/officeDocument/2006/relationships/hyperlink" Target="https://doi.org/10.1088/1361-6560/ac09a2" TargetMode="External"/><Relationship Id="rId27" Type="http://schemas.openxmlformats.org/officeDocument/2006/relationships/hyperlink" Target="https://doi.org/10.1259/bjr/65676879" TargetMode="External"/><Relationship Id="rId30" Type="http://schemas.openxmlformats.org/officeDocument/2006/relationships/hyperlink" Target="https://iopscience.iop.org/article/10.1088/0031-9155/44/10/311" TargetMode="External"/><Relationship Id="rId35" Type="http://schemas.openxmlformats.org/officeDocument/2006/relationships/header" Target="header2.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10</Pages>
  <Words>3236</Words>
  <Characters>18448</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24</cp:revision>
  <dcterms:created xsi:type="dcterms:W3CDTF">2024-05-10T09:48:00Z</dcterms:created>
  <dcterms:modified xsi:type="dcterms:W3CDTF">2024-05-10T11:30:00Z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