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BA76" w14:textId="77777777" w:rsidR="00C263E6" w:rsidRDefault="00C263E6" w:rsidP="00C263E6">
      <w:pPr>
        <w:pStyle w:val="NormalWeb"/>
        <w:spacing w:before="240" w:beforeAutospacing="0" w:after="240" w:afterAutospacing="0"/>
        <w:jc w:val="center"/>
      </w:pPr>
      <w:r>
        <w:rPr>
          <w:rFonts w:ascii="Arial" w:hAnsi="Arial" w:cs="Arial"/>
          <w:color w:val="000000"/>
          <w:sz w:val="52"/>
          <w:szCs w:val="52"/>
        </w:rPr>
        <w:t>Abstract</w:t>
      </w:r>
    </w:p>
    <w:p w14:paraId="25C2FA57" w14:textId="77777777" w:rsidR="00C263E6" w:rsidRDefault="00C263E6" w:rsidP="00C263E6">
      <w:pPr>
        <w:pStyle w:val="NormalWeb"/>
        <w:spacing w:before="240" w:beforeAutospacing="0" w:after="240" w:afterAutospacing="0"/>
        <w:jc w:val="center"/>
      </w:pPr>
      <w:r>
        <w:rPr>
          <w:rFonts w:ascii="Arial" w:hAnsi="Arial" w:cs="Arial"/>
          <w:b/>
          <w:bCs/>
          <w:color w:val="666666"/>
          <w:sz w:val="30"/>
          <w:szCs w:val="30"/>
        </w:rPr>
        <w:t>Title</w:t>
      </w:r>
    </w:p>
    <w:p w14:paraId="440A9B4B" w14:textId="77777777" w:rsidR="00C263E6" w:rsidRDefault="00C263E6" w:rsidP="00C263E6">
      <w:pPr>
        <w:pStyle w:val="NormalWeb"/>
        <w:spacing w:before="240" w:beforeAutospacing="0" w:after="240" w:afterAutospacing="0"/>
        <w:jc w:val="both"/>
      </w:pPr>
      <w:r>
        <w:rPr>
          <w:rFonts w:ascii="Arial" w:hAnsi="Arial" w:cs="Arial"/>
          <w:color w:val="000000"/>
        </w:rPr>
        <w:t>Clinically-Dependent Fully Automatic Treatment Planning System</w:t>
      </w:r>
    </w:p>
    <w:p w14:paraId="65F47538" w14:textId="77777777" w:rsidR="00C263E6" w:rsidRDefault="00C263E6" w:rsidP="00C263E6">
      <w:pPr>
        <w:pStyle w:val="NormalWeb"/>
        <w:spacing w:before="240" w:beforeAutospacing="0" w:after="240" w:afterAutospacing="0"/>
        <w:jc w:val="both"/>
      </w:pPr>
      <w:r>
        <w:rPr>
          <w:rFonts w:ascii="Arial" w:hAnsi="Arial" w:cs="Arial"/>
          <w:color w:val="000000"/>
        </w:rPr>
        <w:t> </w:t>
      </w:r>
      <w:r>
        <w:rPr>
          <w:rFonts w:ascii="Arial" w:hAnsi="Arial" w:cs="Arial"/>
          <w:i/>
          <w:iCs/>
          <w:color w:val="000000"/>
        </w:rPr>
        <w:t>… with DVHs-based dose distance RL?</w:t>
      </w:r>
    </w:p>
    <w:p w14:paraId="6E41D18A" w14:textId="77777777" w:rsidR="00C263E6" w:rsidRDefault="00C263E6" w:rsidP="00C263E6">
      <w:pPr>
        <w:pStyle w:val="NormalWeb"/>
        <w:spacing w:before="240" w:beforeAutospacing="0" w:after="240" w:afterAutospacing="0"/>
        <w:jc w:val="both"/>
      </w:pPr>
      <w:r>
        <w:rPr>
          <w:rFonts w:ascii="Arial" w:hAnsi="Arial" w:cs="Arial"/>
          <w:color w:val="000000"/>
        </w:rPr>
        <w:t> </w:t>
      </w:r>
    </w:p>
    <w:p w14:paraId="6E7A5237" w14:textId="35E9BC86" w:rsidR="00554EF4" w:rsidRPr="004E5C3A" w:rsidRDefault="004E5C3A" w:rsidP="004E5C3A">
      <w:pPr>
        <w:pStyle w:val="NormalWeb"/>
        <w:spacing w:before="240" w:beforeAutospacing="0" w:after="240" w:afterAutospacing="0"/>
        <w:jc w:val="center"/>
        <w:rPr>
          <w:rFonts w:ascii="Arial" w:hAnsi="Arial" w:cs="Arial"/>
          <w:i/>
          <w:iCs/>
          <w:color w:val="000000"/>
        </w:rPr>
      </w:pPr>
      <w:r>
        <w:rPr>
          <w:rFonts w:ascii="Arial" w:hAnsi="Arial" w:cs="Arial"/>
          <w:i/>
          <w:iCs/>
          <w:color w:val="000000"/>
        </w:rPr>
        <w:t xml:space="preserve">/!\ </w:t>
      </w:r>
      <w:r w:rsidR="00C263E6" w:rsidRPr="004E5C3A">
        <w:rPr>
          <w:rFonts w:ascii="Arial" w:hAnsi="Arial" w:cs="Arial"/>
          <w:i/>
          <w:iCs/>
          <w:color w:val="000000"/>
        </w:rPr>
        <w:t>Cite if allowed by the platform</w:t>
      </w:r>
      <w:r>
        <w:rPr>
          <w:rFonts w:ascii="Arial" w:hAnsi="Arial" w:cs="Arial"/>
          <w:i/>
          <w:iCs/>
          <w:color w:val="000000"/>
        </w:rPr>
        <w:t xml:space="preserve"> /!\</w:t>
      </w:r>
    </w:p>
    <w:p w14:paraId="0F81DBE9" w14:textId="77777777" w:rsidR="004E5C3A" w:rsidRDefault="004E5C3A" w:rsidP="00554EF4">
      <w:pPr>
        <w:pBdr>
          <w:bottom w:val="single" w:sz="6" w:space="1" w:color="auto"/>
        </w:pBdr>
        <w:spacing w:line="240" w:lineRule="auto"/>
        <w:jc w:val="left"/>
        <w:rPr>
          <w:rFonts w:ascii="Times New Roman" w:eastAsia="Times New Roman" w:hAnsi="Times New Roman" w:cs="Times New Roman"/>
          <w:lang w:val="en-US"/>
        </w:rPr>
      </w:pPr>
    </w:p>
    <w:p w14:paraId="73434507" w14:textId="77777777" w:rsidR="004E5C3A" w:rsidRDefault="004E5C3A" w:rsidP="00554EF4">
      <w:pPr>
        <w:pBdr>
          <w:bottom w:val="single" w:sz="6" w:space="1" w:color="auto"/>
        </w:pBdr>
        <w:spacing w:line="240" w:lineRule="auto"/>
        <w:jc w:val="left"/>
        <w:rPr>
          <w:rFonts w:ascii="Times New Roman" w:eastAsia="Times New Roman" w:hAnsi="Times New Roman" w:cs="Times New Roman"/>
          <w:lang w:val="en-US"/>
        </w:rPr>
      </w:pPr>
    </w:p>
    <w:p w14:paraId="4C062F2E" w14:textId="77777777" w:rsidR="004E5C3A" w:rsidRDefault="004E5C3A" w:rsidP="00554EF4">
      <w:pPr>
        <w:spacing w:line="240" w:lineRule="auto"/>
        <w:jc w:val="left"/>
        <w:rPr>
          <w:rFonts w:ascii="Times New Roman" w:eastAsia="Times New Roman" w:hAnsi="Times New Roman" w:cs="Times New Roman"/>
          <w:lang w:val="en-US"/>
        </w:rPr>
      </w:pPr>
    </w:p>
    <w:p w14:paraId="2FF09857" w14:textId="77777777" w:rsidR="004E5C3A" w:rsidRPr="00554EF4" w:rsidRDefault="004E5C3A" w:rsidP="00554EF4">
      <w:pPr>
        <w:spacing w:line="240" w:lineRule="auto"/>
        <w:jc w:val="left"/>
        <w:rPr>
          <w:rFonts w:ascii="Times New Roman" w:eastAsia="Times New Roman" w:hAnsi="Times New Roman" w:cs="Times New Roman"/>
          <w:lang w:val="en-US"/>
        </w:rPr>
      </w:pPr>
    </w:p>
    <w:p w14:paraId="0B96ADBC" w14:textId="77777777"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Purpose/Objectives</w:t>
      </w:r>
    </w:p>
    <w:p w14:paraId="001824E0" w14:textId="77777777" w:rsidR="004E5C3A" w:rsidRDefault="004E5C3A" w:rsidP="00554EF4">
      <w:pPr>
        <w:spacing w:line="240" w:lineRule="auto"/>
        <w:rPr>
          <w:rFonts w:eastAsia="Times New Roman"/>
          <w:color w:val="000000"/>
          <w:lang w:val="en-US"/>
        </w:rPr>
      </w:pPr>
    </w:p>
    <w:p w14:paraId="2E93B3C1" w14:textId="62F22F94"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Modern radiation therapy relies on precise techniques like IMRT or V-MAT. Doctors solve complex optimization problems to deliver the best dose: minimizing harm to healthy tissue while sufficiently irradiating to kill the cancer. This process is subjective and lacks a standardized approach. As a result, treatment planning heavily depends on doctor expertise, leading to variability between clinical centers.</w:t>
      </w:r>
    </w:p>
    <w:p w14:paraId="7363BE43"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A fully automatic Treatment Planning System (TPS) would allow hospitals to treat more patients. It also allows online re-optimization. This would reduce the necessary margins, and the toxicity of radiotherapy treatments.</w:t>
      </w:r>
    </w:p>
    <w:p w14:paraId="548717A9"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The main reason why a fully automatic TPS is not adopted by clinical centers is that all methods that have been tried so far are single-metric based. For meta-optimization, researchers need to define a metric to minimize/maximize. For reinforcement learning (RL), the reward is also based on the evaluation of a plan via a metric.</w:t>
      </w:r>
    </w:p>
    <w:p w14:paraId="5DA38A08"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 xml:space="preserve">The complexity of the compromises made by dosimetrists while optimizing manually with a TPS is too complex to be captured by a metric (or not computable in a reasonable time). </w:t>
      </w:r>
      <w:r w:rsidRPr="00554EF4">
        <w:rPr>
          <w:rFonts w:eastAsia="Times New Roman"/>
          <w:b/>
          <w:bCs/>
          <w:color w:val="000000"/>
          <w:lang w:val="en-US"/>
        </w:rPr>
        <w:t xml:space="preserve">More importantly, practices differ among different centers, and a dose acceptable for one clinic may not be in another. </w:t>
      </w:r>
      <w:r w:rsidRPr="00554EF4">
        <w:rPr>
          <w:rFonts w:eastAsia="Times New Roman"/>
          <w:color w:val="000000"/>
          <w:lang w:val="en-US"/>
        </w:rPr>
        <w:t>This suggests the creation of one metric per clinic for measuring the quality of an optimized dose. This is highly impractical.</w:t>
      </w:r>
    </w:p>
    <w:p w14:paraId="65F3345D"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Hence, we propose a solution adaptable to each clinic's practices: a RL agent trained to mimic the optimization made by human dosimetrists on a cohort of previously treated patients. We hypothesized that by training one agent for each hospital, we could ensure that guidelines specific to each of them were followed.</w:t>
      </w:r>
    </w:p>
    <w:p w14:paraId="3E2CBD5C" w14:textId="77777777" w:rsidR="00554EF4" w:rsidRPr="00554EF4" w:rsidRDefault="00554EF4" w:rsidP="00554EF4">
      <w:pPr>
        <w:spacing w:after="240" w:line="240" w:lineRule="auto"/>
        <w:jc w:val="left"/>
        <w:rPr>
          <w:rFonts w:ascii="Times New Roman" w:eastAsia="Times New Roman" w:hAnsi="Times New Roman" w:cs="Times New Roman"/>
          <w:lang w:val="en-US"/>
        </w:rPr>
      </w:pPr>
    </w:p>
    <w:p w14:paraId="556949A3" w14:textId="77777777"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Materials/Methods</w:t>
      </w:r>
    </w:p>
    <w:p w14:paraId="433ADC8A" w14:textId="77777777" w:rsidR="00554EF4" w:rsidRPr="00554EF4" w:rsidRDefault="00554EF4" w:rsidP="00554EF4">
      <w:pPr>
        <w:spacing w:line="240" w:lineRule="auto"/>
        <w:jc w:val="left"/>
        <w:rPr>
          <w:rFonts w:ascii="Times New Roman" w:eastAsia="Times New Roman" w:hAnsi="Times New Roman" w:cs="Times New Roman"/>
          <w:lang w:val="en-US"/>
        </w:rPr>
      </w:pPr>
    </w:p>
    <w:p w14:paraId="442B6A4E"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lastRenderedPageBreak/>
        <w:t>Reinforcement learning is adapted to situations where there are interactions with an environment, through actions. RL agents learn by experimenting; we, therefore, need some previously treated patients to train. As training data, RL agents solely require a reward after taking some actions. RL agents then learn what action leads to the best cumulative reward.</w:t>
      </w:r>
    </w:p>
    <w:p w14:paraId="509A19D0"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In the case of dose optimization, adjusting the weights of the constraints are the actions. The key is to find a way of rewarding the agent when making good decisions (actions) versus bad ones. Current RL methods in dosimetry struggle to mimic human-optimized plans.</w:t>
      </w:r>
    </w:p>
    <w:p w14:paraId="42DD147B"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 xml:space="preserve">We propose a new reward system based on the dose distribution of past clinical cases, via calculating the DVHs differences between the agent dose, and the database dose. This approach aims better to guide the RL agent towards clinically-acceptable treatment plans. </w:t>
      </w:r>
      <w:r w:rsidRPr="00554EF4">
        <w:rPr>
          <w:rFonts w:eastAsia="Times New Roman"/>
          <w:b/>
          <w:bCs/>
          <w:color w:val="000000"/>
          <w:lang w:val="en-US"/>
        </w:rPr>
        <w:t>Most importantly, it also allows the optimization to fit each center's internal standard practices and guidelines.</w:t>
      </w:r>
    </w:p>
    <w:p w14:paraId="36679D4F"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We separately trained five deep-learning agents to optimize doses such that the final dose is as close as possible to each of our five guidelines. RL agents take the current DVHs of the optimized dose and the weight values used and predict the weight changes to perform.</w:t>
      </w:r>
    </w:p>
    <w:p w14:paraId="400AA562" w14:textId="77777777" w:rsidR="00554EF4" w:rsidRPr="00554EF4" w:rsidRDefault="00554EF4" w:rsidP="00554EF4">
      <w:pPr>
        <w:spacing w:line="240" w:lineRule="auto"/>
        <w:jc w:val="left"/>
        <w:rPr>
          <w:rFonts w:ascii="Times New Roman" w:eastAsia="Times New Roman" w:hAnsi="Times New Roman" w:cs="Times New Roman"/>
          <w:lang w:val="en-US"/>
        </w:rPr>
      </w:pPr>
    </w:p>
    <w:p w14:paraId="73777797" w14:textId="77777777" w:rsidR="00554EF4" w:rsidRPr="00554EF4" w:rsidRDefault="00554EF4" w:rsidP="00554EF4">
      <w:pPr>
        <w:spacing w:before="200" w:after="32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Results</w:t>
      </w:r>
    </w:p>
    <w:p w14:paraId="4933D7A3" w14:textId="77777777" w:rsidR="00554EF4" w:rsidRPr="00554EF4" w:rsidRDefault="00554EF4" w:rsidP="00554EF4">
      <w:pPr>
        <w:spacing w:after="240" w:line="240" w:lineRule="auto"/>
        <w:jc w:val="left"/>
        <w:rPr>
          <w:rFonts w:ascii="Times New Roman" w:eastAsia="Times New Roman" w:hAnsi="Times New Roman" w:cs="Times New Roman"/>
          <w:lang w:val="en-US"/>
        </w:rPr>
      </w:pPr>
    </w:p>
    <w:p w14:paraId="64E464C0"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We managed to train agents to mimic the dose type of several clinics. We also trained one general agent, trying to mimic all five guidelines simultaneously.</w:t>
      </w:r>
    </w:p>
    <w:p w14:paraId="28FA001B"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As this is ongoing research, we have generated a cohort of 100 patients for training, and manually optimized the dose according to 5 guidelines. We then generated 50 other patients for testing purposes. [Results presented are only about test patients, not used for training.]</w:t>
      </w:r>
    </w:p>
    <w:p w14:paraId="19E2C3EF"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The average difference between clinical doses and ones optimized by our RL agents is summarized in the table. We observe that agents specializing in one type of guideline manage to mimic it but perform poorly on others.</w:t>
      </w:r>
    </w:p>
    <w:p w14:paraId="2B835D2D" w14:textId="77777777" w:rsidR="00554EF4" w:rsidRPr="00554EF4" w:rsidRDefault="00554EF4" w:rsidP="00554EF4">
      <w:pPr>
        <w:spacing w:line="240" w:lineRule="auto"/>
        <w:rPr>
          <w:rFonts w:ascii="Times New Roman" w:eastAsia="Times New Roman" w:hAnsi="Times New Roman" w:cs="Times New Roman"/>
          <w:lang w:val="en-US"/>
        </w:rPr>
      </w:pPr>
      <w:r w:rsidRPr="00554EF4">
        <w:rPr>
          <w:rFonts w:eastAsia="Times New Roman"/>
          <w:color w:val="000000"/>
          <w:lang w:val="en-US"/>
        </w:rPr>
        <w:t>This comforts the idea that for a clinically helpful fully automatic TPS, one should train one RL agent for each clinic guideline.</w:t>
      </w:r>
    </w:p>
    <w:p w14:paraId="699A4769" w14:textId="77777777" w:rsidR="00554EF4" w:rsidRPr="00554EF4" w:rsidRDefault="00554EF4" w:rsidP="00554EF4">
      <w:pPr>
        <w:spacing w:line="240" w:lineRule="auto"/>
        <w:jc w:val="left"/>
        <w:rPr>
          <w:rFonts w:ascii="Times New Roman" w:eastAsia="Times New Roman" w:hAnsi="Times New Roman" w:cs="Times New Roman"/>
          <w:lang w:val="en-US"/>
        </w:rPr>
      </w:pPr>
    </w:p>
    <w:p w14:paraId="5EB26C99" w14:textId="77777777"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Conclusions</w:t>
      </w:r>
    </w:p>
    <w:p w14:paraId="7DFD012B" w14:textId="77777777" w:rsidR="00554EF4" w:rsidRPr="00554EF4" w:rsidRDefault="00554EF4" w:rsidP="00554EF4">
      <w:pPr>
        <w:spacing w:line="240" w:lineRule="auto"/>
        <w:jc w:val="left"/>
        <w:rPr>
          <w:rFonts w:ascii="Times New Roman" w:eastAsia="Times New Roman" w:hAnsi="Times New Roman" w:cs="Times New Roman"/>
          <w:lang w:val="en-US"/>
        </w:rPr>
      </w:pPr>
    </w:p>
    <w:p w14:paraId="6E22DBC9" w14:textId="77777777" w:rsidR="00554EF4" w:rsidRPr="00554EF4" w:rsidRDefault="00554EF4" w:rsidP="00554EF4">
      <w:pPr>
        <w:spacing w:before="240" w:after="240" w:line="240" w:lineRule="auto"/>
        <w:rPr>
          <w:rFonts w:ascii="Times New Roman" w:eastAsia="Times New Roman" w:hAnsi="Times New Roman" w:cs="Times New Roman"/>
          <w:lang w:val="en-US"/>
        </w:rPr>
      </w:pPr>
      <w:r w:rsidRPr="00554EF4">
        <w:rPr>
          <w:rFonts w:eastAsia="Times New Roman"/>
          <w:color w:val="000000"/>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w:t>
      </w:r>
    </w:p>
    <w:p w14:paraId="4A568FF3" w14:textId="77777777" w:rsidR="00554EF4" w:rsidRPr="00554EF4" w:rsidRDefault="00554EF4" w:rsidP="00554EF4">
      <w:pPr>
        <w:spacing w:before="240" w:after="240" w:line="240" w:lineRule="auto"/>
        <w:rPr>
          <w:rFonts w:ascii="Times New Roman" w:eastAsia="Times New Roman" w:hAnsi="Times New Roman" w:cs="Times New Roman"/>
          <w:lang w:val="en-US"/>
        </w:rPr>
      </w:pPr>
      <w:r w:rsidRPr="00554EF4">
        <w:rPr>
          <w:rFonts w:eastAsia="Times New Roman"/>
          <w:color w:val="000000"/>
          <w:lang w:val="en-US"/>
        </w:rPr>
        <w:t>Future work will involve:</w:t>
      </w:r>
    </w:p>
    <w:p w14:paraId="75DD46B3" w14:textId="77777777" w:rsidR="00554EF4" w:rsidRPr="00554EF4" w:rsidRDefault="00554EF4" w:rsidP="00554EF4">
      <w:pPr>
        <w:numPr>
          <w:ilvl w:val="0"/>
          <w:numId w:val="3"/>
        </w:numPr>
        <w:spacing w:before="240" w:line="240" w:lineRule="auto"/>
        <w:textAlignment w:val="baseline"/>
        <w:rPr>
          <w:rFonts w:eastAsia="Times New Roman"/>
          <w:color w:val="000000"/>
          <w:lang w:val="en-US"/>
        </w:rPr>
      </w:pPr>
      <w:r w:rsidRPr="00554EF4">
        <w:rPr>
          <w:rFonts w:eastAsia="Times New Roman"/>
          <w:color w:val="000000"/>
          <w:lang w:val="en-US"/>
        </w:rPr>
        <w:lastRenderedPageBreak/>
        <w:t>Expanding the patient cohort to non-phantom cases.</w:t>
      </w:r>
    </w:p>
    <w:p w14:paraId="44EE30AC" w14:textId="77777777" w:rsidR="00554EF4" w:rsidRPr="00554EF4" w:rsidRDefault="00554EF4" w:rsidP="00554EF4">
      <w:pPr>
        <w:numPr>
          <w:ilvl w:val="0"/>
          <w:numId w:val="3"/>
        </w:numPr>
        <w:spacing w:line="240" w:lineRule="auto"/>
        <w:textAlignment w:val="baseline"/>
        <w:rPr>
          <w:rFonts w:eastAsia="Times New Roman"/>
          <w:color w:val="000000"/>
          <w:lang w:val="en-US"/>
        </w:rPr>
      </w:pPr>
      <w:r w:rsidRPr="00554EF4">
        <w:rPr>
          <w:rFonts w:eastAsia="Times New Roman"/>
          <w:color w:val="000000"/>
          <w:lang w:val="en-US"/>
        </w:rPr>
        <w:t>Try on modalities other than prostate cases.</w:t>
      </w:r>
    </w:p>
    <w:p w14:paraId="00CE02D7" w14:textId="77777777" w:rsidR="00554EF4" w:rsidRPr="00554EF4" w:rsidRDefault="00554EF4" w:rsidP="00554EF4">
      <w:pPr>
        <w:numPr>
          <w:ilvl w:val="0"/>
          <w:numId w:val="3"/>
        </w:numPr>
        <w:spacing w:after="240" w:line="240" w:lineRule="auto"/>
        <w:textAlignment w:val="baseline"/>
        <w:rPr>
          <w:rFonts w:eastAsia="Times New Roman"/>
          <w:color w:val="000000"/>
          <w:lang w:val="en-US"/>
        </w:rPr>
      </w:pPr>
      <w:r w:rsidRPr="00554EF4">
        <w:rPr>
          <w:rFonts w:eastAsia="Times New Roman"/>
          <w:color w:val="000000"/>
          <w:lang w:val="en-US"/>
        </w:rPr>
        <w:t>Real-world testing with human oversight to ensure the safety and efficacy of the RL-based TPS.</w:t>
      </w:r>
    </w:p>
    <w:p w14:paraId="00000026" w14:textId="341E92B4" w:rsidR="00216F41" w:rsidRDefault="00554EF4" w:rsidP="00554EF4">
      <w:pPr>
        <w:spacing w:before="240" w:after="240" w:line="240" w:lineRule="auto"/>
        <w:rPr>
          <w:rFonts w:ascii="Times New Roman" w:eastAsia="Times New Roman" w:hAnsi="Times New Roman" w:cs="Times New Roman"/>
          <w:lang w:val="en-US"/>
        </w:rPr>
      </w:pPr>
      <w:r w:rsidRPr="00554EF4">
        <w:rPr>
          <w:rFonts w:eastAsia="Times New Roman"/>
          <w:color w:val="000000"/>
          <w:lang w:val="en-US"/>
        </w:rPr>
        <w:t>This research could pave the way for developing clinically-dependent automatic TPS.</w:t>
      </w:r>
    </w:p>
    <w:p w14:paraId="4C95FE85" w14:textId="77777777" w:rsidR="00554EF4" w:rsidRPr="00554EF4" w:rsidRDefault="00554EF4" w:rsidP="00554EF4">
      <w:pPr>
        <w:spacing w:before="240" w:after="240" w:line="240" w:lineRule="auto"/>
        <w:rPr>
          <w:rFonts w:ascii="Times New Roman" w:eastAsia="Times New Roman" w:hAnsi="Times New Roman" w:cs="Times New Roman"/>
          <w:lang w:val="en-US"/>
        </w:rPr>
      </w:pPr>
    </w:p>
    <w:sectPr w:rsidR="00554EF4" w:rsidRPr="00554EF4">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42384" w14:textId="77777777" w:rsidR="00F0058B" w:rsidRDefault="00F0058B" w:rsidP="00B26A00">
      <w:pPr>
        <w:spacing w:line="240" w:lineRule="auto"/>
      </w:pPr>
      <w:r>
        <w:separator/>
      </w:r>
    </w:p>
  </w:endnote>
  <w:endnote w:type="continuationSeparator" w:id="0">
    <w:p w14:paraId="0E209F2D" w14:textId="77777777" w:rsidR="00F0058B" w:rsidRDefault="00F0058B"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5F96742C" w:rsidR="005E12BE" w:rsidRDefault="005E12BE">
    <w:pPr>
      <w:pStyle w:val="Footer"/>
    </w:pPr>
    <w:r>
      <w:rPr>
        <w:noProof/>
      </w:rPr>
      <mc:AlternateContent>
        <mc:Choice Requires="wps">
          <w:drawing>
            <wp:anchor distT="0" distB="0" distL="0" distR="0" simplePos="0" relativeHeight="251659264" behindDoc="0" locked="0" layoutInCell="1" allowOverlap="1" wp14:anchorId="29F3A4A9" wp14:editId="247DA39A">
              <wp:simplePos x="635" y="635"/>
              <wp:positionH relativeFrom="page">
                <wp:align>left</wp:align>
              </wp:positionH>
              <wp:positionV relativeFrom="page">
                <wp:align>bottom</wp:align>
              </wp:positionV>
              <wp:extent cx="443865" cy="443865"/>
              <wp:effectExtent l="0" t="0" r="6985" b="0"/>
              <wp:wrapNone/>
              <wp:docPr id="9016102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F3A4A9" id="_x0000_t202" coordsize="21600,21600" o:spt="202" path="m,l,21600r21600,l21600,xe">
              <v:stroke joinstyle="miter"/>
              <v:path gradientshapeok="t" o:connecttype="rect"/>
            </v:shapetype>
            <v:shape id="Text Box 2" o:spid="_x0000_s1026"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4E94D4F5" w:rsidR="005E12BE" w:rsidRDefault="005E12BE">
    <w:pPr>
      <w:pStyle w:val="Footer"/>
    </w:pPr>
    <w:r>
      <w:rPr>
        <w:noProof/>
      </w:rPr>
      <mc:AlternateContent>
        <mc:Choice Requires="wps">
          <w:drawing>
            <wp:anchor distT="0" distB="0" distL="0" distR="0" simplePos="0" relativeHeight="251660288" behindDoc="0" locked="0" layoutInCell="1" allowOverlap="1" wp14:anchorId="3EBA9FF9" wp14:editId="54EB3A72">
              <wp:simplePos x="914400" y="10060305"/>
              <wp:positionH relativeFrom="page">
                <wp:align>left</wp:align>
              </wp:positionH>
              <wp:positionV relativeFrom="page">
                <wp:align>bottom</wp:align>
              </wp:positionV>
              <wp:extent cx="443865" cy="443865"/>
              <wp:effectExtent l="0" t="0" r="6985" b="0"/>
              <wp:wrapNone/>
              <wp:docPr id="188505945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BA9FF9"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753A99E1" w:rsidR="005E12BE" w:rsidRDefault="005E12BE">
    <w:pPr>
      <w:pStyle w:val="Footer"/>
    </w:pPr>
    <w:r>
      <w:rPr>
        <w:noProof/>
      </w:rPr>
      <mc:AlternateContent>
        <mc:Choice Requires="wps">
          <w:drawing>
            <wp:anchor distT="0" distB="0" distL="0" distR="0" simplePos="0" relativeHeight="251658240" behindDoc="0" locked="0" layoutInCell="1" allowOverlap="1" wp14:anchorId="642E3722" wp14:editId="10DE72F6">
              <wp:simplePos x="635" y="635"/>
              <wp:positionH relativeFrom="page">
                <wp:align>left</wp:align>
              </wp:positionH>
              <wp:positionV relativeFrom="page">
                <wp:align>bottom</wp:align>
              </wp:positionV>
              <wp:extent cx="443865" cy="443865"/>
              <wp:effectExtent l="0" t="0" r="6985" b="0"/>
              <wp:wrapNone/>
              <wp:docPr id="72978174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2E3722" id="_x0000_t202" coordsize="21600,21600" o:spt="202" path="m,l,21600r21600,l21600,xe">
              <v:stroke joinstyle="miter"/>
              <v:path gradientshapeok="t" o:connecttype="rect"/>
            </v:shapetype>
            <v:shape id="Text Box 1"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21FA7" w14:textId="77777777" w:rsidR="00F0058B" w:rsidRDefault="00F0058B" w:rsidP="00B26A00">
      <w:pPr>
        <w:spacing w:line="240" w:lineRule="auto"/>
      </w:pPr>
      <w:r>
        <w:separator/>
      </w:r>
    </w:p>
  </w:footnote>
  <w:footnote w:type="continuationSeparator" w:id="0">
    <w:p w14:paraId="085F158C" w14:textId="77777777" w:rsidR="00F0058B" w:rsidRDefault="00F0058B"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0"/>
  </w:num>
  <w:num w:numId="2" w16cid:durableId="2022076965">
    <w:abstractNumId w:val="2"/>
  </w:num>
  <w:num w:numId="3" w16cid:durableId="432288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41"/>
    <w:rsid w:val="00031211"/>
    <w:rsid w:val="00216F41"/>
    <w:rsid w:val="004E5C3A"/>
    <w:rsid w:val="00546567"/>
    <w:rsid w:val="00554EF4"/>
    <w:rsid w:val="005E12BE"/>
    <w:rsid w:val="00B26A00"/>
    <w:rsid w:val="00C263E6"/>
    <w:rsid w:val="00E668CF"/>
    <w:rsid w:val="00EB315F"/>
    <w:rsid w:val="00F0058B"/>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D42"/>
  <w15:docId w15:val="{D6989FDE-7A12-4E47-8713-D6ACB4A0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Dubois</cp:lastModifiedBy>
  <cp:revision>7</cp:revision>
  <dcterms:created xsi:type="dcterms:W3CDTF">2024-03-02T07:34:00Z</dcterms:created>
  <dcterms:modified xsi:type="dcterms:W3CDTF">2024-03-03T23:00:00Z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